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6A48D200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8318145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D5F0A3" wp14:editId="067D565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E38F10F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84AC3F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1D0BC64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FD7F118" w14:textId="767E943F" w:rsidR="00E03557" w:rsidRPr="00852AAD" w:rsidRDefault="00BC1D31" w:rsidP="00401AE5">
            <w:pPr>
              <w:pStyle w:val="Docnumber"/>
            </w:pPr>
            <w:r>
              <w:t>FG-AI4H</w:t>
            </w:r>
            <w:r w:rsidR="00E03557">
              <w:t>-</w:t>
            </w:r>
            <w:r w:rsidR="00115910">
              <w:t>E</w:t>
            </w:r>
            <w:r>
              <w:t>-</w:t>
            </w:r>
            <w:r w:rsidR="00E13442">
              <w:t>0</w:t>
            </w:r>
            <w:r w:rsidR="000C0114">
              <w:t>06</w:t>
            </w:r>
          </w:p>
        </w:tc>
      </w:tr>
      <w:bookmarkEnd w:id="2"/>
      <w:tr w:rsidR="00E03557" w:rsidRPr="00E03557" w14:paraId="281FFB19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6AD3141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D4749A1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2E0761C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2DFB7039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F0A959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49DAF2C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7055FDED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64CBF55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220D0FC1" w14:textId="77777777" w:rsidR="00BC1D31" w:rsidRPr="00045C7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045C7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6A2218CE" w14:textId="77777777" w:rsidR="00BC1D31" w:rsidRPr="00045C74" w:rsidRDefault="004D3BF8" w:rsidP="00404076">
            <w:r>
              <w:t>Plen</w:t>
            </w:r>
          </w:p>
        </w:tc>
        <w:tc>
          <w:tcPr>
            <w:tcW w:w="4678" w:type="dxa"/>
            <w:gridSpan w:val="2"/>
            <w:vAlign w:val="center"/>
          </w:tcPr>
          <w:p w14:paraId="391E91CB" w14:textId="77777777" w:rsidR="00BC1D31" w:rsidRPr="00123B21" w:rsidRDefault="00115910" w:rsidP="00401AE5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045C74">
              <w:t>30</w:t>
            </w:r>
            <w:r>
              <w:t xml:space="preserve"> May – 1 June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6826109A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F909160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F9A3131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1757C02F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1C74958E" w14:textId="77777777" w:rsidR="00BC1D31" w:rsidRPr="00123B21" w:rsidRDefault="00045C74" w:rsidP="00404076">
            <w:r>
              <w:t>TG-Symptom</w:t>
            </w:r>
          </w:p>
        </w:tc>
      </w:tr>
      <w:tr w:rsidR="00BC1D31" w:rsidRPr="00E03557" w14:paraId="7D5CA117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195DFF04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460D0A9A" w14:textId="2E2DA8F3" w:rsidR="00BC1D31" w:rsidRPr="00123B21" w:rsidRDefault="000C0114" w:rsidP="00404076">
            <w:r>
              <w:t xml:space="preserve">Summary of </w:t>
            </w:r>
            <w:r w:rsidR="00045C74" w:rsidRPr="00045C74">
              <w:t>TG</w:t>
            </w:r>
            <w:r>
              <w:t>-</w:t>
            </w:r>
            <w:r w:rsidR="00045C74" w:rsidRPr="00045C74">
              <w:t xml:space="preserve">Symptom call </w:t>
            </w:r>
            <w:r>
              <w:t>(</w:t>
            </w:r>
            <w:r w:rsidR="00045C74" w:rsidRPr="00045C74">
              <w:t>2019-05-08</w:t>
            </w:r>
            <w:r>
              <w:t>)</w:t>
            </w:r>
          </w:p>
        </w:tc>
      </w:tr>
      <w:tr w:rsidR="00E03557" w:rsidRPr="00E03557" w14:paraId="01DB513D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59CE5D1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F296382" w14:textId="77777777" w:rsidR="00E03557" w:rsidRPr="00BC1D31" w:rsidRDefault="00045C74" w:rsidP="00BC1D31">
            <w:pPr>
              <w:rPr>
                <w:highlight w:val="yellow"/>
              </w:rPr>
            </w:pPr>
            <w:r w:rsidRPr="00045C74">
              <w:rPr>
                <w:lang w:val="en-US"/>
              </w:rPr>
              <w:t>Information</w:t>
            </w:r>
          </w:p>
        </w:tc>
      </w:tr>
      <w:bookmarkEnd w:id="0"/>
      <w:bookmarkEnd w:id="10"/>
      <w:tr w:rsidR="00BC1D31" w:rsidRPr="00E03557" w14:paraId="4F64C456" w14:textId="77777777" w:rsidTr="000C011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C850EC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D55DAF" w14:textId="77777777" w:rsidR="00BC1D31" w:rsidRPr="00045C74" w:rsidRDefault="00045C74" w:rsidP="000C0114">
            <w:r w:rsidRPr="00045C74">
              <w:t>Henry Hoffman</w:t>
            </w:r>
            <w:r w:rsidR="00BC1D31" w:rsidRPr="00045C74">
              <w:br/>
            </w:r>
            <w:r w:rsidRPr="00045C74">
              <w:t>Ada Health</w:t>
            </w:r>
            <w:r w:rsidR="00BC1D31" w:rsidRPr="00045C74">
              <w:br/>
            </w:r>
            <w:r w:rsidRPr="00045C74">
              <w:t>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477B4EE" w14:textId="7E5E4C03" w:rsidR="00BC1D31" w:rsidRPr="00BC1D31" w:rsidRDefault="00BC1D31" w:rsidP="000C0114">
            <w:pPr>
              <w:rPr>
                <w:highlight w:val="yellow"/>
              </w:rPr>
            </w:pPr>
            <w:r w:rsidRPr="00045C74">
              <w:t xml:space="preserve">Email: </w:t>
            </w:r>
            <w:hyperlink r:id="rId11" w:history="1">
              <w:r w:rsidR="000C0114" w:rsidRPr="00B046FA">
                <w:rPr>
                  <w:rStyle w:val="Hyperlink"/>
                </w:rPr>
                <w:t>henry.hoffmann@ada.com</w:t>
              </w:r>
            </w:hyperlink>
            <w:r w:rsidR="000C0114">
              <w:t xml:space="preserve"> </w:t>
            </w:r>
          </w:p>
        </w:tc>
      </w:tr>
      <w:tr w:rsidR="00BC1D31" w:rsidRPr="00045C74" w14:paraId="08D801A0" w14:textId="77777777" w:rsidTr="000C011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CCED38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B57AED" w14:textId="715445DD" w:rsidR="00BC1D31" w:rsidRPr="00045C74" w:rsidRDefault="00045C74" w:rsidP="000C0114">
            <w:r w:rsidRPr="00045C74">
              <w:t>Shubs Upadhyay</w:t>
            </w:r>
            <w:r w:rsidR="00BC1D31" w:rsidRPr="00045C74">
              <w:br/>
            </w:r>
            <w:r w:rsidRPr="00045C74">
              <w:t>Ada Health</w:t>
            </w:r>
            <w:r w:rsidR="00BC1D31" w:rsidRPr="00045C74">
              <w:br/>
            </w:r>
            <w:r w:rsidRPr="00045C74">
              <w:t>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C399A0F" w14:textId="4893CA18" w:rsidR="00BC1D31" w:rsidRPr="00045C74" w:rsidRDefault="00BC1D31" w:rsidP="000C0114">
            <w:r w:rsidRPr="00045C74">
              <w:t xml:space="preserve">Email: </w:t>
            </w:r>
            <w:hyperlink r:id="rId12" w:history="1">
              <w:r w:rsidR="000C0114" w:rsidRPr="00B046FA">
                <w:rPr>
                  <w:rStyle w:val="Hyperlink"/>
                </w:rPr>
                <w:t>shubs.upadhyay@ada.com</w:t>
              </w:r>
            </w:hyperlink>
            <w:r w:rsidR="000C0114">
              <w:t xml:space="preserve"> </w:t>
            </w:r>
          </w:p>
        </w:tc>
      </w:tr>
    </w:tbl>
    <w:p w14:paraId="61C3183C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6C73C582" w14:textId="77777777" w:rsidTr="00E03557">
        <w:trPr>
          <w:cantSplit/>
          <w:jc w:val="center"/>
        </w:trPr>
        <w:tc>
          <w:tcPr>
            <w:tcW w:w="1701" w:type="dxa"/>
          </w:tcPr>
          <w:p w14:paraId="1485B015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7C0D9E3" w14:textId="79537741" w:rsidR="00E03557" w:rsidRPr="00045C74" w:rsidRDefault="00045C74" w:rsidP="00BC1D31">
            <w:r w:rsidRPr="00045C74">
              <w:t xml:space="preserve">This </w:t>
            </w:r>
            <w:r w:rsidR="000C0114">
              <w:t>document</w:t>
            </w:r>
            <w:r w:rsidRPr="00045C74">
              <w:t xml:space="preserve"> contains the overview of the discussions which took place during the conference call for Topic Group-Symptom, on 8 May 2019</w:t>
            </w:r>
          </w:p>
        </w:tc>
      </w:tr>
    </w:tbl>
    <w:p w14:paraId="306D0995" w14:textId="77777777" w:rsidR="00E03557" w:rsidRDefault="00E03557" w:rsidP="00E03557"/>
    <w:p w14:paraId="6B41AD44" w14:textId="77777777" w:rsidR="00045C74" w:rsidRDefault="00045C74" w:rsidP="00045C74">
      <w:pPr>
        <w:pStyle w:val="Heading2"/>
        <w:numPr>
          <w:ilvl w:val="0"/>
          <w:numId w:val="35"/>
        </w:numPr>
        <w:rPr>
          <w:rFonts w:ascii="Open Sans" w:eastAsia="Open Sans" w:hAnsi="Open Sans" w:cs="Open Sans"/>
        </w:rPr>
      </w:pPr>
      <w:bookmarkStart w:id="11" w:name="_srcrgcpa7gyu" w:colFirst="0" w:colLast="0"/>
      <w:bookmarkStart w:id="12" w:name="_si7iptlv8fae" w:colFirst="0" w:colLast="0"/>
      <w:bookmarkEnd w:id="11"/>
      <w:bookmarkEnd w:id="12"/>
      <w:r>
        <w:rPr>
          <w:rFonts w:ascii="Open Sans" w:eastAsia="Open Sans" w:hAnsi="Open Sans" w:cs="Open Sans"/>
        </w:rPr>
        <w:t>Welcome - approval of agenda</w:t>
      </w:r>
    </w:p>
    <w:p w14:paraId="51A0EBEF" w14:textId="77777777" w:rsidR="00045C74" w:rsidRPr="000C0114" w:rsidRDefault="00045C74" w:rsidP="00045C74">
      <w:pPr>
        <w:numPr>
          <w:ilvl w:val="0"/>
          <w:numId w:val="21"/>
        </w:numPr>
        <w:spacing w:before="0" w:line="276" w:lineRule="auto"/>
      </w:pPr>
      <w:r w:rsidRPr="000C0114">
        <w:t>Jason Maude from Isabel introduces himself</w:t>
      </w:r>
    </w:p>
    <w:p w14:paraId="25880EC3" w14:textId="77777777" w:rsidR="00045C74" w:rsidRPr="000C0114" w:rsidRDefault="00045C74" w:rsidP="00045C74">
      <w:pPr>
        <w:numPr>
          <w:ilvl w:val="1"/>
          <w:numId w:val="21"/>
        </w:numPr>
        <w:spacing w:before="0" w:line="276" w:lineRule="auto"/>
      </w:pPr>
      <w:r w:rsidRPr="000C0114">
        <w:t>Isabel comes from a focus on healthcare professionals</w:t>
      </w:r>
    </w:p>
    <w:p w14:paraId="6FAB07A2" w14:textId="77777777" w:rsidR="00045C74" w:rsidRPr="000C0114" w:rsidRDefault="00430F12" w:rsidP="00045C74">
      <w:pPr>
        <w:numPr>
          <w:ilvl w:val="1"/>
          <w:numId w:val="21"/>
        </w:numPr>
        <w:spacing w:before="0" w:line="276" w:lineRule="auto"/>
      </w:pPr>
      <w:hyperlink r:id="rId13">
        <w:r w:rsidR="00045C74">
          <w:rPr>
            <w:rFonts w:ascii="Open Sans" w:eastAsia="Open Sans" w:hAnsi="Open Sans" w:cs="Open Sans"/>
            <w:color w:val="1155CC"/>
            <w:u w:val="single"/>
          </w:rPr>
          <w:t>https://symptomchecker.isabelhealthcare.com/</w:t>
        </w:r>
      </w:hyperlink>
      <w:r w:rsidR="00045C74" w:rsidRPr="000C0114">
        <w:t xml:space="preserve">  </w:t>
      </w:r>
    </w:p>
    <w:p w14:paraId="0F50C5EB" w14:textId="77777777" w:rsidR="00045C74" w:rsidRPr="000C0114" w:rsidRDefault="00045C74" w:rsidP="00045C74"/>
    <w:p w14:paraId="28C589C9" w14:textId="77777777" w:rsidR="00045C74" w:rsidRPr="000C0114" w:rsidRDefault="00045C74" w:rsidP="00045C74">
      <w:pPr>
        <w:numPr>
          <w:ilvl w:val="0"/>
          <w:numId w:val="24"/>
        </w:numPr>
        <w:spacing w:before="0" w:line="276" w:lineRule="auto"/>
      </w:pPr>
      <w:r w:rsidRPr="000C0114">
        <w:t>Baidu has nominated Dr Chao Lu as their new representative for the topic group</w:t>
      </w:r>
    </w:p>
    <w:p w14:paraId="3D43AD73" w14:textId="77777777" w:rsidR="00045C74" w:rsidRPr="000C0114" w:rsidRDefault="00045C74" w:rsidP="00045C74">
      <w:pPr>
        <w:numPr>
          <w:ilvl w:val="1"/>
          <w:numId w:val="24"/>
        </w:numPr>
        <w:spacing w:before="0" w:line="276" w:lineRule="auto"/>
      </w:pPr>
      <w:r w:rsidRPr="000C0114">
        <w:t>Not on the call</w:t>
      </w:r>
    </w:p>
    <w:p w14:paraId="6861EEEA" w14:textId="77777777" w:rsidR="00045C74" w:rsidRDefault="00045C74" w:rsidP="00045C74">
      <w:pPr>
        <w:pStyle w:val="Heading2"/>
        <w:numPr>
          <w:ilvl w:val="0"/>
          <w:numId w:val="35"/>
        </w:numPr>
        <w:rPr>
          <w:rFonts w:ascii="Open Sans" w:eastAsia="Open Sans" w:hAnsi="Open Sans" w:cs="Open Sans"/>
        </w:rPr>
      </w:pPr>
      <w:bookmarkStart w:id="13" w:name="_8cyuzk75nl49" w:colFirst="0" w:colLast="0"/>
      <w:bookmarkEnd w:id="13"/>
      <w:r>
        <w:rPr>
          <w:rFonts w:ascii="Open Sans" w:eastAsia="Open Sans" w:hAnsi="Open Sans" w:cs="Open Sans"/>
        </w:rPr>
        <w:t xml:space="preserve"> Introduction / Organisational Topics</w:t>
      </w:r>
    </w:p>
    <w:p w14:paraId="1017748E" w14:textId="77777777" w:rsidR="00045C74" w:rsidRPr="000C0114" w:rsidRDefault="00045C74" w:rsidP="00045C74">
      <w:pPr>
        <w:ind w:left="720"/>
      </w:pPr>
      <w:r w:rsidRPr="000C0114">
        <w:t>Outreach</w:t>
      </w:r>
    </w:p>
    <w:p w14:paraId="6EDF347D" w14:textId="77777777" w:rsidR="00045C74" w:rsidRPr="000C0114" w:rsidRDefault="00045C74" w:rsidP="00045C74">
      <w:pPr>
        <w:numPr>
          <w:ilvl w:val="0"/>
          <w:numId w:val="28"/>
        </w:numPr>
        <w:spacing w:before="0" w:line="276" w:lineRule="auto"/>
        <w:ind w:left="1440"/>
      </w:pPr>
      <w:r w:rsidRPr="000C0114">
        <w:t>There are some key players in the symptom-checker field that should be involved or at least made aware of the work</w:t>
      </w:r>
    </w:p>
    <w:p w14:paraId="03ED9580" w14:textId="77777777" w:rsidR="00045C74" w:rsidRPr="000C0114" w:rsidRDefault="00045C74" w:rsidP="00045C74">
      <w:pPr>
        <w:numPr>
          <w:ilvl w:val="0"/>
          <w:numId w:val="28"/>
        </w:numPr>
        <w:spacing w:before="0" w:line="276" w:lineRule="auto"/>
        <w:ind w:left="1440"/>
      </w:pPr>
      <w:r w:rsidRPr="000C0114">
        <w:t xml:space="preserve">The general call can be used to reach out to various key players to improve </w:t>
      </w:r>
    </w:p>
    <w:p w14:paraId="4C8D0D2A" w14:textId="77777777" w:rsidR="00045C74" w:rsidRPr="000C0114" w:rsidRDefault="00045C74" w:rsidP="00045C74">
      <w:pPr>
        <w:ind w:left="720"/>
      </w:pPr>
    </w:p>
    <w:p w14:paraId="5A3EF0E7" w14:textId="77777777" w:rsidR="00045C74" w:rsidRPr="000C0114" w:rsidRDefault="00045C74" w:rsidP="00045C74">
      <w:pPr>
        <w:ind w:left="720"/>
      </w:pPr>
      <w:r w:rsidRPr="000C0114">
        <w:t>Are there constraints on the size of a functional TG?</w:t>
      </w:r>
    </w:p>
    <w:p w14:paraId="3BACB64B" w14:textId="77777777" w:rsidR="00045C74" w:rsidRPr="000C0114" w:rsidRDefault="00045C74" w:rsidP="00045C74">
      <w:pPr>
        <w:numPr>
          <w:ilvl w:val="0"/>
          <w:numId w:val="25"/>
        </w:numPr>
        <w:spacing w:before="0" w:line="276" w:lineRule="auto"/>
        <w:ind w:left="1440"/>
      </w:pPr>
      <w:r w:rsidRPr="000C0114">
        <w:t>Can split into non-autonomous subgroups / can split the TG along thematic lines</w:t>
      </w:r>
    </w:p>
    <w:p w14:paraId="6BDA360F" w14:textId="77777777" w:rsidR="00045C74" w:rsidRPr="000C0114" w:rsidRDefault="00045C74" w:rsidP="00045C74">
      <w:pPr>
        <w:numPr>
          <w:ilvl w:val="0"/>
          <w:numId w:val="25"/>
        </w:numPr>
        <w:spacing w:before="0" w:line="276" w:lineRule="auto"/>
        <w:ind w:left="1440"/>
      </w:pPr>
      <w:r w:rsidRPr="000C0114">
        <w:t>Though the TG is regarded as one organisational unit (no sub-topic organisations)</w:t>
      </w:r>
    </w:p>
    <w:p w14:paraId="2D58BCFC" w14:textId="77777777" w:rsidR="00045C74" w:rsidRPr="000C0114" w:rsidRDefault="00045C74" w:rsidP="00045C74">
      <w:pPr>
        <w:ind w:left="720"/>
      </w:pPr>
    </w:p>
    <w:p w14:paraId="4056D9CD" w14:textId="77777777" w:rsidR="00045C74" w:rsidRPr="000C0114" w:rsidRDefault="00045C74" w:rsidP="00045C74">
      <w:pPr>
        <w:ind w:left="720"/>
      </w:pPr>
      <w:r w:rsidRPr="000C0114">
        <w:t>Collaboration tools - Topic Description Document</w:t>
      </w:r>
    </w:p>
    <w:p w14:paraId="5EEE6789" w14:textId="77777777" w:rsidR="00045C74" w:rsidRPr="000C0114" w:rsidRDefault="00045C74" w:rsidP="00045C74">
      <w:pPr>
        <w:numPr>
          <w:ilvl w:val="0"/>
          <w:numId w:val="31"/>
        </w:numPr>
        <w:spacing w:before="0" w:line="276" w:lineRule="auto"/>
        <w:ind w:left="1440"/>
      </w:pPr>
      <w:r w:rsidRPr="000C0114">
        <w:t>For now it's a google doc, Baidu can access, though not ideal</w:t>
      </w:r>
    </w:p>
    <w:p w14:paraId="7B06D958" w14:textId="77777777" w:rsidR="00045C74" w:rsidRPr="000C0114" w:rsidRDefault="00045C74" w:rsidP="00045C74">
      <w:pPr>
        <w:numPr>
          <w:ilvl w:val="0"/>
          <w:numId w:val="31"/>
        </w:numPr>
        <w:spacing w:before="0" w:line="276" w:lineRule="auto"/>
        <w:ind w:left="1440"/>
      </w:pPr>
      <w:r w:rsidRPr="000C0114">
        <w:t>Eventually migrate to TSBcloud (NextCloud with Collabora)</w:t>
      </w:r>
    </w:p>
    <w:p w14:paraId="50CCF85C" w14:textId="77777777" w:rsidR="00045C74" w:rsidRPr="000C0114" w:rsidRDefault="00045C74" w:rsidP="00045C74">
      <w:pPr>
        <w:ind w:left="720"/>
      </w:pPr>
    </w:p>
    <w:p w14:paraId="6260B0C5" w14:textId="77777777" w:rsidR="00045C74" w:rsidRPr="000C0114" w:rsidRDefault="00045C74" w:rsidP="00045C74">
      <w:pPr>
        <w:ind w:left="720"/>
      </w:pPr>
      <w:r w:rsidRPr="000C0114">
        <w:lastRenderedPageBreak/>
        <w:t>Future online TG meetings</w:t>
      </w:r>
    </w:p>
    <w:p w14:paraId="326A5D1E" w14:textId="77777777" w:rsidR="00045C74" w:rsidRPr="000C0114" w:rsidRDefault="00045C74" w:rsidP="00045C74">
      <w:pPr>
        <w:numPr>
          <w:ilvl w:val="1"/>
          <w:numId w:val="27"/>
        </w:numPr>
        <w:spacing w:before="0" w:line="276" w:lineRule="auto"/>
      </w:pPr>
      <w:r w:rsidRPr="000C0114">
        <w:t>Biweekly or on a needs basis?</w:t>
      </w:r>
    </w:p>
    <w:p w14:paraId="358322CA" w14:textId="77777777" w:rsidR="00045C74" w:rsidRPr="000C0114" w:rsidRDefault="00045C74" w:rsidP="00045C74">
      <w:pPr>
        <w:numPr>
          <w:ilvl w:val="1"/>
          <w:numId w:val="27"/>
        </w:numPr>
        <w:spacing w:before="0" w:line="276" w:lineRule="auto"/>
      </w:pPr>
      <w:r w:rsidRPr="000C0114">
        <w:t>Work needs to be progressed between meetings rather than at meetings</w:t>
      </w:r>
    </w:p>
    <w:p w14:paraId="02DA5F87" w14:textId="77777777" w:rsidR="00045C74" w:rsidRPr="000C0114" w:rsidRDefault="00045C74" w:rsidP="00045C74">
      <w:pPr>
        <w:numPr>
          <w:ilvl w:val="1"/>
          <w:numId w:val="27"/>
        </w:numPr>
        <w:spacing w:before="0" w:line="276" w:lineRule="auto"/>
      </w:pPr>
      <w:r w:rsidRPr="000C0114">
        <w:t xml:space="preserve">We possibly start bi-weeklys after the next FG meeting </w:t>
      </w:r>
    </w:p>
    <w:p w14:paraId="0E8F5DBE" w14:textId="77777777" w:rsidR="00045C74" w:rsidRDefault="00045C74" w:rsidP="00045C74">
      <w:pPr>
        <w:pStyle w:val="Heading2"/>
        <w:numPr>
          <w:ilvl w:val="0"/>
          <w:numId w:val="35"/>
        </w:numPr>
        <w:rPr>
          <w:rFonts w:ascii="Open Sans" w:eastAsia="Open Sans" w:hAnsi="Open Sans" w:cs="Open Sans"/>
        </w:rPr>
      </w:pPr>
      <w:bookmarkStart w:id="14" w:name="_x35ystcpfrt3" w:colFirst="0" w:colLast="0"/>
      <w:bookmarkEnd w:id="14"/>
      <w:r>
        <w:rPr>
          <w:rFonts w:ascii="Open Sans" w:eastAsia="Open Sans" w:hAnsi="Open Sans" w:cs="Open Sans"/>
        </w:rPr>
        <w:t xml:space="preserve">Topic Description Document (TDD) work planning </w:t>
      </w:r>
    </w:p>
    <w:p w14:paraId="3DE1C32B" w14:textId="77777777" w:rsidR="00045C74" w:rsidRPr="000C0114" w:rsidRDefault="00045C74" w:rsidP="00045C74">
      <w:pPr>
        <w:ind w:left="720"/>
      </w:pPr>
      <w:r w:rsidRPr="000C0114">
        <w:t xml:space="preserve">(The last published version of the TDD was </w:t>
      </w:r>
      <w:hyperlink r:id="rId14">
        <w:r>
          <w:rPr>
            <w:rFonts w:ascii="Open Sans" w:eastAsia="Open Sans" w:hAnsi="Open Sans" w:cs="Open Sans"/>
            <w:color w:val="1155CC"/>
            <w:u w:val="single"/>
          </w:rPr>
          <w:t>D-016</w:t>
        </w:r>
      </w:hyperlink>
      <w:r w:rsidRPr="000C0114">
        <w:t xml:space="preserve"> (Free ITU account required))</w:t>
      </w:r>
    </w:p>
    <w:p w14:paraId="19091DF8" w14:textId="77777777" w:rsidR="00045C74" w:rsidRPr="000C0114" w:rsidRDefault="00045C74" w:rsidP="00045C74">
      <w:pPr>
        <w:ind w:left="720"/>
      </w:pPr>
    </w:p>
    <w:p w14:paraId="0DCF624D" w14:textId="77777777" w:rsidR="00045C74" w:rsidRPr="000C0114" w:rsidRDefault="00045C74" w:rsidP="00045C74">
      <w:pPr>
        <w:ind w:left="720"/>
      </w:pPr>
      <w:r w:rsidRPr="000C0114">
        <w:t xml:space="preserve">The goal of the Topic Description Document is to provide a complete specification of all relevant aspects of the benchmarking of AI based symptom assessment systems. Following the structure of </w:t>
      </w:r>
      <w:hyperlink r:id="rId15">
        <w:r>
          <w:rPr>
            <w:rFonts w:ascii="Open Sans" w:eastAsia="Open Sans" w:hAnsi="Open Sans" w:cs="Open Sans"/>
            <w:color w:val="1155CC"/>
            <w:u w:val="single"/>
          </w:rPr>
          <w:t>C-105</w:t>
        </w:r>
      </w:hyperlink>
      <w:r w:rsidRPr="000C0114">
        <w:t xml:space="preserve">, the general approach is to identify all relevant systems in this field, analyze their inputs, their benchmarkable outputs and their focus/specializations to then derive from this the scores, metrics and methodology for a first minimal viable benchmarking. This will also include exchange with field experts and all the stakeholders we aim to support with the benchmarking results in their decision making. </w:t>
      </w:r>
    </w:p>
    <w:p w14:paraId="67FAE815" w14:textId="77777777" w:rsidR="00045C74" w:rsidRPr="000C0114" w:rsidRDefault="00045C74" w:rsidP="00045C74">
      <w:pPr>
        <w:ind w:left="720"/>
      </w:pPr>
    </w:p>
    <w:p w14:paraId="1FA64BBE" w14:textId="77777777" w:rsidR="00045C74" w:rsidRPr="000C0114" w:rsidRDefault="00045C74" w:rsidP="00045C74">
      <w:pPr>
        <w:ind w:left="720"/>
      </w:pPr>
      <w:r w:rsidRPr="000C0114">
        <w:t>The scores and metrics section has not been written yet</w:t>
      </w:r>
    </w:p>
    <w:p w14:paraId="49B470E5" w14:textId="77777777" w:rsidR="00045C74" w:rsidRPr="000C0114" w:rsidRDefault="00045C74" w:rsidP="00045C74">
      <w:pPr>
        <w:numPr>
          <w:ilvl w:val="0"/>
          <w:numId w:val="26"/>
        </w:numPr>
        <w:spacing w:before="0" w:line="276" w:lineRule="auto"/>
        <w:ind w:left="1440"/>
      </w:pPr>
      <w:r w:rsidRPr="000C0114">
        <w:t>Proposal to progress this section to something that can be presented at the FG meeting</w:t>
      </w:r>
    </w:p>
    <w:p w14:paraId="2A5BD5DD" w14:textId="77777777" w:rsidR="00045C74" w:rsidRPr="000C0114" w:rsidRDefault="00045C74" w:rsidP="00045C74">
      <w:pPr>
        <w:numPr>
          <w:ilvl w:val="0"/>
          <w:numId w:val="26"/>
        </w:numPr>
        <w:spacing w:before="0" w:line="276" w:lineRule="auto"/>
        <w:ind w:left="1440"/>
      </w:pPr>
      <w:r w:rsidRPr="000C0114">
        <w:t>Companies to look at metrics they use, and identify common denominators</w:t>
      </w:r>
    </w:p>
    <w:p w14:paraId="42A5E3B3" w14:textId="77777777" w:rsidR="00045C74" w:rsidRPr="000C0114" w:rsidRDefault="00045C74" w:rsidP="00045C74">
      <w:pPr>
        <w:ind w:left="720"/>
      </w:pPr>
    </w:p>
    <w:p w14:paraId="711D24C3" w14:textId="77777777" w:rsidR="00045C74" w:rsidRPr="000C0114" w:rsidRDefault="00045C74" w:rsidP="00045C74">
      <w:pPr>
        <w:ind w:left="720"/>
      </w:pPr>
      <w:r w:rsidRPr="000C0114">
        <w:t>TDD structure</w:t>
      </w:r>
    </w:p>
    <w:p w14:paraId="06184BC6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 xml:space="preserve">From the FG output doc: </w:t>
      </w:r>
      <w:hyperlink r:id="rId16">
        <w:r>
          <w:rPr>
            <w:rFonts w:ascii="Open Sans" w:eastAsia="Open Sans" w:hAnsi="Open Sans" w:cs="Open Sans"/>
            <w:color w:val="1155CC"/>
            <w:u w:val="single"/>
          </w:rPr>
          <w:t>C-105</w:t>
        </w:r>
      </w:hyperlink>
    </w:p>
    <w:p w14:paraId="6D1F9304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>Possible to make some changes to improve legibility?</w:t>
      </w:r>
    </w:p>
    <w:p w14:paraId="6F57E11C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>Chapter 1 and section 1.1 can be more accessible</w:t>
      </w:r>
    </w:p>
    <w:p w14:paraId="1963D54D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 xml:space="preserve">Make more accessible where possible, without compromising on accuracy </w:t>
      </w:r>
    </w:p>
    <w:p w14:paraId="25FAB4A1" w14:textId="77777777" w:rsidR="00045C74" w:rsidRPr="000C0114" w:rsidRDefault="00045C74" w:rsidP="00045C74">
      <w:pPr>
        <w:numPr>
          <w:ilvl w:val="2"/>
          <w:numId w:val="33"/>
        </w:numPr>
        <w:spacing w:before="0" w:line="276" w:lineRule="auto"/>
        <w:ind w:left="2880"/>
      </w:pPr>
      <w:r w:rsidRPr="000C0114">
        <w:t>Your.MD and Isabel agreed to have a look on how to improve this section</w:t>
      </w:r>
    </w:p>
    <w:p w14:paraId="1DF04D2C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>Changes welcome in remarks / suggestion mode</w:t>
      </w:r>
    </w:p>
    <w:p w14:paraId="26CD4BCE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>Can contribute proposed TDD structure changes back upstream to FG for new output doc</w:t>
      </w:r>
    </w:p>
    <w:p w14:paraId="2CE1E7DE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>ITU deals with large documents 600 pages</w:t>
      </w:r>
    </w:p>
    <w:p w14:paraId="7188F4CE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>Can be useful to split if structure permits, especially have more static and more changing documents</w:t>
      </w:r>
    </w:p>
    <w:p w14:paraId="2E2475C7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>The most important thing to change for the FG meeting is to introduce the sub-topic separation</w:t>
      </w:r>
    </w:p>
    <w:p w14:paraId="47C71F58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 xml:space="preserve">The TD-driver suggested to not use the </w:t>
      </w:r>
      <w:hyperlink r:id="rId17">
        <w:r>
          <w:rPr>
            <w:rFonts w:ascii="Open Sans" w:eastAsia="Open Sans" w:hAnsi="Open Sans" w:cs="Open Sans"/>
            <w:color w:val="1155CC"/>
            <w:u w:val="single"/>
          </w:rPr>
          <w:t>FGAI4H-D-022</w:t>
        </w:r>
      </w:hyperlink>
      <w:r w:rsidRPr="000C0114">
        <w:t xml:space="preserve"> but to prefer a separate “method” chapter for each sub-topic. </w:t>
      </w:r>
    </w:p>
    <w:p w14:paraId="3D0A5AD2" w14:textId="77777777" w:rsidR="00045C74" w:rsidRPr="000C0114" w:rsidRDefault="00045C74" w:rsidP="00045C74">
      <w:pPr>
        <w:numPr>
          <w:ilvl w:val="0"/>
          <w:numId w:val="33"/>
        </w:numPr>
        <w:spacing w:before="0" w:line="276" w:lineRule="auto"/>
        <w:ind w:left="1440"/>
      </w:pPr>
      <w:r w:rsidRPr="000C0114">
        <w:t>The list of other things to change for the next FG meeting are:</w:t>
      </w:r>
    </w:p>
    <w:p w14:paraId="514AFAB0" w14:textId="77777777" w:rsidR="00045C74" w:rsidRPr="000C0114" w:rsidRDefault="00045C74" w:rsidP="00045C74">
      <w:pPr>
        <w:numPr>
          <w:ilvl w:val="1"/>
          <w:numId w:val="33"/>
        </w:numPr>
        <w:spacing w:before="0" w:line="276" w:lineRule="auto"/>
        <w:ind w:left="2160"/>
      </w:pPr>
      <w:r w:rsidRPr="000C0114">
        <w:t xml:space="preserve">Adding Baidu and Isabel to the author-header, the system lists, and the declaration of interest. </w:t>
      </w:r>
    </w:p>
    <w:p w14:paraId="448007F5" w14:textId="77777777" w:rsidR="00045C74" w:rsidRPr="000C0114" w:rsidRDefault="00045C74" w:rsidP="00045C74">
      <w:pPr>
        <w:ind w:left="720"/>
      </w:pPr>
      <w:r w:rsidRPr="000C0114">
        <w:t>Benchmarking hierarchies and versions</w:t>
      </w:r>
    </w:p>
    <w:p w14:paraId="7EBE098F" w14:textId="77777777" w:rsidR="00045C74" w:rsidRPr="000C0114" w:rsidRDefault="00045C74" w:rsidP="00045C74">
      <w:pPr>
        <w:numPr>
          <w:ilvl w:val="0"/>
          <w:numId w:val="34"/>
        </w:numPr>
        <w:spacing w:before="0" w:line="276" w:lineRule="auto"/>
        <w:ind w:left="1440"/>
      </w:pPr>
      <w:r w:rsidRPr="000C0114">
        <w:t>There are some questions about having parallel benchmarks, as well as updating benchmarks (keeping every deprecated version for reference).</w:t>
      </w:r>
    </w:p>
    <w:p w14:paraId="5B819EB2" w14:textId="77777777" w:rsidR="00045C74" w:rsidRDefault="00045C74" w:rsidP="00045C74">
      <w:pPr>
        <w:pStyle w:val="Heading2"/>
        <w:numPr>
          <w:ilvl w:val="0"/>
          <w:numId w:val="35"/>
        </w:numPr>
        <w:rPr>
          <w:rFonts w:ascii="Open Sans" w:eastAsia="Open Sans" w:hAnsi="Open Sans" w:cs="Open Sans"/>
        </w:rPr>
      </w:pPr>
      <w:bookmarkStart w:id="15" w:name="_110fu2njllrw" w:colFirst="0" w:colLast="0"/>
      <w:bookmarkEnd w:id="15"/>
      <w:r>
        <w:rPr>
          <w:rFonts w:ascii="Open Sans" w:eastAsia="Open Sans" w:hAnsi="Open Sans" w:cs="Open Sans"/>
        </w:rPr>
        <w:lastRenderedPageBreak/>
        <w:t>AI crowd evaluation</w:t>
      </w:r>
    </w:p>
    <w:p w14:paraId="16B1F44C" w14:textId="77777777" w:rsidR="00045C74" w:rsidRPr="000C0114" w:rsidRDefault="00045C74" w:rsidP="00045C74">
      <w:pPr>
        <w:widowControl w:val="0"/>
        <w:ind w:left="720"/>
      </w:pPr>
      <w:r w:rsidRPr="000C0114">
        <w:t xml:space="preserve">Input document </w:t>
      </w:r>
      <w:hyperlink r:id="rId18">
        <w:r>
          <w:rPr>
            <w:rFonts w:ascii="Open Sans" w:eastAsia="Open Sans" w:hAnsi="Open Sans" w:cs="Open Sans"/>
            <w:color w:val="1155CC"/>
            <w:u w:val="single"/>
          </w:rPr>
          <w:t>FGAI4H-D-01</w:t>
        </w:r>
      </w:hyperlink>
      <w:r w:rsidRPr="000C0114">
        <w:t xml:space="preserve"> suggested to use AI Crowd as benchmarking platform. The FG created an Adhoc-Group for evaluating it at meeting D. The individual topic groups are asked to have a look at AI Crowd and assess if it can be used for their topic.</w:t>
      </w:r>
    </w:p>
    <w:p w14:paraId="43F5D516" w14:textId="77777777" w:rsidR="00045C74" w:rsidRPr="000C0114" w:rsidRDefault="00045C74" w:rsidP="00045C74">
      <w:pPr>
        <w:widowControl w:val="0"/>
      </w:pPr>
    </w:p>
    <w:p w14:paraId="48FC7FCA" w14:textId="77777777" w:rsidR="00045C74" w:rsidRPr="000C0114" w:rsidRDefault="00045C74" w:rsidP="00045C74">
      <w:pPr>
        <w:widowControl w:val="0"/>
        <w:numPr>
          <w:ilvl w:val="0"/>
          <w:numId w:val="29"/>
        </w:numPr>
        <w:spacing w:before="0"/>
        <w:ind w:left="1440"/>
      </w:pPr>
      <w:r w:rsidRPr="000C0114">
        <w:t>The TG driver will have a look at AI crowd</w:t>
      </w:r>
    </w:p>
    <w:p w14:paraId="19BF3736" w14:textId="77777777" w:rsidR="00045C74" w:rsidRPr="000C0114" w:rsidRDefault="00045C74" w:rsidP="00045C74">
      <w:pPr>
        <w:widowControl w:val="0"/>
        <w:numPr>
          <w:ilvl w:val="0"/>
          <w:numId w:val="29"/>
        </w:numPr>
        <w:spacing w:before="0"/>
        <w:ind w:left="1440"/>
      </w:pPr>
      <w:r w:rsidRPr="000C0114">
        <w:t>TG members might have a look at it (Isabel and Your.MD confirmed this)</w:t>
      </w:r>
    </w:p>
    <w:p w14:paraId="57B5C963" w14:textId="77777777" w:rsidR="00045C74" w:rsidRPr="000C0114" w:rsidRDefault="00045C74" w:rsidP="00045C74">
      <w:pPr>
        <w:widowControl w:val="0"/>
        <w:numPr>
          <w:ilvl w:val="0"/>
          <w:numId w:val="29"/>
        </w:numPr>
        <w:spacing w:before="0"/>
        <w:ind w:left="1440"/>
      </w:pPr>
      <w:r w:rsidRPr="000C0114">
        <w:t>Aspects to look for are e.g.</w:t>
      </w:r>
    </w:p>
    <w:p w14:paraId="73FBD2B3" w14:textId="77777777" w:rsidR="00045C74" w:rsidRPr="000C0114" w:rsidRDefault="00045C74" w:rsidP="000C0114">
      <w:pPr>
        <w:numPr>
          <w:ilvl w:val="0"/>
          <w:numId w:val="42"/>
        </w:numPr>
        <w:ind w:left="2058" w:hanging="357"/>
      </w:pPr>
      <w:r w:rsidRPr="000C0114">
        <w:t>Is it possible to benchmark our AI solutions in a technology independent way?</w:t>
      </w:r>
    </w:p>
    <w:p w14:paraId="1ECF00E9" w14:textId="77777777" w:rsidR="00045C74" w:rsidRPr="000C0114" w:rsidRDefault="00045C74" w:rsidP="000C0114">
      <w:pPr>
        <w:numPr>
          <w:ilvl w:val="0"/>
          <w:numId w:val="42"/>
        </w:numPr>
      </w:pPr>
      <w:r w:rsidRPr="000C0114">
        <w:t>Can we implement all the specific scores, metrics and categories we need for our benchmarking?</w:t>
      </w:r>
    </w:p>
    <w:p w14:paraId="0662A312" w14:textId="77777777" w:rsidR="00045C74" w:rsidRPr="000C0114" w:rsidRDefault="00045C74" w:rsidP="000C0114">
      <w:pPr>
        <w:numPr>
          <w:ilvl w:val="0"/>
          <w:numId w:val="42"/>
        </w:numPr>
      </w:pPr>
      <w:r w:rsidRPr="000C0114">
        <w:t xml:space="preserve">Is the report generation flexible enough? For instance, if a stakeholder wants to know the best offline preclinical triage solution for pregnant 16-25 year old women in South Africa? </w:t>
      </w:r>
    </w:p>
    <w:p w14:paraId="11169467" w14:textId="77777777" w:rsidR="00045C74" w:rsidRPr="000C0114" w:rsidRDefault="00045C74" w:rsidP="000C0114">
      <w:pPr>
        <w:numPr>
          <w:ilvl w:val="0"/>
          <w:numId w:val="42"/>
        </w:numPr>
      </w:pPr>
      <w:r w:rsidRPr="000C0114">
        <w:t>Can it potentially handle the complexities of simulating a dialog in later benchmarking iterations?</w:t>
      </w:r>
    </w:p>
    <w:p w14:paraId="2A47E300" w14:textId="77777777" w:rsidR="00045C74" w:rsidRPr="000C0114" w:rsidRDefault="00045C74" w:rsidP="00045C74">
      <w:pPr>
        <w:widowControl w:val="0"/>
        <w:numPr>
          <w:ilvl w:val="0"/>
          <w:numId w:val="29"/>
        </w:numPr>
        <w:spacing w:before="0"/>
        <w:ind w:left="1440"/>
      </w:pPr>
      <w:r w:rsidRPr="000C0114">
        <w:t>We add a detailed section on AI Crowd to our TDD reflecting our joint assessment</w:t>
      </w:r>
    </w:p>
    <w:p w14:paraId="22DC3797" w14:textId="77777777" w:rsidR="00045C74" w:rsidRPr="000C0114" w:rsidRDefault="00045C74" w:rsidP="00045C74">
      <w:pPr>
        <w:widowControl w:val="0"/>
        <w:numPr>
          <w:ilvl w:val="0"/>
          <w:numId w:val="29"/>
        </w:numPr>
        <w:spacing w:before="0"/>
        <w:ind w:left="1440"/>
      </w:pPr>
      <w:r w:rsidRPr="000C0114">
        <w:t>We given the Adhoc Group access to our insights</w:t>
      </w:r>
    </w:p>
    <w:p w14:paraId="754D655B" w14:textId="77777777" w:rsidR="00045C74" w:rsidRPr="000C0114" w:rsidRDefault="00045C74" w:rsidP="00045C74">
      <w:pPr>
        <w:widowControl w:val="0"/>
      </w:pPr>
    </w:p>
    <w:p w14:paraId="35365B88" w14:textId="77777777" w:rsidR="00045C74" w:rsidRPr="000C0114" w:rsidRDefault="00045C74" w:rsidP="00045C74">
      <w:pPr>
        <w:numPr>
          <w:ilvl w:val="0"/>
          <w:numId w:val="32"/>
        </w:numPr>
        <w:spacing w:before="0" w:line="276" w:lineRule="auto"/>
      </w:pPr>
      <w:r w:rsidRPr="000C0114">
        <w:t>Relevant readings/links include:</w:t>
      </w:r>
    </w:p>
    <w:p w14:paraId="01623379" w14:textId="77777777" w:rsidR="00045C74" w:rsidRPr="000C0114" w:rsidRDefault="00430F12" w:rsidP="000C0114">
      <w:pPr>
        <w:numPr>
          <w:ilvl w:val="0"/>
          <w:numId w:val="44"/>
        </w:numPr>
        <w:ind w:left="2058" w:hanging="357"/>
      </w:pPr>
      <w:hyperlink r:id="rId19">
        <w:r w:rsidR="00045C74">
          <w:rPr>
            <w:rFonts w:ascii="Open Sans" w:eastAsia="Open Sans" w:hAnsi="Open Sans" w:cs="Open Sans"/>
            <w:color w:val="1155CC"/>
            <w:u w:val="single"/>
          </w:rPr>
          <w:t>https://github.com/AIcrowd/AIcrowd/blob/master/doc/grading_overview.md</w:t>
        </w:r>
      </w:hyperlink>
      <w:r w:rsidR="00045C74" w:rsidRPr="000C0114">
        <w:t xml:space="preserve"> </w:t>
      </w:r>
    </w:p>
    <w:p w14:paraId="2F5D4BE0" w14:textId="77777777" w:rsidR="00045C74" w:rsidRPr="000C0114" w:rsidRDefault="00430F12" w:rsidP="000C0114">
      <w:pPr>
        <w:numPr>
          <w:ilvl w:val="0"/>
          <w:numId w:val="44"/>
        </w:numPr>
        <w:ind w:left="2058" w:hanging="357"/>
      </w:pPr>
      <w:hyperlink r:id="rId20">
        <w:r w:rsidR="00045C74">
          <w:rPr>
            <w:rFonts w:ascii="Open Sans" w:eastAsia="Open Sans" w:hAnsi="Open Sans" w:cs="Open Sans"/>
            <w:color w:val="1155CC"/>
            <w:u w:val="single"/>
          </w:rPr>
          <w:t>https://github.com/AIcrowd/AIcrowd</w:t>
        </w:r>
      </w:hyperlink>
      <w:r w:rsidR="00045C74" w:rsidRPr="000C0114">
        <w:t xml:space="preserve"> </w:t>
      </w:r>
    </w:p>
    <w:p w14:paraId="29349C94" w14:textId="77777777" w:rsidR="00045C74" w:rsidRPr="000C0114" w:rsidRDefault="00430F12" w:rsidP="000C0114">
      <w:pPr>
        <w:numPr>
          <w:ilvl w:val="0"/>
          <w:numId w:val="44"/>
        </w:numPr>
        <w:ind w:left="2058" w:hanging="357"/>
      </w:pPr>
      <w:hyperlink r:id="rId21">
        <w:r w:rsidR="00045C74">
          <w:rPr>
            <w:rFonts w:ascii="Open Sans" w:eastAsia="Open Sans" w:hAnsi="Open Sans" w:cs="Open Sans"/>
            <w:color w:val="1155CC"/>
            <w:u w:val="single"/>
          </w:rPr>
          <w:t>www.aicrowd.com</w:t>
        </w:r>
      </w:hyperlink>
      <w:r w:rsidR="00045C74" w:rsidRPr="000C0114">
        <w:t xml:space="preserve"> (previously </w:t>
      </w:r>
      <w:hyperlink r:id="rId22">
        <w:r w:rsidR="00045C74">
          <w:rPr>
            <w:rFonts w:ascii="Open Sans" w:eastAsia="Open Sans" w:hAnsi="Open Sans" w:cs="Open Sans"/>
            <w:color w:val="1155CC"/>
            <w:u w:val="single"/>
          </w:rPr>
          <w:t>www.crowdai.org</w:t>
        </w:r>
      </w:hyperlink>
      <w:r w:rsidR="00045C74" w:rsidRPr="000C0114">
        <w:t xml:space="preserve"> , old challenges available here) </w:t>
      </w:r>
    </w:p>
    <w:p w14:paraId="6267B4B0" w14:textId="77777777" w:rsidR="00045C74" w:rsidRDefault="00045C74" w:rsidP="00045C74">
      <w:pPr>
        <w:pStyle w:val="Heading2"/>
        <w:numPr>
          <w:ilvl w:val="0"/>
          <w:numId w:val="35"/>
        </w:numPr>
        <w:rPr>
          <w:rFonts w:ascii="Open Sans" w:eastAsia="Open Sans" w:hAnsi="Open Sans" w:cs="Open Sans"/>
        </w:rPr>
      </w:pPr>
      <w:bookmarkStart w:id="16" w:name="_sh6b6pc1t7rp" w:colFirst="0" w:colLast="0"/>
      <w:bookmarkEnd w:id="16"/>
      <w:r>
        <w:rPr>
          <w:rFonts w:ascii="Open Sans" w:eastAsia="Open Sans" w:hAnsi="Open Sans" w:cs="Open Sans"/>
        </w:rPr>
        <w:t>Meeting E, AI4Good Summit and others</w:t>
      </w:r>
    </w:p>
    <w:p w14:paraId="3F8BC11B" w14:textId="77777777" w:rsidR="00045C74" w:rsidRPr="000C0114" w:rsidRDefault="00045C74" w:rsidP="00045C74">
      <w:pPr>
        <w:numPr>
          <w:ilvl w:val="0"/>
          <w:numId w:val="22"/>
        </w:numPr>
        <w:spacing w:before="0" w:line="276" w:lineRule="auto"/>
      </w:pPr>
      <w:r w:rsidRPr="000C0114">
        <w:t xml:space="preserve">The deadline for TDD change submission is: </w:t>
      </w:r>
      <w:r w:rsidRPr="000C0114">
        <w:rPr>
          <w:b/>
        </w:rPr>
        <w:t>22nd May 23:59 CET</w:t>
      </w:r>
    </w:p>
    <w:p w14:paraId="6F7C0006" w14:textId="77777777" w:rsidR="00045C74" w:rsidRPr="000C0114" w:rsidRDefault="00045C74" w:rsidP="00045C74">
      <w:pPr>
        <w:numPr>
          <w:ilvl w:val="0"/>
          <w:numId w:val="22"/>
        </w:numPr>
        <w:spacing w:before="0" w:line="276" w:lineRule="auto"/>
      </w:pPr>
      <w:r w:rsidRPr="000C0114">
        <w:t>Please add contribution to the TDD until 20th May.</w:t>
      </w:r>
    </w:p>
    <w:p w14:paraId="0319D082" w14:textId="77777777" w:rsidR="00045C74" w:rsidRPr="000C0114" w:rsidRDefault="00045C74" w:rsidP="00045C74">
      <w:pPr>
        <w:numPr>
          <w:ilvl w:val="0"/>
          <w:numId w:val="22"/>
        </w:numPr>
        <w:spacing w:before="0" w:line="276" w:lineRule="auto"/>
      </w:pPr>
      <w:r w:rsidRPr="000C0114">
        <w:t>Can the group sit down together?</w:t>
      </w:r>
    </w:p>
    <w:p w14:paraId="1060B51D" w14:textId="77777777" w:rsidR="00045C74" w:rsidRPr="000C0114" w:rsidRDefault="00045C74" w:rsidP="000C0114">
      <w:pPr>
        <w:numPr>
          <w:ilvl w:val="1"/>
          <w:numId w:val="32"/>
        </w:numPr>
        <w:spacing w:before="0" w:line="276" w:lineRule="auto"/>
      </w:pPr>
      <w:r w:rsidRPr="000C0114">
        <w:t xml:space="preserve">ITU will try to </w:t>
      </w:r>
      <w:r w:rsidRPr="000C0114">
        <w:rPr>
          <w:rFonts w:ascii="Open Sans" w:eastAsia="Open Sans" w:hAnsi="Open Sans" w:cs="Open Sans"/>
          <w:color w:val="1155CC"/>
          <w:u w:val="single"/>
        </w:rPr>
        <w:t>provide</w:t>
      </w:r>
      <w:r w:rsidRPr="000C0114">
        <w:t xml:space="preserve"> a room for a breakout session for the TG</w:t>
      </w:r>
    </w:p>
    <w:p w14:paraId="6910E19E" w14:textId="77777777" w:rsidR="00045C74" w:rsidRPr="000C0114" w:rsidRDefault="00045C74" w:rsidP="00045C74">
      <w:pPr>
        <w:numPr>
          <w:ilvl w:val="0"/>
          <w:numId w:val="30"/>
        </w:numPr>
        <w:spacing w:before="0" w:line="276" w:lineRule="auto"/>
      </w:pPr>
      <w:r w:rsidRPr="000C0114">
        <w:t>TG will be presented at AI for good health breakthrough session</w:t>
      </w:r>
    </w:p>
    <w:p w14:paraId="47AC5133" w14:textId="77777777" w:rsidR="00045C74" w:rsidRPr="000C0114" w:rsidRDefault="00045C74" w:rsidP="00045C74"/>
    <w:p w14:paraId="464495AA" w14:textId="77777777" w:rsidR="000C0114" w:rsidRPr="000C0114" w:rsidRDefault="000C0114" w:rsidP="000C0114">
      <w:bookmarkStart w:id="17" w:name="_qyxffb4ya9as" w:colFirst="0" w:colLast="0"/>
      <w:bookmarkEnd w:id="17"/>
      <w:r>
        <w:br w:type="page"/>
      </w:r>
    </w:p>
    <w:p w14:paraId="38B3F376" w14:textId="086C855A" w:rsidR="00045C74" w:rsidRDefault="00045C74" w:rsidP="000C0114">
      <w:pPr>
        <w:pStyle w:val="Heading1"/>
        <w:numPr>
          <w:ilvl w:val="0"/>
          <w:numId w:val="0"/>
        </w:numPr>
      </w:pPr>
      <w:r>
        <w:t>Annex A: Agenda</w:t>
      </w:r>
    </w:p>
    <w:p w14:paraId="6A8FB8DA" w14:textId="77777777" w:rsidR="00045C74" w:rsidRPr="000C0114" w:rsidRDefault="00045C74" w:rsidP="00045C74"/>
    <w:sdt>
      <w:sdtPr>
        <w:id w:val="-1314950529"/>
        <w:docPartObj>
          <w:docPartGallery w:val="Table of Contents"/>
          <w:docPartUnique/>
        </w:docPartObj>
      </w:sdtPr>
      <w:sdtEndPr/>
      <w:sdtContent>
        <w:p w14:paraId="26B36BDF" w14:textId="77777777" w:rsidR="00045C74" w:rsidRDefault="00045C74" w:rsidP="00045C74">
          <w:pPr>
            <w:spacing w:before="80"/>
            <w:rPr>
              <w:rFonts w:ascii="Open Sans" w:eastAsia="Open Sans" w:hAnsi="Open Sans" w:cs="Open Sans"/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si7iptlv8fae">
            <w:r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1. Welcome - approval of agenda</w:t>
            </w:r>
          </w:hyperlink>
        </w:p>
        <w:p w14:paraId="4C3E1A56" w14:textId="77777777" w:rsidR="00045C74" w:rsidRDefault="00430F12" w:rsidP="00045C74">
          <w:pPr>
            <w:spacing w:before="20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8cyuzk75nl49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2. Introduction / Organisational Topics</w:t>
            </w:r>
          </w:hyperlink>
        </w:p>
        <w:p w14:paraId="0585244C" w14:textId="77777777" w:rsidR="00045C74" w:rsidRDefault="00430F12" w:rsidP="00045C74">
          <w:pPr>
            <w:spacing w:before="60"/>
            <w:ind w:left="36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x35ystcpfrt3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2.a FGAI4H-D-022</w:t>
            </w:r>
          </w:hyperlink>
        </w:p>
        <w:p w14:paraId="5FCE1CEC" w14:textId="77777777" w:rsidR="00045C74" w:rsidRDefault="00430F12" w:rsidP="00045C74">
          <w:pPr>
            <w:spacing w:before="60"/>
            <w:ind w:left="36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ofpj8d6fxpf9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2.</w:t>
            </w:r>
          </w:hyperlink>
          <w:hyperlink w:anchor="_ofpj8d6fxpf9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b FGAI4H</w:t>
            </w:r>
          </w:hyperlink>
          <w:hyperlink w:anchor="_ofpj8d6fxpf9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-D-016</w:t>
            </w:r>
          </w:hyperlink>
        </w:p>
        <w:p w14:paraId="0138751C" w14:textId="77777777" w:rsidR="00045C74" w:rsidRDefault="00430F12" w:rsidP="00045C74">
          <w:pPr>
            <w:spacing w:before="20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4j96cejxu9e8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3. Topic Description Document (TDD) work planning</w:t>
            </w:r>
          </w:hyperlink>
        </w:p>
        <w:p w14:paraId="6DF171CF" w14:textId="77777777" w:rsidR="00045C74" w:rsidRDefault="00430F12" w:rsidP="00045C74">
          <w:pPr>
            <w:spacing w:before="20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110fu2njllrw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4. AI crowd evaluation</w:t>
            </w:r>
          </w:hyperlink>
        </w:p>
        <w:p w14:paraId="62A80CB5" w14:textId="77777777" w:rsidR="00045C74" w:rsidRDefault="00430F12" w:rsidP="00045C74">
          <w:pPr>
            <w:spacing w:before="60"/>
            <w:ind w:left="36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e2v03e1mfai1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4.a FGAI4H-D-011</w:t>
            </w:r>
          </w:hyperlink>
        </w:p>
        <w:p w14:paraId="63FC6088" w14:textId="77777777" w:rsidR="00045C74" w:rsidRDefault="00430F12" w:rsidP="00045C74">
          <w:pPr>
            <w:spacing w:before="20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sh6b6pc1t7rp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5. Meeting E, AI4Good Summit and others</w:t>
            </w:r>
          </w:hyperlink>
        </w:p>
        <w:p w14:paraId="64102702" w14:textId="77777777" w:rsidR="00045C74" w:rsidRDefault="00430F12" w:rsidP="00045C74">
          <w:pPr>
            <w:spacing w:before="200"/>
            <w:rPr>
              <w:rFonts w:ascii="Open Sans" w:eastAsia="Open Sans" w:hAnsi="Open Sans" w:cs="Open Sans"/>
              <w:color w:val="1155CC"/>
              <w:u w:val="single"/>
            </w:rPr>
          </w:pPr>
          <w:hyperlink w:anchor="_qyxffb4ya9as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Annex A: Agenda</w:t>
            </w:r>
          </w:hyperlink>
        </w:p>
        <w:p w14:paraId="5AB55D41" w14:textId="77777777" w:rsidR="00045C74" w:rsidRPr="000C0114" w:rsidRDefault="00430F12" w:rsidP="00045C74">
          <w:pPr>
            <w:spacing w:before="200" w:after="80"/>
          </w:pPr>
          <w:hyperlink w:anchor="_5w263poeeckl">
            <w:r w:rsidR="00045C74">
              <w:rPr>
                <w:rFonts w:ascii="Open Sans" w:eastAsia="Open Sans" w:hAnsi="Open Sans" w:cs="Open Sans"/>
                <w:color w:val="1155CC"/>
                <w:sz w:val="22"/>
                <w:szCs w:val="22"/>
                <w:u w:val="single"/>
              </w:rPr>
              <w:t>Annex B: Attendees</w:t>
            </w:r>
          </w:hyperlink>
          <w:r w:rsidR="00045C74">
            <w:fldChar w:fldCharType="end"/>
          </w:r>
        </w:p>
      </w:sdtContent>
    </w:sdt>
    <w:p w14:paraId="7AC7652B" w14:textId="77777777" w:rsidR="00045C74" w:rsidRPr="000C0114" w:rsidRDefault="00045C74" w:rsidP="00045C74"/>
    <w:p w14:paraId="4E812BAA" w14:textId="77777777" w:rsidR="00045C74" w:rsidRPr="000C0114" w:rsidRDefault="00045C74" w:rsidP="00045C74">
      <w:r w:rsidRPr="000C0114">
        <w:t xml:space="preserve">(from: </w:t>
      </w:r>
      <w:hyperlink r:id="rId23">
        <w:r>
          <w:rPr>
            <w:rFonts w:ascii="Open Sans" w:eastAsia="Open Sans" w:hAnsi="Open Sans" w:cs="Open Sans"/>
            <w:color w:val="1155CC"/>
            <w:u w:val="single"/>
          </w:rPr>
          <w:t>https://docs.google.com/document/d/1khfiAQldVCP21XTGxXyXmQ-4vJRpecNvVdgLo2INHa0/</w:t>
        </w:r>
      </w:hyperlink>
      <w:r w:rsidRPr="000C0114">
        <w:t xml:space="preserve">) </w:t>
      </w:r>
    </w:p>
    <w:p w14:paraId="4C74FB23" w14:textId="77777777" w:rsidR="00045C74" w:rsidRPr="000C0114" w:rsidRDefault="00045C74" w:rsidP="00045C74"/>
    <w:p w14:paraId="3ED35A83" w14:textId="77777777" w:rsidR="00045C74" w:rsidRDefault="00045C74" w:rsidP="000C0114">
      <w:pPr>
        <w:pStyle w:val="Heading1"/>
        <w:numPr>
          <w:ilvl w:val="0"/>
          <w:numId w:val="0"/>
        </w:numPr>
      </w:pPr>
      <w:bookmarkStart w:id="18" w:name="_5w263poeeckl" w:colFirst="0" w:colLast="0"/>
      <w:bookmarkEnd w:id="18"/>
      <w:r>
        <w:t>Annex B: Attendees</w:t>
      </w:r>
    </w:p>
    <w:p w14:paraId="4D44238A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Henry Hoffmann (</w:t>
      </w:r>
      <w:hyperlink r:id="rId24">
        <w:r>
          <w:rPr>
            <w:rFonts w:ascii="Open Sans" w:eastAsia="Open Sans" w:hAnsi="Open Sans" w:cs="Open Sans"/>
            <w:color w:val="1155CC"/>
            <w:u w:val="single"/>
          </w:rPr>
          <w:t>Ada</w:t>
        </w:r>
      </w:hyperlink>
      <w:r w:rsidRPr="000C0114">
        <w:t>) - Topic Driver</w:t>
      </w:r>
    </w:p>
    <w:p w14:paraId="4A1437B4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Andreas Kuhn (</w:t>
      </w:r>
      <w:hyperlink r:id="rId25">
        <w:r>
          <w:rPr>
            <w:rFonts w:ascii="Open Sans" w:eastAsia="Open Sans" w:hAnsi="Open Sans" w:cs="Open Sans"/>
            <w:color w:val="1155CC"/>
            <w:u w:val="single"/>
          </w:rPr>
          <w:t>Ada</w:t>
        </w:r>
      </w:hyperlink>
      <w:r w:rsidRPr="000C0114">
        <w:t>)</w:t>
      </w:r>
    </w:p>
    <w:p w14:paraId="04A9D4AD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Shubs Upadhyay (</w:t>
      </w:r>
      <w:hyperlink r:id="rId26">
        <w:r>
          <w:rPr>
            <w:rFonts w:ascii="Open Sans" w:eastAsia="Open Sans" w:hAnsi="Open Sans" w:cs="Open Sans"/>
            <w:color w:val="1155CC"/>
            <w:u w:val="single"/>
          </w:rPr>
          <w:t>Ada</w:t>
        </w:r>
      </w:hyperlink>
      <w:r w:rsidRPr="000C0114">
        <w:t>)</w:t>
      </w:r>
    </w:p>
    <w:p w14:paraId="0250B3FD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Jonathon Carr-Brown (</w:t>
      </w:r>
      <w:hyperlink r:id="rId27">
        <w:r>
          <w:rPr>
            <w:rFonts w:ascii="Open Sans" w:eastAsia="Open Sans" w:hAnsi="Open Sans" w:cs="Open Sans"/>
            <w:color w:val="1155CC"/>
            <w:u w:val="single"/>
          </w:rPr>
          <w:t>Your.MD</w:t>
        </w:r>
      </w:hyperlink>
      <w:r w:rsidRPr="000C0114">
        <w:t>)</w:t>
      </w:r>
    </w:p>
    <w:p w14:paraId="6D159ACB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Jason Maude (</w:t>
      </w:r>
      <w:hyperlink r:id="rId28">
        <w:r>
          <w:rPr>
            <w:rFonts w:ascii="Open Sans" w:eastAsia="Open Sans" w:hAnsi="Open Sans" w:cs="Open Sans"/>
            <w:color w:val="1155CC"/>
            <w:u w:val="single"/>
          </w:rPr>
          <w:t>Isabel</w:t>
        </w:r>
      </w:hyperlink>
      <w:r w:rsidRPr="000C0114">
        <w:t>)</w:t>
      </w:r>
    </w:p>
    <w:p w14:paraId="70E04C31" w14:textId="77777777" w:rsidR="00045C74" w:rsidRPr="000C0114" w:rsidRDefault="00045C74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Pradeep Balachandran (FG-AI4H)</w:t>
      </w:r>
    </w:p>
    <w:p w14:paraId="67D7DAAD" w14:textId="77777777" w:rsidR="00FA6718" w:rsidRPr="000C0114" w:rsidRDefault="00FA6718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Vishnu Ram OV (FG-ML5G)</w:t>
      </w:r>
    </w:p>
    <w:p w14:paraId="5EED07D2" w14:textId="77777777" w:rsidR="00FA6718" w:rsidRPr="000C0114" w:rsidRDefault="00FA6718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+393402378412</w:t>
      </w:r>
    </w:p>
    <w:p w14:paraId="4651EF7C" w14:textId="77777777" w:rsidR="00FA6718" w:rsidRPr="000C0114" w:rsidRDefault="00FA6718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Simao Campos (ITU)</w:t>
      </w:r>
    </w:p>
    <w:p w14:paraId="505D4CFA" w14:textId="77777777" w:rsidR="00FA6718" w:rsidRPr="000C0114" w:rsidRDefault="00FA6718" w:rsidP="000C0114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0114">
        <w:t>Bastiaan Quast (ITU)</w:t>
      </w:r>
    </w:p>
    <w:p w14:paraId="265EE000" w14:textId="77777777" w:rsidR="00FA6718" w:rsidRPr="000C0114" w:rsidRDefault="00FA6718" w:rsidP="00FA6718">
      <w:pPr>
        <w:spacing w:before="0" w:line="276" w:lineRule="auto"/>
        <w:ind w:left="720"/>
      </w:pPr>
    </w:p>
    <w:p w14:paraId="20C416ED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1DB03B0C" w14:textId="77777777" w:rsidR="00BC1D31" w:rsidRPr="00AB258E" w:rsidRDefault="00BC1D31" w:rsidP="00BC1D31">
      <w:bookmarkStart w:id="19" w:name="_GoBack"/>
      <w:bookmarkEnd w:id="19"/>
    </w:p>
    <w:sectPr w:rsidR="00BC1D31" w:rsidRPr="00AB258E" w:rsidSect="007B7733">
      <w:headerReference w:type="default" r:id="rId29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9658" w14:textId="77777777" w:rsidR="000E7EE8" w:rsidRDefault="000E7EE8" w:rsidP="007B7733">
      <w:pPr>
        <w:spacing w:before="0"/>
      </w:pPr>
      <w:r>
        <w:separator/>
      </w:r>
    </w:p>
  </w:endnote>
  <w:endnote w:type="continuationSeparator" w:id="0">
    <w:p w14:paraId="1B99B860" w14:textId="77777777" w:rsidR="000E7EE8" w:rsidRDefault="000E7EE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62E6" w14:textId="77777777" w:rsidR="000E7EE8" w:rsidRDefault="000E7EE8" w:rsidP="007B7733">
      <w:pPr>
        <w:spacing w:before="0"/>
      </w:pPr>
      <w:r>
        <w:separator/>
      </w:r>
    </w:p>
  </w:footnote>
  <w:footnote w:type="continuationSeparator" w:id="0">
    <w:p w14:paraId="5F4A99F1" w14:textId="77777777" w:rsidR="000E7EE8" w:rsidRDefault="000E7EE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BAC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13442">
      <w:rPr>
        <w:noProof/>
      </w:rPr>
      <w:t>4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5C479E5" w14:textId="40743515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0F12">
      <w:rPr>
        <w:noProof/>
      </w:rPr>
      <w:t>FG-AI4H-E-006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06D"/>
    <w:multiLevelType w:val="hybridMultilevel"/>
    <w:tmpl w:val="76A619CA"/>
    <w:lvl w:ilvl="0" w:tplc="ED72E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321B75"/>
    <w:multiLevelType w:val="multilevel"/>
    <w:tmpl w:val="FE349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0B5246B"/>
    <w:multiLevelType w:val="multilevel"/>
    <w:tmpl w:val="AB708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11C00F6"/>
    <w:multiLevelType w:val="hybridMultilevel"/>
    <w:tmpl w:val="F352241A"/>
    <w:lvl w:ilvl="0" w:tplc="EBD030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2016B4E"/>
    <w:multiLevelType w:val="multilevel"/>
    <w:tmpl w:val="AFD0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707248D"/>
    <w:multiLevelType w:val="multilevel"/>
    <w:tmpl w:val="ED1CF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82E5201"/>
    <w:multiLevelType w:val="multilevel"/>
    <w:tmpl w:val="76921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19726CD6"/>
    <w:multiLevelType w:val="hybridMultilevel"/>
    <w:tmpl w:val="15E429C8"/>
    <w:lvl w:ilvl="0" w:tplc="F738E9B4">
      <w:start w:val="1"/>
      <w:numFmt w:val="bullet"/>
      <w:lvlRestart w:val="0"/>
      <w:lvlText w:val="o"/>
      <w:lvlJc w:val="left"/>
      <w:pPr>
        <w:ind w:left="2259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9" w15:restartNumberingAfterBreak="0">
    <w:nsid w:val="22106D1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D33953"/>
    <w:multiLevelType w:val="hybridMultilevel"/>
    <w:tmpl w:val="A44689B2"/>
    <w:lvl w:ilvl="0" w:tplc="08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29310459"/>
    <w:multiLevelType w:val="multilevel"/>
    <w:tmpl w:val="004EE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BC61744"/>
    <w:multiLevelType w:val="multilevel"/>
    <w:tmpl w:val="7CB4A8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5CF7DBC"/>
    <w:multiLevelType w:val="multilevel"/>
    <w:tmpl w:val="AEC43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AB864B3"/>
    <w:multiLevelType w:val="multilevel"/>
    <w:tmpl w:val="DFDEC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477E07"/>
    <w:multiLevelType w:val="multilevel"/>
    <w:tmpl w:val="522CB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073B05"/>
    <w:multiLevelType w:val="multilevel"/>
    <w:tmpl w:val="C352C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D418F1"/>
    <w:multiLevelType w:val="hybridMultilevel"/>
    <w:tmpl w:val="237E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CCB"/>
    <w:multiLevelType w:val="multilevel"/>
    <w:tmpl w:val="E55CB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C463E5"/>
    <w:multiLevelType w:val="multilevel"/>
    <w:tmpl w:val="163C7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7E21C8C"/>
    <w:multiLevelType w:val="multilevel"/>
    <w:tmpl w:val="9B0A79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2"/>
  </w:num>
  <w:num w:numId="23">
    <w:abstractNumId w:val="25"/>
  </w:num>
  <w:num w:numId="24">
    <w:abstractNumId w:val="16"/>
  </w:num>
  <w:num w:numId="25">
    <w:abstractNumId w:val="21"/>
  </w:num>
  <w:num w:numId="26">
    <w:abstractNumId w:val="29"/>
  </w:num>
  <w:num w:numId="27">
    <w:abstractNumId w:val="13"/>
  </w:num>
  <w:num w:numId="28">
    <w:abstractNumId w:val="12"/>
  </w:num>
  <w:num w:numId="29">
    <w:abstractNumId w:val="15"/>
  </w:num>
  <w:num w:numId="30">
    <w:abstractNumId w:val="17"/>
  </w:num>
  <w:num w:numId="31">
    <w:abstractNumId w:val="24"/>
  </w:num>
  <w:num w:numId="32">
    <w:abstractNumId w:val="30"/>
  </w:num>
  <w:num w:numId="33">
    <w:abstractNumId w:val="28"/>
  </w:num>
  <w:num w:numId="34">
    <w:abstractNumId w:val="26"/>
  </w:num>
  <w:num w:numId="35">
    <w:abstractNumId w:val="27"/>
  </w:num>
  <w:num w:numId="36">
    <w:abstractNumId w:val="31"/>
  </w:num>
  <w:num w:numId="37">
    <w:abstractNumId w:val="31"/>
  </w:num>
  <w:num w:numId="38">
    <w:abstractNumId w:val="31"/>
  </w:num>
  <w:num w:numId="39">
    <w:abstractNumId w:val="31"/>
  </w:num>
  <w:num w:numId="40">
    <w:abstractNumId w:val="19"/>
  </w:num>
  <w:num w:numId="41">
    <w:abstractNumId w:val="10"/>
  </w:num>
  <w:num w:numId="42">
    <w:abstractNumId w:val="20"/>
  </w:num>
  <w:num w:numId="43">
    <w:abstractNumId w:val="1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zI0M7Q0tzA2MDZQ0lEKTi0uzszPAykwrgUAa8PvlCwAAAA="/>
  </w:docVars>
  <w:rsids>
    <w:rsidRoot w:val="00E03557"/>
    <w:rsid w:val="000002CE"/>
    <w:rsid w:val="00000339"/>
    <w:rsid w:val="00000BA4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5C74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0114"/>
    <w:rsid w:val="000C1868"/>
    <w:rsid w:val="000C5FD9"/>
    <w:rsid w:val="000D7A19"/>
    <w:rsid w:val="000E4E82"/>
    <w:rsid w:val="000E6414"/>
    <w:rsid w:val="000E7EE8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0F12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3BF8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01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0DC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14EE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344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718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0630E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C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ymptomchecker.isabelhealthcare.com/" TargetMode="External"/><Relationship Id="rId18" Type="http://schemas.openxmlformats.org/officeDocument/2006/relationships/hyperlink" Target="https://extranet.itu.int/sites/itu-t/focusgroups/ai4h/docs/FGAI4H-D-011.docx?d=w83459290fe0b423abc4f6dabbdc93c50" TargetMode="External"/><Relationship Id="rId26" Type="http://schemas.openxmlformats.org/officeDocument/2006/relationships/hyperlink" Target="https://ada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icrowd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hubs.upadhyay@ada.com" TargetMode="External"/><Relationship Id="rId17" Type="http://schemas.openxmlformats.org/officeDocument/2006/relationships/hyperlink" Target="https://extranet.itu.int/sites/itu-t/focusgroups/ai4h/docs/FGAI4H-D-022.docx" TargetMode="External"/><Relationship Id="rId25" Type="http://schemas.openxmlformats.org/officeDocument/2006/relationships/hyperlink" Target="https://ad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C-105.docx" TargetMode="External"/><Relationship Id="rId20" Type="http://schemas.openxmlformats.org/officeDocument/2006/relationships/hyperlink" Target="https://github.com/AIcrowd/AIcrow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ry.hoffmann@ada.com" TargetMode="External"/><Relationship Id="rId24" Type="http://schemas.openxmlformats.org/officeDocument/2006/relationships/hyperlink" Target="https://ada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C-105.docx" TargetMode="External"/><Relationship Id="rId23" Type="http://schemas.openxmlformats.org/officeDocument/2006/relationships/hyperlink" Target="https://docs.google.com/document/d/1khfiAQldVCP21XTGxXyXmQ-4vJRpecNvVdgLo2INHa0/" TargetMode="External"/><Relationship Id="rId28" Type="http://schemas.openxmlformats.org/officeDocument/2006/relationships/hyperlink" Target="https://symptomchecker.isabelhealthcare.com/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github.com/AIcrowd/AIcrowd/blob/master/doc/grading_overview.md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D-016.docx" TargetMode="External"/><Relationship Id="rId22" Type="http://schemas.openxmlformats.org/officeDocument/2006/relationships/hyperlink" Target="http://www.crowdai.org" TargetMode="External"/><Relationship Id="rId27" Type="http://schemas.openxmlformats.org/officeDocument/2006/relationships/hyperlink" Target="https://www.your.md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010C0E-5441-4C93-8CCF-69CB3034185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957</Words>
  <Characters>5093</Characters>
  <Application>Microsoft Office Word</Application>
  <DocSecurity>0</DocSecurity>
  <Lines>162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TG-Symptom call (2019-05-08)</dc:title>
  <dc:subject/>
  <dc:creator>TG-Symptom</dc:creator>
  <cp:keywords/>
  <dc:description>FG-AI4H-E-006  For: Geneva, 30 May – 1 June 2019_x000d_Document date: ITU-T Focus Group on AI for Health_x000d_Saved by ITU51013388 at 19:10:21 on 24/05/2019</dc:description>
  <cp:lastModifiedBy>Revision</cp:lastModifiedBy>
  <cp:revision>7</cp:revision>
  <cp:lastPrinted>2011-04-05T14:28:00Z</cp:lastPrinted>
  <dcterms:created xsi:type="dcterms:W3CDTF">2019-05-24T11:59:00Z</dcterms:created>
  <dcterms:modified xsi:type="dcterms:W3CDTF">2019-05-24T17:10:00Z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FG-AI4H-E-006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</vt:lpwstr>
  </property>
  <property fmtid="{D5CDD505-2E9C-101B-9397-08002B2CF9AE}" pid="7" name="Docdest">
    <vt:lpwstr>Geneva, 30 May – 1 June 2019</vt:lpwstr>
  </property>
  <property fmtid="{D5CDD505-2E9C-101B-9397-08002B2CF9AE}" pid="8" name="Docauthor">
    <vt:lpwstr>TG-Symptom</vt:lpwstr>
  </property>
</Properties>
</file>