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992"/>
        <w:gridCol w:w="3686"/>
      </w:tblGrid>
      <w:tr w:rsidR="005A5A03" w:rsidRPr="00E03557" w:rsidTr="00A32A93">
        <w:trPr>
          <w:cantSplit/>
          <w:jc w:val="center"/>
        </w:trPr>
        <w:tc>
          <w:tcPr>
            <w:tcW w:w="1133" w:type="dxa"/>
            <w:vMerge w:val="restart"/>
            <w:vAlign w:val="center"/>
          </w:tcPr>
          <w:p w:rsidR="005A5A03" w:rsidRPr="00E03557" w:rsidRDefault="005A5A03" w:rsidP="00A32A93">
            <w:pPr>
              <w:jc w:val="center"/>
              <w:rPr>
                <w:sz w:val="20"/>
                <w:szCs w:val="20"/>
              </w:rPr>
            </w:pPr>
            <w:bookmarkStart w:id="0" w:name="_Hlk525579883"/>
            <w:bookmarkStart w:id="1" w:name="dtableau"/>
            <w:bookmarkStart w:id="2" w:name="dsg" w:colFirst="1" w:colLast="1"/>
            <w:bookmarkStart w:id="3" w:name="dnum" w:colFirst="2" w:colLast="2"/>
            <w:r w:rsidRPr="00E03557">
              <w:rPr>
                <w:noProof/>
                <w:sz w:val="20"/>
                <w:szCs w:val="20"/>
                <w:lang w:eastAsia="zh-CN"/>
              </w:rPr>
              <w:drawing>
                <wp:inline distT="0" distB="0" distL="0" distR="0" wp14:anchorId="08A1664F" wp14:editId="32DE9315">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rsidR="005A5A03" w:rsidRPr="00E03557" w:rsidRDefault="005A5A03" w:rsidP="00A32A93">
            <w:pPr>
              <w:rPr>
                <w:sz w:val="16"/>
                <w:szCs w:val="16"/>
              </w:rPr>
            </w:pPr>
            <w:r w:rsidRPr="00E03557">
              <w:rPr>
                <w:sz w:val="16"/>
                <w:szCs w:val="16"/>
              </w:rPr>
              <w:t>INTERNATIONAL TELECOMMUNICATION UNION</w:t>
            </w:r>
          </w:p>
          <w:p w:rsidR="005A5A03" w:rsidRPr="00E03557" w:rsidRDefault="005A5A03" w:rsidP="00A32A93">
            <w:pPr>
              <w:rPr>
                <w:b/>
                <w:bCs/>
                <w:sz w:val="26"/>
                <w:szCs w:val="26"/>
              </w:rPr>
            </w:pPr>
            <w:r w:rsidRPr="00E03557">
              <w:rPr>
                <w:b/>
                <w:bCs/>
                <w:sz w:val="26"/>
                <w:szCs w:val="26"/>
              </w:rPr>
              <w:t>TELECOMMUNICATION</w:t>
            </w:r>
            <w:r w:rsidRPr="00E03557">
              <w:rPr>
                <w:b/>
                <w:bCs/>
                <w:sz w:val="26"/>
                <w:szCs w:val="26"/>
              </w:rPr>
              <w:br/>
              <w:t>STANDARDIZATION SECTOR</w:t>
            </w:r>
          </w:p>
          <w:p w:rsidR="005A5A03" w:rsidRPr="00E03557" w:rsidRDefault="005A5A03" w:rsidP="00A32A93">
            <w:pPr>
              <w:rPr>
                <w:sz w:val="20"/>
                <w:szCs w:val="20"/>
              </w:rPr>
            </w:pPr>
            <w:r w:rsidRPr="00E03557">
              <w:rPr>
                <w:sz w:val="20"/>
                <w:szCs w:val="20"/>
              </w:rPr>
              <w:t>STUDY PERIOD 2017-2020</w:t>
            </w:r>
          </w:p>
        </w:tc>
        <w:tc>
          <w:tcPr>
            <w:tcW w:w="4678" w:type="dxa"/>
            <w:gridSpan w:val="2"/>
            <w:vAlign w:val="center"/>
          </w:tcPr>
          <w:p w:rsidR="005A5A03" w:rsidRPr="006749DD" w:rsidRDefault="005A5A03" w:rsidP="00A32A93">
            <w:pPr>
              <w:pStyle w:val="Docnumber"/>
              <w:rPr>
                <w:rFonts w:ascii="docnumber" w:hAnsi="docnumber" w:hint="eastAsia"/>
              </w:rPr>
            </w:pPr>
            <w:r w:rsidRPr="006749DD">
              <w:rPr>
                <w:rFonts w:ascii="docnumber" w:hAnsi="docnumber"/>
              </w:rPr>
              <w:t>FG-AI4H-</w:t>
            </w:r>
            <w:r>
              <w:rPr>
                <w:rFonts w:ascii="docnumber" w:hAnsi="docnumber"/>
              </w:rPr>
              <w:t>C</w:t>
            </w:r>
            <w:r w:rsidR="00665D3E">
              <w:rPr>
                <w:rFonts w:ascii="docnumber" w:hAnsi="docnumber"/>
              </w:rPr>
              <w:t>-018</w:t>
            </w:r>
          </w:p>
        </w:tc>
      </w:tr>
      <w:bookmarkEnd w:id="3"/>
      <w:tr w:rsidR="005A5A03" w:rsidRPr="00E03557" w:rsidTr="00A32A93">
        <w:trPr>
          <w:cantSplit/>
          <w:jc w:val="center"/>
        </w:trPr>
        <w:tc>
          <w:tcPr>
            <w:tcW w:w="1133" w:type="dxa"/>
            <w:vMerge/>
          </w:tcPr>
          <w:p w:rsidR="005A5A03" w:rsidRPr="00E03557" w:rsidRDefault="005A5A03" w:rsidP="00A32A93">
            <w:pPr>
              <w:rPr>
                <w:smallCaps/>
                <w:sz w:val="20"/>
              </w:rPr>
            </w:pPr>
          </w:p>
        </w:tc>
        <w:tc>
          <w:tcPr>
            <w:tcW w:w="3829" w:type="dxa"/>
            <w:gridSpan w:val="2"/>
            <w:vMerge/>
          </w:tcPr>
          <w:p w:rsidR="005A5A03" w:rsidRPr="00E03557" w:rsidRDefault="005A5A03" w:rsidP="00A32A93">
            <w:pPr>
              <w:rPr>
                <w:smallCaps/>
                <w:sz w:val="20"/>
              </w:rPr>
            </w:pPr>
            <w:bookmarkStart w:id="4" w:name="ddate" w:colFirst="2" w:colLast="2"/>
          </w:p>
        </w:tc>
        <w:tc>
          <w:tcPr>
            <w:tcW w:w="4678" w:type="dxa"/>
            <w:gridSpan w:val="2"/>
          </w:tcPr>
          <w:p w:rsidR="005A5A03" w:rsidRPr="00E03557" w:rsidRDefault="005A5A03" w:rsidP="00A32A93">
            <w:pPr>
              <w:jc w:val="right"/>
              <w:rPr>
                <w:b/>
                <w:bCs/>
                <w:sz w:val="28"/>
                <w:szCs w:val="28"/>
              </w:rPr>
            </w:pPr>
            <w:r>
              <w:rPr>
                <w:b/>
                <w:bCs/>
                <w:sz w:val="28"/>
                <w:szCs w:val="28"/>
              </w:rPr>
              <w:t>ITU-T Focus Group on AI for Health</w:t>
            </w:r>
          </w:p>
        </w:tc>
      </w:tr>
      <w:tr w:rsidR="005A5A03" w:rsidRPr="00E03557" w:rsidTr="00A32A93">
        <w:trPr>
          <w:cantSplit/>
          <w:jc w:val="center"/>
        </w:trPr>
        <w:tc>
          <w:tcPr>
            <w:tcW w:w="1133" w:type="dxa"/>
            <w:vMerge/>
            <w:tcBorders>
              <w:bottom w:val="single" w:sz="12" w:space="0" w:color="auto"/>
            </w:tcBorders>
          </w:tcPr>
          <w:p w:rsidR="005A5A03" w:rsidRPr="00E03557" w:rsidRDefault="005A5A03" w:rsidP="00A32A93">
            <w:pPr>
              <w:rPr>
                <w:b/>
                <w:bCs/>
                <w:sz w:val="26"/>
              </w:rPr>
            </w:pPr>
          </w:p>
        </w:tc>
        <w:tc>
          <w:tcPr>
            <w:tcW w:w="3829" w:type="dxa"/>
            <w:gridSpan w:val="2"/>
            <w:vMerge/>
            <w:tcBorders>
              <w:bottom w:val="single" w:sz="12" w:space="0" w:color="auto"/>
            </w:tcBorders>
          </w:tcPr>
          <w:p w:rsidR="005A5A03" w:rsidRPr="00E03557" w:rsidRDefault="005A5A03" w:rsidP="00A32A93">
            <w:pPr>
              <w:rPr>
                <w:b/>
                <w:bCs/>
                <w:sz w:val="26"/>
              </w:rPr>
            </w:pPr>
            <w:bookmarkStart w:id="5" w:name="dorlang" w:colFirst="2" w:colLast="2"/>
            <w:bookmarkEnd w:id="4"/>
          </w:p>
        </w:tc>
        <w:tc>
          <w:tcPr>
            <w:tcW w:w="4678" w:type="dxa"/>
            <w:gridSpan w:val="2"/>
            <w:tcBorders>
              <w:bottom w:val="single" w:sz="12" w:space="0" w:color="auto"/>
            </w:tcBorders>
            <w:vAlign w:val="center"/>
          </w:tcPr>
          <w:p w:rsidR="005A5A03" w:rsidRPr="00E03557" w:rsidRDefault="005A5A03" w:rsidP="00A32A93">
            <w:pPr>
              <w:jc w:val="right"/>
              <w:rPr>
                <w:b/>
                <w:bCs/>
                <w:sz w:val="28"/>
                <w:szCs w:val="28"/>
              </w:rPr>
            </w:pPr>
            <w:r w:rsidRPr="00E03557">
              <w:rPr>
                <w:b/>
                <w:bCs/>
                <w:sz w:val="28"/>
                <w:szCs w:val="28"/>
              </w:rPr>
              <w:t>Original: English</w:t>
            </w:r>
          </w:p>
        </w:tc>
      </w:tr>
      <w:tr w:rsidR="005A5A03" w:rsidRPr="00E03557" w:rsidTr="00A32A93">
        <w:trPr>
          <w:cantSplit/>
          <w:jc w:val="center"/>
        </w:trPr>
        <w:tc>
          <w:tcPr>
            <w:tcW w:w="1700" w:type="dxa"/>
            <w:gridSpan w:val="2"/>
          </w:tcPr>
          <w:p w:rsidR="005A5A03" w:rsidRPr="00E03557" w:rsidRDefault="005A5A03" w:rsidP="00A32A93">
            <w:pPr>
              <w:rPr>
                <w:b/>
                <w:bCs/>
              </w:rPr>
            </w:pPr>
            <w:bookmarkStart w:id="6" w:name="dbluepink" w:colFirst="1" w:colLast="1"/>
            <w:bookmarkStart w:id="7" w:name="dmeeting" w:colFirst="2" w:colLast="2"/>
            <w:bookmarkEnd w:id="2"/>
            <w:bookmarkEnd w:id="5"/>
            <w:r>
              <w:rPr>
                <w:b/>
                <w:bCs/>
              </w:rPr>
              <w:t>WG</w:t>
            </w:r>
            <w:r w:rsidRPr="00E03557">
              <w:rPr>
                <w:b/>
                <w:bCs/>
              </w:rPr>
              <w:t>(s):</w:t>
            </w:r>
          </w:p>
        </w:tc>
        <w:tc>
          <w:tcPr>
            <w:tcW w:w="3262" w:type="dxa"/>
            <w:vAlign w:val="center"/>
          </w:tcPr>
          <w:p w:rsidR="005A5A03" w:rsidRPr="00123B21" w:rsidRDefault="005A5A03" w:rsidP="00A32A93">
            <w:r>
              <w:t>Plenary</w:t>
            </w:r>
          </w:p>
        </w:tc>
        <w:tc>
          <w:tcPr>
            <w:tcW w:w="4678" w:type="dxa"/>
            <w:gridSpan w:val="2"/>
            <w:vAlign w:val="center"/>
          </w:tcPr>
          <w:p w:rsidR="005A5A03" w:rsidRPr="00123B21" w:rsidRDefault="005A5A03" w:rsidP="00A32A93">
            <w:pPr>
              <w:jc w:val="right"/>
            </w:pPr>
            <w:r>
              <w:t>Lausanne, 23-25 January 2019</w:t>
            </w:r>
          </w:p>
        </w:tc>
      </w:tr>
      <w:tr w:rsidR="005A5A03" w:rsidRPr="00E03557" w:rsidTr="00A32A93">
        <w:trPr>
          <w:cantSplit/>
          <w:jc w:val="center"/>
        </w:trPr>
        <w:tc>
          <w:tcPr>
            <w:tcW w:w="9640" w:type="dxa"/>
            <w:gridSpan w:val="5"/>
          </w:tcPr>
          <w:p w:rsidR="005A5A03" w:rsidRPr="00E03557" w:rsidRDefault="005A5A03" w:rsidP="00A32A93">
            <w:pPr>
              <w:jc w:val="center"/>
              <w:rPr>
                <w:b/>
                <w:bCs/>
              </w:rPr>
            </w:pPr>
            <w:bookmarkStart w:id="8" w:name="dtitle" w:colFirst="0" w:colLast="0"/>
            <w:bookmarkEnd w:id="6"/>
            <w:bookmarkEnd w:id="7"/>
            <w:r w:rsidRPr="00123B21">
              <w:rPr>
                <w:b/>
                <w:bCs/>
              </w:rPr>
              <w:t>DOCUMENT</w:t>
            </w:r>
          </w:p>
        </w:tc>
      </w:tr>
      <w:tr w:rsidR="005A5A03" w:rsidRPr="00E03557" w:rsidTr="00A32A93">
        <w:trPr>
          <w:cantSplit/>
          <w:jc w:val="center"/>
        </w:trPr>
        <w:tc>
          <w:tcPr>
            <w:tcW w:w="1700" w:type="dxa"/>
            <w:gridSpan w:val="2"/>
          </w:tcPr>
          <w:p w:rsidR="005A5A03" w:rsidRPr="00E03557" w:rsidRDefault="005A5A03" w:rsidP="005A5A03">
            <w:pPr>
              <w:rPr>
                <w:b/>
                <w:bCs/>
              </w:rPr>
            </w:pPr>
            <w:bookmarkStart w:id="9" w:name="dsource" w:colFirst="1" w:colLast="1"/>
            <w:bookmarkEnd w:id="8"/>
            <w:r w:rsidRPr="00E03557">
              <w:rPr>
                <w:b/>
                <w:bCs/>
              </w:rPr>
              <w:t>Source:</w:t>
            </w:r>
          </w:p>
        </w:tc>
        <w:tc>
          <w:tcPr>
            <w:tcW w:w="7940" w:type="dxa"/>
            <w:gridSpan w:val="3"/>
            <w:vAlign w:val="center"/>
          </w:tcPr>
          <w:p w:rsidR="005A5A03" w:rsidRDefault="005A5A03" w:rsidP="005A5A03">
            <w:r>
              <w:t>Institute of Pathology, Charité Universitätsmedizin Berlin, Berlin Institute of Health &amp; Berlin Big Data Center, Berlin Center for Machine Learning, Technische Universität Berlin, Singapore University of Technology and Design, TIL international working group</w:t>
            </w:r>
          </w:p>
        </w:tc>
      </w:tr>
      <w:tr w:rsidR="005A5A03" w:rsidRPr="00E03557" w:rsidTr="00A32A93">
        <w:trPr>
          <w:cantSplit/>
          <w:jc w:val="center"/>
        </w:trPr>
        <w:tc>
          <w:tcPr>
            <w:tcW w:w="1700" w:type="dxa"/>
            <w:gridSpan w:val="2"/>
          </w:tcPr>
          <w:p w:rsidR="005A5A03" w:rsidRPr="00E03557" w:rsidRDefault="005A5A03" w:rsidP="005A5A03">
            <w:bookmarkStart w:id="10" w:name="dtitle1" w:colFirst="1" w:colLast="1"/>
            <w:bookmarkEnd w:id="9"/>
            <w:r w:rsidRPr="00E03557">
              <w:rPr>
                <w:b/>
                <w:bCs/>
              </w:rPr>
              <w:t>Title:</w:t>
            </w:r>
          </w:p>
        </w:tc>
        <w:tc>
          <w:tcPr>
            <w:tcW w:w="7940" w:type="dxa"/>
            <w:gridSpan w:val="3"/>
            <w:vAlign w:val="center"/>
          </w:tcPr>
          <w:p w:rsidR="005A5A03" w:rsidRDefault="005A5A03" w:rsidP="005A5A03">
            <w:r>
              <w:t>Annotation of histopathology images and benchmarking of AI solutions for the use case "machine learning-based profiling of tumor-infiltrating lymphocytes in breast cancer"</w:t>
            </w:r>
          </w:p>
        </w:tc>
      </w:tr>
      <w:tr w:rsidR="005A5A03" w:rsidRPr="00E03557" w:rsidTr="00A32A93">
        <w:trPr>
          <w:cantSplit/>
          <w:jc w:val="center"/>
        </w:trPr>
        <w:tc>
          <w:tcPr>
            <w:tcW w:w="1700" w:type="dxa"/>
            <w:gridSpan w:val="2"/>
            <w:tcBorders>
              <w:bottom w:val="single" w:sz="6" w:space="0" w:color="auto"/>
            </w:tcBorders>
          </w:tcPr>
          <w:p w:rsidR="005A5A03" w:rsidRPr="00E03557" w:rsidRDefault="005A5A03" w:rsidP="005A5A03">
            <w:pPr>
              <w:rPr>
                <w:b/>
                <w:bCs/>
              </w:rPr>
            </w:pPr>
            <w:bookmarkStart w:id="11" w:name="dpurpose" w:colFirst="1" w:colLast="1"/>
            <w:bookmarkEnd w:id="10"/>
            <w:r w:rsidRPr="00E03557">
              <w:rPr>
                <w:b/>
                <w:bCs/>
              </w:rPr>
              <w:t>Purpose:</w:t>
            </w:r>
          </w:p>
        </w:tc>
        <w:tc>
          <w:tcPr>
            <w:tcW w:w="7940" w:type="dxa"/>
            <w:gridSpan w:val="3"/>
            <w:tcBorders>
              <w:bottom w:val="single" w:sz="6" w:space="0" w:color="auto"/>
            </w:tcBorders>
            <w:shd w:val="clear" w:color="auto" w:fill="auto"/>
          </w:tcPr>
          <w:p w:rsidR="005A5A03" w:rsidRDefault="005A5A03" w:rsidP="005A5A03">
            <w:pPr>
              <w:rPr>
                <w:highlight w:val="yellow"/>
              </w:rPr>
            </w:pPr>
            <w:r>
              <w:t>Discussion</w:t>
            </w:r>
          </w:p>
        </w:tc>
      </w:tr>
      <w:bookmarkEnd w:id="1"/>
      <w:bookmarkEnd w:id="11"/>
      <w:tr w:rsidR="005A5A03" w:rsidRPr="00E03557" w:rsidTr="005A5A03">
        <w:trPr>
          <w:cantSplit/>
          <w:jc w:val="center"/>
        </w:trPr>
        <w:tc>
          <w:tcPr>
            <w:tcW w:w="1700" w:type="dxa"/>
            <w:gridSpan w:val="2"/>
            <w:tcBorders>
              <w:top w:val="single" w:sz="6" w:space="0" w:color="auto"/>
              <w:bottom w:val="single" w:sz="6" w:space="0" w:color="auto"/>
            </w:tcBorders>
          </w:tcPr>
          <w:p w:rsidR="005A5A03" w:rsidRPr="00E03557" w:rsidRDefault="005A5A03" w:rsidP="005A5A03">
            <w:pPr>
              <w:rPr>
                <w:b/>
                <w:bCs/>
              </w:rPr>
            </w:pPr>
            <w:r w:rsidRPr="00E03557">
              <w:rPr>
                <w:b/>
                <w:bCs/>
              </w:rPr>
              <w:t>Contact:</w:t>
            </w:r>
          </w:p>
        </w:tc>
        <w:tc>
          <w:tcPr>
            <w:tcW w:w="4254" w:type="dxa"/>
            <w:gridSpan w:val="2"/>
            <w:tcBorders>
              <w:top w:val="single" w:sz="6" w:space="0" w:color="auto"/>
              <w:bottom w:val="single" w:sz="6" w:space="0" w:color="auto"/>
            </w:tcBorders>
          </w:tcPr>
          <w:p w:rsidR="005A5A03" w:rsidRPr="005A5A03" w:rsidRDefault="005A5A03" w:rsidP="005A5A03">
            <w:r w:rsidRPr="005A5A03">
              <w:t>Frederick Klauschen</w:t>
            </w:r>
            <w:r w:rsidRPr="005A5A03">
              <w:br/>
              <w:t>Institute of Pathology, Charité Universitätsmedizin Berlin</w:t>
            </w:r>
            <w:r w:rsidRPr="005A5A03">
              <w:br/>
              <w:t>Berlin Institute of Health</w:t>
            </w:r>
            <w:r w:rsidRPr="005A5A03">
              <w:br/>
              <w:t>Berlin Big Data Center (BBDC)</w:t>
            </w:r>
            <w:r w:rsidRPr="005A5A03">
              <w:br/>
              <w:t>Berlin Center for Machine Learning (BZML)</w:t>
            </w:r>
            <w:r w:rsidRPr="005A5A03">
              <w:br/>
              <w:t>Germany</w:t>
            </w:r>
          </w:p>
        </w:tc>
        <w:tc>
          <w:tcPr>
            <w:tcW w:w="3686" w:type="dxa"/>
            <w:tcBorders>
              <w:top w:val="single" w:sz="6" w:space="0" w:color="auto"/>
              <w:bottom w:val="single" w:sz="6" w:space="0" w:color="auto"/>
            </w:tcBorders>
          </w:tcPr>
          <w:p w:rsidR="005A5A03" w:rsidRPr="005A5A03" w:rsidRDefault="005A5A03" w:rsidP="005A5A03">
            <w:r w:rsidRPr="005A5A03">
              <w:t>Tel: +49-30-450536-053</w:t>
            </w:r>
            <w:r>
              <w:br/>
            </w:r>
            <w:r w:rsidRPr="005A5A03">
              <w:t xml:space="preserve">E-mail: </w:t>
            </w:r>
            <w:hyperlink r:id="rId8">
              <w:r w:rsidRPr="005A5A03">
                <w:rPr>
                  <w:rStyle w:val="Hyperlink"/>
                </w:rPr>
                <w:t>frederick.klauschen@charite.de</w:t>
              </w:r>
            </w:hyperlink>
          </w:p>
        </w:tc>
      </w:tr>
      <w:tr w:rsidR="005A5A03" w:rsidRPr="00E03557" w:rsidTr="005A5A03">
        <w:trPr>
          <w:cantSplit/>
          <w:jc w:val="center"/>
        </w:trPr>
        <w:tc>
          <w:tcPr>
            <w:tcW w:w="1700" w:type="dxa"/>
            <w:gridSpan w:val="2"/>
            <w:tcBorders>
              <w:top w:val="single" w:sz="6" w:space="0" w:color="auto"/>
              <w:bottom w:val="single" w:sz="6" w:space="0" w:color="auto"/>
            </w:tcBorders>
          </w:tcPr>
          <w:p w:rsidR="005A5A03" w:rsidRPr="00E03557" w:rsidRDefault="005A5A03" w:rsidP="005A5A03">
            <w:pPr>
              <w:rPr>
                <w:b/>
                <w:bCs/>
              </w:rPr>
            </w:pPr>
            <w:r w:rsidRPr="00E03557">
              <w:rPr>
                <w:b/>
                <w:bCs/>
              </w:rPr>
              <w:t>Contact:</w:t>
            </w:r>
          </w:p>
        </w:tc>
        <w:tc>
          <w:tcPr>
            <w:tcW w:w="4254" w:type="dxa"/>
            <w:gridSpan w:val="2"/>
            <w:tcBorders>
              <w:top w:val="single" w:sz="6" w:space="0" w:color="auto"/>
              <w:bottom w:val="single" w:sz="6" w:space="0" w:color="auto"/>
            </w:tcBorders>
          </w:tcPr>
          <w:p w:rsidR="005A5A03" w:rsidRPr="005A5A03" w:rsidRDefault="005A5A03" w:rsidP="005A5A03">
            <w:r w:rsidRPr="005A5A03">
              <w:t xml:space="preserve">Alexander Arnold </w:t>
            </w:r>
            <w:r w:rsidRPr="005A5A03">
              <w:br/>
              <w:t>Institute of Pathology, Charité Universitätsmedizin Berlin</w:t>
            </w:r>
            <w:r w:rsidRPr="005A5A03">
              <w:br/>
              <w:t>Berlin Institute of Health</w:t>
            </w:r>
            <w:r w:rsidRPr="005A5A03">
              <w:br/>
              <w:t>Germany</w:t>
            </w:r>
          </w:p>
        </w:tc>
        <w:tc>
          <w:tcPr>
            <w:tcW w:w="3686" w:type="dxa"/>
            <w:tcBorders>
              <w:top w:val="single" w:sz="6" w:space="0" w:color="auto"/>
              <w:bottom w:val="single" w:sz="6" w:space="0" w:color="auto"/>
            </w:tcBorders>
          </w:tcPr>
          <w:p w:rsidR="005A5A03" w:rsidRPr="005A5A03" w:rsidRDefault="005A5A03" w:rsidP="005A5A03">
            <w:r w:rsidRPr="005A5A03">
              <w:t>Tel: +49-30-450536-053</w:t>
            </w:r>
            <w:r>
              <w:br/>
            </w:r>
            <w:r w:rsidRPr="005A5A03">
              <w:t xml:space="preserve">E-mail: </w:t>
            </w:r>
            <w:hyperlink r:id="rId9" w:history="1">
              <w:r w:rsidRPr="001D2F84">
                <w:rPr>
                  <w:rStyle w:val="Hyperlink"/>
                </w:rPr>
                <w:t>alexander.arnold@charite.de</w:t>
              </w:r>
            </w:hyperlink>
            <w:r>
              <w:t xml:space="preserve"> </w:t>
            </w:r>
          </w:p>
        </w:tc>
      </w:tr>
      <w:tr w:rsidR="005A5A03" w:rsidRPr="00E03557" w:rsidTr="005A5A03">
        <w:trPr>
          <w:cantSplit/>
          <w:jc w:val="center"/>
        </w:trPr>
        <w:tc>
          <w:tcPr>
            <w:tcW w:w="1700" w:type="dxa"/>
            <w:gridSpan w:val="2"/>
            <w:tcBorders>
              <w:top w:val="single" w:sz="6" w:space="0" w:color="auto"/>
              <w:bottom w:val="single" w:sz="6" w:space="0" w:color="auto"/>
            </w:tcBorders>
          </w:tcPr>
          <w:p w:rsidR="005A5A03" w:rsidRPr="00E03557" w:rsidRDefault="005A5A03" w:rsidP="005A5A03">
            <w:pPr>
              <w:rPr>
                <w:b/>
                <w:bCs/>
              </w:rPr>
            </w:pPr>
            <w:r w:rsidRPr="00E03557">
              <w:rPr>
                <w:b/>
                <w:bCs/>
              </w:rPr>
              <w:t>Contact:</w:t>
            </w:r>
          </w:p>
        </w:tc>
        <w:tc>
          <w:tcPr>
            <w:tcW w:w="4254" w:type="dxa"/>
            <w:gridSpan w:val="2"/>
            <w:tcBorders>
              <w:top w:val="single" w:sz="6" w:space="0" w:color="auto"/>
              <w:bottom w:val="single" w:sz="6" w:space="0" w:color="auto"/>
            </w:tcBorders>
          </w:tcPr>
          <w:p w:rsidR="005A5A03" w:rsidRPr="005A5A03" w:rsidRDefault="005A5A03" w:rsidP="005A5A03">
            <w:r w:rsidRPr="005A5A03">
              <w:t>Miriam Hägele</w:t>
            </w:r>
            <w:r w:rsidRPr="005A5A03">
              <w:br/>
              <w:t>Technische Universität Berlin</w:t>
            </w:r>
            <w:r w:rsidRPr="005A5A03">
              <w:br/>
              <w:t>Berlin Center for Machine Learning (BZML)</w:t>
            </w:r>
            <w:r w:rsidRPr="005A5A03">
              <w:br/>
              <w:t>Germany</w:t>
            </w:r>
          </w:p>
        </w:tc>
        <w:tc>
          <w:tcPr>
            <w:tcW w:w="3686" w:type="dxa"/>
            <w:tcBorders>
              <w:top w:val="single" w:sz="6" w:space="0" w:color="auto"/>
              <w:bottom w:val="single" w:sz="6" w:space="0" w:color="auto"/>
            </w:tcBorders>
          </w:tcPr>
          <w:p w:rsidR="005A5A03" w:rsidRPr="005A5A03" w:rsidRDefault="005A5A03" w:rsidP="005A5A03">
            <w:r w:rsidRPr="005A5A03">
              <w:t xml:space="preserve">E-mail: </w:t>
            </w:r>
            <w:hyperlink r:id="rId10" w:history="1">
              <w:r w:rsidRPr="001D2F84">
                <w:rPr>
                  <w:rStyle w:val="Hyperlink"/>
                </w:rPr>
                <w:t>haegele@tu-berlin.de</w:t>
              </w:r>
            </w:hyperlink>
            <w:r>
              <w:t xml:space="preserve"> </w:t>
            </w:r>
          </w:p>
        </w:tc>
      </w:tr>
      <w:tr w:rsidR="005A5A03" w:rsidRPr="00E03557" w:rsidTr="005A5A03">
        <w:trPr>
          <w:cantSplit/>
          <w:jc w:val="center"/>
        </w:trPr>
        <w:tc>
          <w:tcPr>
            <w:tcW w:w="1700" w:type="dxa"/>
            <w:gridSpan w:val="2"/>
            <w:tcBorders>
              <w:top w:val="single" w:sz="6" w:space="0" w:color="auto"/>
              <w:bottom w:val="single" w:sz="6" w:space="0" w:color="auto"/>
            </w:tcBorders>
          </w:tcPr>
          <w:p w:rsidR="005A5A03" w:rsidRPr="00E03557" w:rsidRDefault="005A5A03" w:rsidP="005A5A03">
            <w:pPr>
              <w:rPr>
                <w:b/>
                <w:bCs/>
              </w:rPr>
            </w:pPr>
            <w:r w:rsidRPr="00E03557">
              <w:rPr>
                <w:b/>
                <w:bCs/>
              </w:rPr>
              <w:t>Contact:</w:t>
            </w:r>
          </w:p>
        </w:tc>
        <w:tc>
          <w:tcPr>
            <w:tcW w:w="4254" w:type="dxa"/>
            <w:gridSpan w:val="2"/>
            <w:tcBorders>
              <w:top w:val="single" w:sz="6" w:space="0" w:color="auto"/>
              <w:bottom w:val="single" w:sz="6" w:space="0" w:color="auto"/>
            </w:tcBorders>
          </w:tcPr>
          <w:p w:rsidR="005A5A03" w:rsidRPr="005A5A03" w:rsidRDefault="005A5A03" w:rsidP="005A5A03">
            <w:r w:rsidRPr="005A5A03">
              <w:t>Philipp Seegerer</w:t>
            </w:r>
            <w:r w:rsidRPr="005A5A03">
              <w:br/>
              <w:t>Technische Universität Berlin</w:t>
            </w:r>
            <w:r w:rsidRPr="005A5A03">
              <w:br/>
              <w:t>Germany</w:t>
            </w:r>
          </w:p>
        </w:tc>
        <w:tc>
          <w:tcPr>
            <w:tcW w:w="3686" w:type="dxa"/>
            <w:tcBorders>
              <w:top w:val="single" w:sz="6" w:space="0" w:color="auto"/>
              <w:bottom w:val="single" w:sz="6" w:space="0" w:color="auto"/>
            </w:tcBorders>
          </w:tcPr>
          <w:p w:rsidR="005A5A03" w:rsidRPr="005A5A03" w:rsidRDefault="005A5A03" w:rsidP="005A5A03">
            <w:r w:rsidRPr="005A5A03">
              <w:t xml:space="preserve">E-mail: </w:t>
            </w:r>
            <w:r w:rsidRPr="005A5A03">
              <w:br/>
            </w:r>
            <w:hyperlink r:id="rId11" w:history="1">
              <w:r w:rsidRPr="001D2F84">
                <w:rPr>
                  <w:rStyle w:val="Hyperlink"/>
                </w:rPr>
                <w:t>philipp.seegerer@tu-berlin.de</w:t>
              </w:r>
            </w:hyperlink>
          </w:p>
        </w:tc>
      </w:tr>
      <w:tr w:rsidR="005A5A03" w:rsidRPr="00E03557" w:rsidTr="005A5A03">
        <w:trPr>
          <w:cantSplit/>
          <w:jc w:val="center"/>
        </w:trPr>
        <w:tc>
          <w:tcPr>
            <w:tcW w:w="1700" w:type="dxa"/>
            <w:gridSpan w:val="2"/>
            <w:tcBorders>
              <w:top w:val="single" w:sz="6" w:space="0" w:color="auto"/>
              <w:bottom w:val="single" w:sz="6" w:space="0" w:color="auto"/>
            </w:tcBorders>
          </w:tcPr>
          <w:p w:rsidR="005A5A03" w:rsidRPr="00E03557" w:rsidRDefault="005A5A03" w:rsidP="005A5A03">
            <w:pPr>
              <w:rPr>
                <w:b/>
                <w:bCs/>
              </w:rPr>
            </w:pPr>
            <w:r w:rsidRPr="00E03557">
              <w:rPr>
                <w:b/>
                <w:bCs/>
              </w:rPr>
              <w:t>Contact:</w:t>
            </w:r>
          </w:p>
        </w:tc>
        <w:tc>
          <w:tcPr>
            <w:tcW w:w="4254" w:type="dxa"/>
            <w:gridSpan w:val="2"/>
            <w:tcBorders>
              <w:top w:val="single" w:sz="6" w:space="0" w:color="auto"/>
              <w:bottom w:val="single" w:sz="6" w:space="0" w:color="auto"/>
            </w:tcBorders>
          </w:tcPr>
          <w:p w:rsidR="005A5A03" w:rsidRPr="005A5A03" w:rsidRDefault="005A5A03" w:rsidP="005A5A03">
            <w:r w:rsidRPr="005A5A03">
              <w:t>Alexander Binder</w:t>
            </w:r>
            <w:r w:rsidRPr="005A5A03">
              <w:br/>
              <w:t>Singapore University of Technology and Design (SUTD)</w:t>
            </w:r>
            <w:r w:rsidRPr="005A5A03">
              <w:br/>
              <w:t>Singapore</w:t>
            </w:r>
          </w:p>
        </w:tc>
        <w:tc>
          <w:tcPr>
            <w:tcW w:w="3686" w:type="dxa"/>
            <w:tcBorders>
              <w:top w:val="single" w:sz="6" w:space="0" w:color="auto"/>
              <w:bottom w:val="single" w:sz="6" w:space="0" w:color="auto"/>
            </w:tcBorders>
          </w:tcPr>
          <w:p w:rsidR="005A5A03" w:rsidRPr="005A5A03" w:rsidRDefault="005A5A03" w:rsidP="005A5A03">
            <w:r w:rsidRPr="005A5A03">
              <w:t>E-mail:</w:t>
            </w:r>
            <w:r w:rsidRPr="005A5A03">
              <w:br/>
            </w:r>
            <w:hyperlink r:id="rId12">
              <w:r w:rsidRPr="005A5A03">
                <w:rPr>
                  <w:rStyle w:val="Hyperlink"/>
                </w:rPr>
                <w:t>alexander_binder@sutd.edu.sg</w:t>
              </w:r>
            </w:hyperlink>
            <w:r w:rsidRPr="005A5A03">
              <w:t xml:space="preserve"> </w:t>
            </w:r>
          </w:p>
        </w:tc>
      </w:tr>
      <w:tr w:rsidR="005A5A03" w:rsidRPr="00E03557" w:rsidTr="005A5A03">
        <w:trPr>
          <w:cantSplit/>
          <w:jc w:val="center"/>
        </w:trPr>
        <w:tc>
          <w:tcPr>
            <w:tcW w:w="1700" w:type="dxa"/>
            <w:gridSpan w:val="2"/>
            <w:tcBorders>
              <w:top w:val="single" w:sz="6" w:space="0" w:color="auto"/>
              <w:bottom w:val="single" w:sz="6" w:space="0" w:color="auto"/>
            </w:tcBorders>
          </w:tcPr>
          <w:p w:rsidR="005A5A03" w:rsidRPr="00E03557" w:rsidRDefault="005A5A03" w:rsidP="005A5A03">
            <w:pPr>
              <w:rPr>
                <w:b/>
                <w:bCs/>
              </w:rPr>
            </w:pPr>
          </w:p>
        </w:tc>
        <w:tc>
          <w:tcPr>
            <w:tcW w:w="4254" w:type="dxa"/>
            <w:gridSpan w:val="2"/>
            <w:tcBorders>
              <w:top w:val="single" w:sz="6" w:space="0" w:color="auto"/>
              <w:bottom w:val="single" w:sz="6" w:space="0" w:color="auto"/>
            </w:tcBorders>
          </w:tcPr>
          <w:p w:rsidR="005A5A03" w:rsidRPr="005A5A03" w:rsidRDefault="005A5A03" w:rsidP="005A5A03">
            <w:r w:rsidRPr="005A5A03">
              <w:t>Roberto Salgado</w:t>
            </w:r>
            <w:r>
              <w:br/>
            </w:r>
            <w:r w:rsidRPr="005A5A03">
              <w:t>Chair, International TIL working group</w:t>
            </w:r>
            <w:r>
              <w:br/>
            </w:r>
            <w:r w:rsidRPr="005A5A03">
              <w:t>Breast Cancer Translational Research Laboratory, Institut Jules Bordet, Université Libre de Bruxelles (U.L.B.</w:t>
            </w:r>
            <w:r w:rsidRPr="005A5A03">
              <w:br/>
              <w:t>Brussels, Belgium</w:t>
            </w:r>
          </w:p>
        </w:tc>
        <w:tc>
          <w:tcPr>
            <w:tcW w:w="3686" w:type="dxa"/>
            <w:tcBorders>
              <w:top w:val="single" w:sz="6" w:space="0" w:color="auto"/>
              <w:bottom w:val="single" w:sz="6" w:space="0" w:color="auto"/>
            </w:tcBorders>
          </w:tcPr>
          <w:p w:rsidR="005A5A03" w:rsidRPr="005A5A03" w:rsidRDefault="005A5A03" w:rsidP="005A5A03">
            <w:r w:rsidRPr="005A5A03">
              <w:t xml:space="preserve">E-mail: </w:t>
            </w:r>
            <w:hyperlink r:id="rId13">
              <w:r w:rsidRPr="005A5A03">
                <w:rPr>
                  <w:rStyle w:val="Hyperlink"/>
                </w:rPr>
                <w:t>roberto@salgado.be</w:t>
              </w:r>
            </w:hyperlink>
          </w:p>
        </w:tc>
      </w:tr>
    </w:tbl>
    <w:p w:rsidR="005A5A03" w:rsidRPr="00852AAD" w:rsidRDefault="005A5A03" w:rsidP="005A5A03"/>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5A5A03" w:rsidRPr="00E03557" w:rsidTr="00A32A93">
        <w:trPr>
          <w:cantSplit/>
          <w:jc w:val="center"/>
        </w:trPr>
        <w:tc>
          <w:tcPr>
            <w:tcW w:w="1701" w:type="dxa"/>
          </w:tcPr>
          <w:p w:rsidR="005A5A03" w:rsidRPr="00E03557" w:rsidRDefault="005A5A03" w:rsidP="00A32A93">
            <w:pPr>
              <w:rPr>
                <w:b/>
                <w:bCs/>
              </w:rPr>
            </w:pPr>
            <w:r w:rsidRPr="00E03557">
              <w:rPr>
                <w:b/>
                <w:bCs/>
              </w:rPr>
              <w:t>Abstract:</w:t>
            </w:r>
          </w:p>
        </w:tc>
        <w:tc>
          <w:tcPr>
            <w:tcW w:w="7939" w:type="dxa"/>
          </w:tcPr>
          <w:p w:rsidR="005A5A03" w:rsidRPr="00BC1D31" w:rsidRDefault="005A5A03" w:rsidP="00A32A93">
            <w:pPr>
              <w:rPr>
                <w:highlight w:val="yellow"/>
              </w:rPr>
            </w:pPr>
            <w:r>
              <w:t xml:space="preserve">This document gives an update on the use case "machine learning-based profiling of tumor-infiltrating lymphocytes in breast cancer" and explains how the histopathology images are annotated and how machine learning models can be benchmarked with the resulting data set of annotated images. The use case was introduced in document </w:t>
            </w:r>
            <w:hyperlink r:id="rId14">
              <w:r>
                <w:rPr>
                  <w:color w:val="0000FF"/>
                  <w:u w:val="single"/>
                </w:rPr>
                <w:t>B-014</w:t>
              </w:r>
            </w:hyperlink>
            <w:r>
              <w:t xml:space="preserve"> that contains background information.</w:t>
            </w:r>
          </w:p>
        </w:tc>
      </w:tr>
      <w:bookmarkEnd w:id="0"/>
    </w:tbl>
    <w:p w:rsidR="005A5A03" w:rsidRPr="00C55539" w:rsidRDefault="005A5A03" w:rsidP="005A5A03">
      <w:pPr>
        <w:spacing w:before="0"/>
        <w:rPr>
          <w:rFonts w:asciiTheme="majorBidi" w:eastAsia="Times New Roman" w:hAnsiTheme="majorBidi" w:cstheme="majorBidi"/>
          <w:sz w:val="22"/>
          <w:szCs w:val="22"/>
          <w:lang w:eastAsia="zh-CN"/>
        </w:rPr>
      </w:pPr>
    </w:p>
    <w:p w:rsidR="00971792" w:rsidRDefault="001D35AF">
      <w:pPr>
        <w:pStyle w:val="Heading1"/>
        <w:numPr>
          <w:ilvl w:val="0"/>
          <w:numId w:val="2"/>
        </w:numPr>
      </w:pPr>
      <w:r>
        <w:t>Introduction</w:t>
      </w:r>
    </w:p>
    <w:p w:rsidR="00971792" w:rsidRDefault="001D35AF">
      <w:r>
        <w:t xml:space="preserve">This document gives an update on the use case </w:t>
      </w:r>
      <w:r w:rsidR="005A5A03">
        <w:t>"</w:t>
      </w:r>
      <w:r>
        <w:t>machine learning-based profiling of tumor-infiltrating lymphocytes in breast cancer</w:t>
      </w:r>
      <w:r w:rsidR="005A5A03">
        <w:t>"</w:t>
      </w:r>
      <w:r>
        <w:t xml:space="preserve"> and explains how the histopathology images are annotated and how machine learning models can be benchmarked with the obtained data set of annotated images. Document </w:t>
      </w:r>
      <w:hyperlink r:id="rId15">
        <w:r>
          <w:rPr>
            <w:color w:val="0000FF"/>
            <w:u w:val="single"/>
          </w:rPr>
          <w:t>B-014</w:t>
        </w:r>
      </w:hyperlink>
      <w:r>
        <w:t xml:space="preserve"> introduces the uses case and contains background information.</w:t>
      </w:r>
    </w:p>
    <w:p w:rsidR="00971792" w:rsidRDefault="001D35AF">
      <w:r>
        <w:t>The present document serves as report of work done between meetings (cf.</w:t>
      </w:r>
      <w:r>
        <w:rPr>
          <w:highlight w:val="white"/>
        </w:rPr>
        <w:t xml:space="preserve"> meeting report </w:t>
      </w:r>
      <w:hyperlink r:id="rId16">
        <w:r>
          <w:rPr>
            <w:color w:val="1155CC"/>
            <w:highlight w:val="white"/>
            <w:u w:val="single"/>
          </w:rPr>
          <w:t>B-101</w:t>
        </w:r>
      </w:hyperlink>
      <w:r>
        <w:t>), by summarizing the results of a discussion between pathologists and machine learning experts held on 11 December 2018 at the Institute of Pathology at Charité in Berlin as well as several phone and e-mail discussions as well as weekly group meetings at the Berlin Institute of Health between the medical and ML experts in the subsequent weeks.</w:t>
      </w:r>
    </w:p>
    <w:p w:rsidR="00971792" w:rsidRDefault="001D35AF">
      <w:r>
        <w:t xml:space="preserve">Besides, we would like to use this introduction to address two points noted at the Focus Group meeting B at Columbia University (document </w:t>
      </w:r>
      <w:hyperlink r:id="rId17">
        <w:r>
          <w:rPr>
            <w:color w:val="1155CC"/>
            <w:u w:val="single"/>
          </w:rPr>
          <w:t>B-101</w:t>
        </w:r>
      </w:hyperlink>
      <w:r>
        <w:t>):</w:t>
      </w:r>
    </w:p>
    <w:p w:rsidR="00971792" w:rsidRDefault="005A5A03">
      <w:pPr>
        <w:numPr>
          <w:ilvl w:val="0"/>
          <w:numId w:val="5"/>
        </w:numPr>
      </w:pPr>
      <w:r>
        <w:rPr>
          <w:i/>
        </w:rPr>
        <w:t>"</w:t>
      </w:r>
      <w:r w:rsidR="001D35AF">
        <w:rPr>
          <w:i/>
        </w:rPr>
        <w:t>Submitters should be aware that lack of publicly available data will prevent a solution being identified / developed.</w:t>
      </w:r>
      <w:r>
        <w:rPr>
          <w:i/>
        </w:rPr>
        <w:t>"</w:t>
      </w:r>
    </w:p>
    <w:p w:rsidR="00971792" w:rsidRDefault="001D35AF">
      <w:pPr>
        <w:ind w:left="720"/>
      </w:pPr>
      <w:r>
        <w:t xml:space="preserve">Currently, no high-quality annotated data sets on TILs in breast cancer are publicly available that could be used for evaluation and benchmarking (cf. our document </w:t>
      </w:r>
      <w:hyperlink r:id="rId18">
        <w:r>
          <w:rPr>
            <w:color w:val="0000FF"/>
            <w:u w:val="single"/>
          </w:rPr>
          <w:t>B-014</w:t>
        </w:r>
      </w:hyperlink>
      <w:r>
        <w:t xml:space="preserve">) of machine learning approaches. Although some companies, hospitals and research institutes have started to collect digitized histopathology datasets and obtain some level of annotation to train their machine learning models with the goal to develop and explore ways to use machine learning approaches for quantitative diagnostics, these data sets are not made publicly available. Other data public data sets exists, but image and/or annotation quality is limited or annotations by board-certified pathologists do not exist at all. Moreover, even if some of these stakeholders would share well-annotated data, no standardized and </w:t>
      </w:r>
      <w:r w:rsidR="005A5A03">
        <w:t>"</w:t>
      </w:r>
      <w:r>
        <w:t>neutral</w:t>
      </w:r>
      <w:r w:rsidR="005A5A03">
        <w:t>"</w:t>
      </w:r>
      <w:r>
        <w:t xml:space="preserve"> framework exists to validate ML approaches in an unbiased fashion. With the framework comprising representative and high-quality annotated image data on breast cancer tissue we propose and provide here, the trained models could be benchmarked</w:t>
      </w:r>
      <w:r>
        <w:rPr>
          <w:i/>
        </w:rPr>
        <w:t>.</w:t>
      </w:r>
    </w:p>
    <w:p w:rsidR="00971792" w:rsidRDefault="005A5A03">
      <w:pPr>
        <w:numPr>
          <w:ilvl w:val="0"/>
          <w:numId w:val="5"/>
        </w:numPr>
      </w:pPr>
      <w:r>
        <w:rPr>
          <w:i/>
        </w:rPr>
        <w:t>"</w:t>
      </w:r>
      <w:r w:rsidR="001D35AF">
        <w:rPr>
          <w:i/>
        </w:rPr>
        <w:t>It is desirable to pool subsets of data from different organizations.</w:t>
      </w:r>
      <w:r>
        <w:rPr>
          <w:i/>
        </w:rPr>
        <w:t>"</w:t>
      </w:r>
      <w:r w:rsidR="001D35AF">
        <w:rPr>
          <w:i/>
        </w:rPr>
        <w:t xml:space="preserve"> </w:t>
      </w:r>
    </w:p>
    <w:p w:rsidR="00971792" w:rsidRDefault="001D35AF">
      <w:pPr>
        <w:ind w:left="720"/>
      </w:pPr>
      <w:r>
        <w:t>This document explains the annotation procedure and thus enables different organizations to annotate their data in the same and standardized way, which allows for pooling subsets of data from different organizations.</w:t>
      </w:r>
    </w:p>
    <w:p w:rsidR="00971792" w:rsidRDefault="00971792">
      <w:pPr>
        <w:rPr>
          <w:rFonts w:ascii="Calibri" w:eastAsia="Calibri" w:hAnsi="Calibri" w:cs="Calibri"/>
          <w:sz w:val="22"/>
          <w:szCs w:val="22"/>
          <w:highlight w:val="yellow"/>
        </w:rPr>
      </w:pPr>
    </w:p>
    <w:p w:rsidR="00971792" w:rsidRDefault="001D35AF">
      <w:pPr>
        <w:pStyle w:val="Heading1"/>
        <w:numPr>
          <w:ilvl w:val="0"/>
          <w:numId w:val="2"/>
        </w:numPr>
      </w:pPr>
      <w:r>
        <w:t>Annotation of the histopathology images</w:t>
      </w:r>
    </w:p>
    <w:p w:rsidR="00971792" w:rsidRDefault="001D35AF">
      <w:pPr>
        <w:numPr>
          <w:ilvl w:val="0"/>
          <w:numId w:val="3"/>
        </w:numPr>
        <w:pBdr>
          <w:top w:val="nil"/>
          <w:left w:val="nil"/>
          <w:bottom w:val="nil"/>
          <w:right w:val="nil"/>
          <w:between w:val="nil"/>
        </w:pBdr>
        <w:spacing w:before="60"/>
      </w:pPr>
      <w:bookmarkStart w:id="12" w:name="_1fob9te" w:colFirst="0" w:colLast="0"/>
      <w:bookmarkEnd w:id="12"/>
      <w:r>
        <w:t>Description of</w:t>
      </w:r>
      <w:r>
        <w:rPr>
          <w:color w:val="000000"/>
        </w:rPr>
        <w:t xml:space="preserve"> the histopathology images that are being annotate</w:t>
      </w:r>
      <w:r>
        <w:t>d.</w:t>
      </w:r>
    </w:p>
    <w:p w:rsidR="00971792" w:rsidRDefault="001D35AF">
      <w:pPr>
        <w:numPr>
          <w:ilvl w:val="1"/>
          <w:numId w:val="3"/>
        </w:numPr>
        <w:pBdr>
          <w:top w:val="nil"/>
          <w:left w:val="nil"/>
          <w:bottom w:val="nil"/>
          <w:right w:val="nil"/>
          <w:between w:val="nil"/>
        </w:pBdr>
        <w:spacing w:before="0"/>
      </w:pPr>
      <w:bookmarkStart w:id="13" w:name="_pyy3ee2n965f" w:colFirst="0" w:colLast="0"/>
      <w:bookmarkEnd w:id="13"/>
      <w:r>
        <w:t>Digitized standard Hematoxylin &amp; Eosin (H&amp;E) stained histological slides</w:t>
      </w:r>
    </w:p>
    <w:p w:rsidR="00971792" w:rsidRDefault="001D35AF">
      <w:pPr>
        <w:numPr>
          <w:ilvl w:val="0"/>
          <w:numId w:val="3"/>
        </w:numPr>
        <w:pBdr>
          <w:top w:val="nil"/>
          <w:left w:val="nil"/>
          <w:bottom w:val="nil"/>
          <w:right w:val="nil"/>
          <w:between w:val="nil"/>
        </w:pBdr>
        <w:spacing w:before="0"/>
      </w:pPr>
      <w:r>
        <w:t>List/description of the t</w:t>
      </w:r>
      <w:r>
        <w:rPr>
          <w:color w:val="000000"/>
        </w:rPr>
        <w:t>issue components/classes</w:t>
      </w:r>
    </w:p>
    <w:p w:rsidR="00971792" w:rsidRDefault="001D35AF">
      <w:pPr>
        <w:numPr>
          <w:ilvl w:val="1"/>
          <w:numId w:val="3"/>
        </w:numPr>
        <w:pBdr>
          <w:top w:val="nil"/>
          <w:left w:val="nil"/>
          <w:bottom w:val="nil"/>
          <w:right w:val="nil"/>
          <w:between w:val="nil"/>
        </w:pBdr>
        <w:spacing w:before="0"/>
      </w:pPr>
      <w:r>
        <w:t>cancer tissue</w:t>
      </w:r>
    </w:p>
    <w:p w:rsidR="00971792" w:rsidRDefault="001D35AF">
      <w:pPr>
        <w:numPr>
          <w:ilvl w:val="2"/>
          <w:numId w:val="3"/>
        </w:numPr>
        <w:pBdr>
          <w:top w:val="nil"/>
          <w:left w:val="nil"/>
          <w:bottom w:val="nil"/>
          <w:right w:val="nil"/>
          <w:between w:val="nil"/>
        </w:pBdr>
        <w:spacing w:before="0"/>
      </w:pPr>
      <w:r>
        <w:t xml:space="preserve">multiple subtypes </w:t>
      </w:r>
    </w:p>
    <w:p w:rsidR="00971792" w:rsidRDefault="001D35AF">
      <w:pPr>
        <w:numPr>
          <w:ilvl w:val="3"/>
          <w:numId w:val="3"/>
        </w:numPr>
        <w:pBdr>
          <w:top w:val="nil"/>
          <w:left w:val="nil"/>
          <w:bottom w:val="nil"/>
          <w:right w:val="nil"/>
          <w:between w:val="nil"/>
        </w:pBdr>
        <w:spacing w:before="0"/>
      </w:pPr>
      <w:r>
        <w:t>focus on NST (no-special-type) and invasive-lobular breast cancer</w:t>
      </w:r>
    </w:p>
    <w:p w:rsidR="00971792" w:rsidRDefault="001D35AF">
      <w:pPr>
        <w:numPr>
          <w:ilvl w:val="1"/>
          <w:numId w:val="3"/>
        </w:numPr>
        <w:pBdr>
          <w:top w:val="nil"/>
          <w:left w:val="nil"/>
          <w:bottom w:val="nil"/>
          <w:right w:val="nil"/>
          <w:between w:val="nil"/>
        </w:pBdr>
        <w:spacing w:before="0"/>
      </w:pPr>
      <w:r>
        <w:t>normal tissue</w:t>
      </w:r>
    </w:p>
    <w:p w:rsidR="00971792" w:rsidRDefault="001D35AF">
      <w:pPr>
        <w:numPr>
          <w:ilvl w:val="2"/>
          <w:numId w:val="3"/>
        </w:numPr>
        <w:pBdr>
          <w:top w:val="nil"/>
          <w:left w:val="nil"/>
          <w:bottom w:val="nil"/>
          <w:right w:val="nil"/>
          <w:between w:val="nil"/>
        </w:pBdr>
        <w:spacing w:before="0"/>
      </w:pPr>
      <w:r>
        <w:lastRenderedPageBreak/>
        <w:t>normal breast gland and duct epithelium</w:t>
      </w:r>
    </w:p>
    <w:p w:rsidR="00971792" w:rsidRDefault="001D35AF">
      <w:pPr>
        <w:numPr>
          <w:ilvl w:val="2"/>
          <w:numId w:val="3"/>
        </w:numPr>
        <w:pBdr>
          <w:top w:val="nil"/>
          <w:left w:val="nil"/>
          <w:bottom w:val="nil"/>
          <w:right w:val="nil"/>
          <w:between w:val="nil"/>
        </w:pBdr>
        <w:spacing w:before="0"/>
      </w:pPr>
      <w:r>
        <w:t>connective tissue (fibers, cells)</w:t>
      </w:r>
    </w:p>
    <w:p w:rsidR="00971792" w:rsidRDefault="001D35AF">
      <w:pPr>
        <w:numPr>
          <w:ilvl w:val="2"/>
          <w:numId w:val="3"/>
        </w:numPr>
        <w:pBdr>
          <w:top w:val="nil"/>
          <w:left w:val="nil"/>
          <w:bottom w:val="nil"/>
          <w:right w:val="nil"/>
          <w:between w:val="nil"/>
        </w:pBdr>
        <w:spacing w:before="0"/>
      </w:pPr>
      <w:r>
        <w:t>fatty tissue</w:t>
      </w:r>
    </w:p>
    <w:p w:rsidR="00971792" w:rsidRDefault="001D35AF">
      <w:pPr>
        <w:numPr>
          <w:ilvl w:val="2"/>
          <w:numId w:val="3"/>
        </w:numPr>
        <w:pBdr>
          <w:top w:val="nil"/>
          <w:left w:val="nil"/>
          <w:bottom w:val="nil"/>
          <w:right w:val="nil"/>
          <w:between w:val="nil"/>
        </w:pBdr>
        <w:spacing w:before="0"/>
      </w:pPr>
      <w:r>
        <w:t>bone tissue</w:t>
      </w:r>
    </w:p>
    <w:p w:rsidR="00971792" w:rsidRDefault="001D35AF">
      <w:pPr>
        <w:numPr>
          <w:ilvl w:val="2"/>
          <w:numId w:val="3"/>
        </w:numPr>
        <w:pBdr>
          <w:top w:val="nil"/>
          <w:left w:val="nil"/>
          <w:bottom w:val="nil"/>
          <w:right w:val="nil"/>
          <w:between w:val="nil"/>
        </w:pBdr>
        <w:spacing w:before="0"/>
      </w:pPr>
      <w:r>
        <w:t>blood and lymphatic vessels</w:t>
      </w:r>
    </w:p>
    <w:p w:rsidR="00971792" w:rsidRDefault="001D35AF">
      <w:pPr>
        <w:numPr>
          <w:ilvl w:val="2"/>
          <w:numId w:val="3"/>
        </w:numPr>
        <w:pBdr>
          <w:top w:val="nil"/>
          <w:left w:val="nil"/>
          <w:bottom w:val="nil"/>
          <w:right w:val="nil"/>
          <w:between w:val="nil"/>
        </w:pBdr>
        <w:spacing w:before="0"/>
      </w:pPr>
      <w:r>
        <w:t>nerves</w:t>
      </w:r>
    </w:p>
    <w:p w:rsidR="00971792" w:rsidRDefault="001D35AF">
      <w:pPr>
        <w:numPr>
          <w:ilvl w:val="1"/>
          <w:numId w:val="3"/>
        </w:numPr>
        <w:pBdr>
          <w:top w:val="nil"/>
          <w:left w:val="nil"/>
          <w:bottom w:val="nil"/>
          <w:right w:val="nil"/>
          <w:between w:val="nil"/>
        </w:pBdr>
        <w:spacing w:before="0"/>
      </w:pPr>
      <w:r>
        <w:t>immune system</w:t>
      </w:r>
    </w:p>
    <w:p w:rsidR="00971792" w:rsidRDefault="001D35AF">
      <w:pPr>
        <w:numPr>
          <w:ilvl w:val="2"/>
          <w:numId w:val="3"/>
        </w:numPr>
        <w:pBdr>
          <w:top w:val="nil"/>
          <w:left w:val="nil"/>
          <w:bottom w:val="nil"/>
          <w:right w:val="nil"/>
          <w:between w:val="nil"/>
        </w:pBdr>
        <w:spacing w:before="0"/>
      </w:pPr>
      <w:r>
        <w:t>lymphocytes</w:t>
      </w:r>
    </w:p>
    <w:p w:rsidR="00971792" w:rsidRDefault="001D35AF">
      <w:pPr>
        <w:numPr>
          <w:ilvl w:val="2"/>
          <w:numId w:val="3"/>
        </w:numPr>
        <w:pBdr>
          <w:top w:val="nil"/>
          <w:left w:val="nil"/>
          <w:bottom w:val="nil"/>
          <w:right w:val="nil"/>
          <w:between w:val="nil"/>
        </w:pBdr>
        <w:spacing w:before="0"/>
      </w:pPr>
      <w:r>
        <w:t>granulocytes</w:t>
      </w:r>
    </w:p>
    <w:p w:rsidR="00971792" w:rsidRDefault="001D35AF">
      <w:pPr>
        <w:numPr>
          <w:ilvl w:val="2"/>
          <w:numId w:val="3"/>
        </w:numPr>
        <w:pBdr>
          <w:top w:val="nil"/>
          <w:left w:val="nil"/>
          <w:bottom w:val="nil"/>
          <w:right w:val="nil"/>
          <w:between w:val="nil"/>
        </w:pBdr>
        <w:spacing w:before="0"/>
      </w:pPr>
      <w:r>
        <w:t>monocytes/macrophages</w:t>
      </w:r>
    </w:p>
    <w:p w:rsidR="00971792" w:rsidRDefault="001D35AF">
      <w:pPr>
        <w:numPr>
          <w:ilvl w:val="2"/>
          <w:numId w:val="3"/>
        </w:numPr>
        <w:pBdr>
          <w:top w:val="nil"/>
          <w:left w:val="nil"/>
          <w:bottom w:val="nil"/>
          <w:right w:val="nil"/>
          <w:between w:val="nil"/>
        </w:pBdr>
        <w:spacing w:before="0"/>
      </w:pPr>
      <w:r>
        <w:t>plasma cells</w:t>
      </w:r>
    </w:p>
    <w:p w:rsidR="00971792" w:rsidRDefault="001D35AF">
      <w:pPr>
        <w:numPr>
          <w:ilvl w:val="1"/>
          <w:numId w:val="3"/>
        </w:numPr>
        <w:pBdr>
          <w:top w:val="nil"/>
          <w:left w:val="nil"/>
          <w:bottom w:val="nil"/>
          <w:right w:val="nil"/>
          <w:between w:val="nil"/>
        </w:pBdr>
        <w:spacing w:before="0"/>
      </w:pPr>
      <w:r>
        <w:t>necrotic tissue</w:t>
      </w:r>
    </w:p>
    <w:p w:rsidR="00971792" w:rsidRDefault="001D35AF">
      <w:pPr>
        <w:numPr>
          <w:ilvl w:val="1"/>
          <w:numId w:val="3"/>
        </w:numPr>
        <w:pBdr>
          <w:top w:val="nil"/>
          <w:left w:val="nil"/>
          <w:bottom w:val="nil"/>
          <w:right w:val="nil"/>
          <w:between w:val="nil"/>
        </w:pBdr>
        <w:spacing w:before="0"/>
      </w:pPr>
      <w:r>
        <w:t>artifacts</w:t>
      </w:r>
    </w:p>
    <w:p w:rsidR="00971792" w:rsidRDefault="001D35AF">
      <w:pPr>
        <w:numPr>
          <w:ilvl w:val="1"/>
          <w:numId w:val="3"/>
        </w:numPr>
        <w:pBdr>
          <w:top w:val="nil"/>
          <w:left w:val="nil"/>
          <w:bottom w:val="nil"/>
          <w:right w:val="nil"/>
          <w:between w:val="nil"/>
        </w:pBdr>
        <w:spacing w:before="0"/>
      </w:pPr>
      <w:r>
        <w:t>background</w:t>
      </w:r>
    </w:p>
    <w:p w:rsidR="00971792" w:rsidRDefault="00971792">
      <w:pPr>
        <w:pBdr>
          <w:top w:val="nil"/>
          <w:left w:val="nil"/>
          <w:bottom w:val="nil"/>
          <w:right w:val="nil"/>
          <w:between w:val="nil"/>
        </w:pBdr>
        <w:spacing w:before="0"/>
        <w:ind w:left="1440"/>
      </w:pPr>
    </w:p>
    <w:p w:rsidR="00971792" w:rsidRDefault="00971792">
      <w:pPr>
        <w:pBdr>
          <w:top w:val="nil"/>
          <w:left w:val="nil"/>
          <w:bottom w:val="nil"/>
          <w:right w:val="nil"/>
          <w:between w:val="nil"/>
        </w:pBdr>
        <w:spacing w:before="0"/>
        <w:ind w:left="1440"/>
      </w:pPr>
    </w:p>
    <w:p w:rsidR="00971792" w:rsidRDefault="001D35AF">
      <w:pPr>
        <w:numPr>
          <w:ilvl w:val="0"/>
          <w:numId w:val="3"/>
        </w:numPr>
        <w:pBdr>
          <w:top w:val="nil"/>
          <w:left w:val="nil"/>
          <w:bottom w:val="nil"/>
          <w:right w:val="nil"/>
          <w:between w:val="nil"/>
        </w:pBdr>
        <w:spacing w:before="0"/>
      </w:pPr>
      <w:r>
        <w:t>Annotations should be flexibly reusable with different patch sizes extractable from annotation coordinates (saved xml-format)</w:t>
      </w:r>
    </w:p>
    <w:p w:rsidR="00971792" w:rsidRDefault="001D35AF">
      <w:pPr>
        <w:numPr>
          <w:ilvl w:val="0"/>
          <w:numId w:val="3"/>
        </w:numPr>
        <w:pBdr>
          <w:top w:val="nil"/>
          <w:left w:val="nil"/>
          <w:bottom w:val="nil"/>
          <w:right w:val="nil"/>
          <w:between w:val="nil"/>
        </w:pBdr>
        <w:spacing w:before="0"/>
      </w:pPr>
      <w:r>
        <w:rPr>
          <w:color w:val="000000"/>
        </w:rPr>
        <w:t xml:space="preserve">Annotation procedure (single cell </w:t>
      </w:r>
      <w:r w:rsidR="005A5A03">
        <w:t>"</w:t>
      </w:r>
      <w:r>
        <w:t>point</w:t>
      </w:r>
      <w:r w:rsidR="005A5A03">
        <w:t>"</w:t>
      </w:r>
      <w:r>
        <w:rPr>
          <w:color w:val="000000"/>
        </w:rPr>
        <w:t xml:space="preserve"> vs. area </w:t>
      </w:r>
      <w:r w:rsidR="005A5A03">
        <w:t>"</w:t>
      </w:r>
      <w:r>
        <w:t>region</w:t>
      </w:r>
      <w:r w:rsidR="005A5A03">
        <w:t>"</w:t>
      </w:r>
      <w:r>
        <w:t xml:space="preserve"> </w:t>
      </w:r>
      <w:r>
        <w:rPr>
          <w:color w:val="000000"/>
        </w:rPr>
        <w:t>annotation)</w:t>
      </w:r>
    </w:p>
    <w:p w:rsidR="00971792" w:rsidRDefault="001D35AF">
      <w:pPr>
        <w:numPr>
          <w:ilvl w:val="1"/>
          <w:numId w:val="3"/>
        </w:numPr>
        <w:pBdr>
          <w:top w:val="nil"/>
          <w:left w:val="nil"/>
          <w:bottom w:val="nil"/>
          <w:right w:val="nil"/>
          <w:between w:val="nil"/>
        </w:pBdr>
        <w:spacing w:before="0"/>
      </w:pPr>
      <w:r>
        <w:t>positive annotations</w:t>
      </w:r>
    </w:p>
    <w:p w:rsidR="00971792" w:rsidRDefault="001D35AF">
      <w:pPr>
        <w:numPr>
          <w:ilvl w:val="2"/>
          <w:numId w:val="3"/>
        </w:numPr>
        <w:pBdr>
          <w:top w:val="nil"/>
          <w:left w:val="nil"/>
          <w:bottom w:val="nil"/>
          <w:right w:val="nil"/>
          <w:between w:val="nil"/>
        </w:pBdr>
        <w:spacing w:before="0"/>
      </w:pPr>
      <w:r>
        <w:t>point annotations (POI): cell nuclei are marked, relevant for heterogeneous tissues (e. g. individual lymphocytes between cancer cells, Fig. 1A)</w:t>
      </w:r>
    </w:p>
    <w:p w:rsidR="00971792" w:rsidRDefault="001D35AF">
      <w:pPr>
        <w:numPr>
          <w:ilvl w:val="2"/>
          <w:numId w:val="3"/>
        </w:numPr>
        <w:pBdr>
          <w:top w:val="nil"/>
          <w:left w:val="nil"/>
          <w:bottom w:val="nil"/>
          <w:right w:val="nil"/>
          <w:between w:val="nil"/>
        </w:pBdr>
        <w:spacing w:before="0"/>
      </w:pPr>
      <w:r>
        <w:t>region annotations (ROI): regions containing at least 95%  cells of respective class (Fig. 1B/C)</w:t>
      </w:r>
    </w:p>
    <w:p w:rsidR="00971792" w:rsidRDefault="001D35AF">
      <w:pPr>
        <w:numPr>
          <w:ilvl w:val="1"/>
          <w:numId w:val="3"/>
        </w:numPr>
        <w:pBdr>
          <w:top w:val="nil"/>
          <w:left w:val="nil"/>
          <w:bottom w:val="nil"/>
          <w:right w:val="nil"/>
          <w:between w:val="nil"/>
        </w:pBdr>
        <w:spacing w:before="0"/>
      </w:pPr>
      <w:r>
        <w:t xml:space="preserve">negative annotations </w:t>
      </w:r>
    </w:p>
    <w:p w:rsidR="00971792" w:rsidRDefault="001D35AF">
      <w:pPr>
        <w:numPr>
          <w:ilvl w:val="2"/>
          <w:numId w:val="3"/>
        </w:numPr>
        <w:pBdr>
          <w:top w:val="nil"/>
          <w:left w:val="nil"/>
          <w:bottom w:val="nil"/>
          <w:right w:val="nil"/>
          <w:between w:val="nil"/>
        </w:pBdr>
        <w:spacing w:before="0"/>
      </w:pPr>
      <w:r>
        <w:t>region annotations (ROI): regions negative of a certain class, i. e. region may contain any cells, but none of the respective class</w:t>
      </w:r>
    </w:p>
    <w:p w:rsidR="00971792" w:rsidRDefault="00971792">
      <w:pPr>
        <w:pBdr>
          <w:top w:val="nil"/>
          <w:left w:val="nil"/>
          <w:bottom w:val="nil"/>
          <w:right w:val="nil"/>
          <w:between w:val="nil"/>
        </w:pBdr>
        <w:spacing w:before="0"/>
        <w:ind w:left="720"/>
      </w:pPr>
    </w:p>
    <w:p w:rsidR="00A156CD" w:rsidRDefault="00A156CD">
      <w:pPr>
        <w:pBdr>
          <w:top w:val="nil"/>
          <w:left w:val="nil"/>
          <w:bottom w:val="nil"/>
          <w:right w:val="nil"/>
          <w:between w:val="nil"/>
        </w:pBdr>
        <w:spacing w:before="0"/>
        <w:ind w:left="720"/>
      </w:pPr>
    </w:p>
    <w:p w:rsidR="00971792" w:rsidRDefault="00971792">
      <w:pPr>
        <w:pBdr>
          <w:top w:val="nil"/>
          <w:left w:val="nil"/>
          <w:bottom w:val="nil"/>
          <w:right w:val="nil"/>
          <w:between w:val="nil"/>
        </w:pBdr>
        <w:spacing w:before="0"/>
        <w:ind w:left="720"/>
      </w:pPr>
    </w:p>
    <w:p w:rsidR="00971792" w:rsidRDefault="001D35AF">
      <w:pPr>
        <w:spacing w:before="0"/>
        <w:ind w:left="720" w:hanging="1003"/>
      </w:pPr>
      <w:r>
        <w:rPr>
          <w:noProof/>
          <w:lang w:eastAsia="zh-CN"/>
        </w:rPr>
        <w:drawing>
          <wp:inline distT="114300" distB="114300" distL="114300" distR="114300">
            <wp:extent cx="6694731" cy="221837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6694731" cy="2218373"/>
                    </a:xfrm>
                    <a:prstGeom prst="rect">
                      <a:avLst/>
                    </a:prstGeom>
                    <a:ln/>
                  </pic:spPr>
                </pic:pic>
              </a:graphicData>
            </a:graphic>
          </wp:inline>
        </w:drawing>
      </w:r>
    </w:p>
    <w:p w:rsidR="00971792" w:rsidRDefault="001D35AF">
      <w:pPr>
        <w:spacing w:before="0"/>
        <w:ind w:left="720"/>
        <w:rPr>
          <w:sz w:val="22"/>
          <w:szCs w:val="22"/>
        </w:rPr>
      </w:pPr>
      <w:r>
        <w:rPr>
          <w:sz w:val="22"/>
          <w:szCs w:val="22"/>
        </w:rPr>
        <w:t xml:space="preserve">Figure 1. A) Point annotation examples for breast carcinoma cells (red), tumor infiltrating lymphocytes </w:t>
      </w:r>
      <w:r w:rsidR="005A5A03">
        <w:rPr>
          <w:sz w:val="22"/>
          <w:szCs w:val="22"/>
        </w:rPr>
        <w:t>"</w:t>
      </w:r>
      <w:r>
        <w:rPr>
          <w:sz w:val="22"/>
          <w:szCs w:val="22"/>
        </w:rPr>
        <w:t>TiLs</w:t>
      </w:r>
      <w:r w:rsidR="005A5A03">
        <w:rPr>
          <w:sz w:val="22"/>
          <w:szCs w:val="22"/>
        </w:rPr>
        <w:t>"</w:t>
      </w:r>
      <w:r>
        <w:rPr>
          <w:sz w:val="22"/>
          <w:szCs w:val="22"/>
        </w:rPr>
        <w:t xml:space="preserve">  (yellow), fibroblasts (green). B) positive point and region annotations (normal epithelium: cyan). C) negative annotations: negative for cancer (black), negative for lymphocytes (green). </w:t>
      </w:r>
    </w:p>
    <w:p w:rsidR="00971792" w:rsidRDefault="00971792">
      <w:pPr>
        <w:spacing w:before="0"/>
        <w:ind w:left="720"/>
        <w:rPr>
          <w:sz w:val="22"/>
          <w:szCs w:val="22"/>
        </w:rPr>
      </w:pPr>
    </w:p>
    <w:p w:rsidR="00971792" w:rsidRDefault="00971792">
      <w:pPr>
        <w:pBdr>
          <w:top w:val="nil"/>
          <w:left w:val="nil"/>
          <w:bottom w:val="nil"/>
          <w:right w:val="nil"/>
          <w:between w:val="nil"/>
        </w:pBdr>
        <w:spacing w:before="0"/>
        <w:ind w:left="720"/>
      </w:pPr>
    </w:p>
    <w:p w:rsidR="00971792" w:rsidRDefault="00971792">
      <w:pPr>
        <w:pBdr>
          <w:top w:val="nil"/>
          <w:left w:val="nil"/>
          <w:bottom w:val="nil"/>
          <w:right w:val="nil"/>
          <w:between w:val="nil"/>
        </w:pBdr>
        <w:spacing w:before="0"/>
        <w:ind w:left="720"/>
      </w:pPr>
    </w:p>
    <w:p w:rsidR="00A156CD" w:rsidRDefault="00A156CD">
      <w:pPr>
        <w:pBdr>
          <w:top w:val="nil"/>
          <w:left w:val="nil"/>
          <w:bottom w:val="nil"/>
          <w:right w:val="nil"/>
          <w:between w:val="nil"/>
        </w:pBdr>
        <w:spacing w:before="0"/>
        <w:ind w:left="720"/>
      </w:pPr>
    </w:p>
    <w:p w:rsidR="00971792" w:rsidRDefault="00971792">
      <w:pPr>
        <w:pBdr>
          <w:top w:val="nil"/>
          <w:left w:val="nil"/>
          <w:bottom w:val="nil"/>
          <w:right w:val="nil"/>
          <w:between w:val="nil"/>
        </w:pBdr>
        <w:spacing w:before="0"/>
        <w:ind w:left="720"/>
      </w:pPr>
    </w:p>
    <w:p w:rsidR="00971792" w:rsidRDefault="00971792">
      <w:pPr>
        <w:pBdr>
          <w:top w:val="nil"/>
          <w:left w:val="nil"/>
          <w:bottom w:val="nil"/>
          <w:right w:val="nil"/>
          <w:between w:val="nil"/>
        </w:pBdr>
        <w:spacing w:before="0"/>
        <w:ind w:left="720"/>
      </w:pPr>
    </w:p>
    <w:p w:rsidR="00971792" w:rsidRDefault="001D35AF">
      <w:pPr>
        <w:numPr>
          <w:ilvl w:val="0"/>
          <w:numId w:val="1"/>
        </w:numPr>
        <w:pBdr>
          <w:top w:val="nil"/>
          <w:left w:val="nil"/>
          <w:bottom w:val="nil"/>
          <w:right w:val="nil"/>
          <w:between w:val="nil"/>
        </w:pBdr>
        <w:spacing w:before="0"/>
      </w:pPr>
      <w:r>
        <w:lastRenderedPageBreak/>
        <w:t xml:space="preserve">Description of data and data structures/format: </w:t>
      </w:r>
    </w:p>
    <w:p w:rsidR="00971792" w:rsidRDefault="001D35AF">
      <w:pPr>
        <w:numPr>
          <w:ilvl w:val="1"/>
          <w:numId w:val="1"/>
        </w:numPr>
        <w:pBdr>
          <w:top w:val="nil"/>
          <w:left w:val="nil"/>
          <w:bottom w:val="nil"/>
          <w:right w:val="nil"/>
          <w:between w:val="nil"/>
        </w:pBdr>
        <w:spacing w:before="0"/>
      </w:pPr>
      <w:r>
        <w:t>The data will be provided as individual field-of view images (1000x1000 images at 400x resolution in uncompressed tiff-format).</w:t>
      </w:r>
    </w:p>
    <w:p w:rsidR="00971792" w:rsidRDefault="001D35AF">
      <w:pPr>
        <w:numPr>
          <w:ilvl w:val="1"/>
          <w:numId w:val="1"/>
        </w:numPr>
        <w:pBdr>
          <w:top w:val="nil"/>
          <w:left w:val="nil"/>
          <w:bottom w:val="nil"/>
          <w:right w:val="nil"/>
          <w:between w:val="nil"/>
        </w:pBdr>
        <w:spacing w:before="0"/>
      </w:pPr>
      <w:r>
        <w:t>Annotations will be available in coordinates of POI and ROI stored in xml-format.</w:t>
      </w:r>
    </w:p>
    <w:p w:rsidR="00971792" w:rsidRDefault="001D35AF">
      <w:pPr>
        <w:numPr>
          <w:ilvl w:val="1"/>
          <w:numId w:val="1"/>
        </w:numPr>
        <w:pBdr>
          <w:top w:val="nil"/>
          <w:left w:val="nil"/>
          <w:bottom w:val="nil"/>
          <w:right w:val="nil"/>
          <w:between w:val="nil"/>
        </w:pBdr>
        <w:spacing w:before="0"/>
      </w:pPr>
      <w:r>
        <w:t>5-10 exemplary images will be made available with test annotations to provide participants with an overview of the data</w:t>
      </w:r>
    </w:p>
    <w:p w:rsidR="00971792" w:rsidRDefault="001D35AF">
      <w:pPr>
        <w:numPr>
          <w:ilvl w:val="1"/>
          <w:numId w:val="1"/>
        </w:numPr>
        <w:pBdr>
          <w:top w:val="nil"/>
          <w:left w:val="nil"/>
          <w:bottom w:val="nil"/>
          <w:right w:val="nil"/>
          <w:between w:val="nil"/>
        </w:pBdr>
        <w:spacing w:before="0"/>
      </w:pPr>
      <w:r>
        <w:t xml:space="preserve">25-50 densely annotated images will be available in an undisclosed fashion for benchmarking which will be performed on WHO/ITU servers and provide results according to section 3. </w:t>
      </w:r>
    </w:p>
    <w:p w:rsidR="00971792" w:rsidRDefault="001D35AF">
      <w:pPr>
        <w:numPr>
          <w:ilvl w:val="1"/>
          <w:numId w:val="1"/>
        </w:numPr>
        <w:pBdr>
          <w:top w:val="nil"/>
          <w:left w:val="nil"/>
          <w:bottom w:val="nil"/>
          <w:right w:val="nil"/>
          <w:between w:val="nil"/>
        </w:pBdr>
        <w:spacing w:before="0"/>
      </w:pPr>
      <w:r>
        <w:t>Large annotated data sets are available at the different participating institutions and the subsets used for the benchmarking will be selected based on consensus by the pathologists to cover a broad and representative spectrum of histomorphological patterns.</w:t>
      </w:r>
    </w:p>
    <w:p w:rsidR="00971792" w:rsidRDefault="00971792"/>
    <w:p w:rsidR="00971792" w:rsidRDefault="00971792"/>
    <w:p w:rsidR="00971792" w:rsidRDefault="001D35AF">
      <w:pPr>
        <w:pStyle w:val="Heading1"/>
        <w:numPr>
          <w:ilvl w:val="0"/>
          <w:numId w:val="2"/>
        </w:numPr>
      </w:pPr>
      <w:r>
        <w:t>Benchmarking</w:t>
      </w:r>
    </w:p>
    <w:p w:rsidR="00971792" w:rsidRDefault="00971792"/>
    <w:p w:rsidR="00971792" w:rsidRDefault="001D35AF">
      <w:r>
        <w:t xml:space="preserve">We expect that several types of machine learning models/algorithms can be benchmarked by our test data set of annotated histopathology whole slide images. With the data, the performance on a range of tasks can be evaluated, as illustrated in Fig. 2. The corresponding benchmarking metrics are listed in Tab. 1. </w:t>
      </w:r>
    </w:p>
    <w:p w:rsidR="00971792" w:rsidRDefault="001D35AF">
      <w:r>
        <w:t>Local tasks are performed either on image sections, tiles, patches, or pixels, and comprise detection (e.g. of lymphocytes), segmentation and visualization. In case-based tasks, a target variable is inferred from the entire image, and typically belongs to one of the following categories:</w:t>
      </w:r>
    </w:p>
    <w:p w:rsidR="00971792" w:rsidRDefault="005A5A03">
      <w:pPr>
        <w:numPr>
          <w:ilvl w:val="0"/>
          <w:numId w:val="4"/>
        </w:numPr>
      </w:pPr>
      <w:r>
        <w:t>"</w:t>
      </w:r>
      <w:r w:rsidR="001D35AF">
        <w:t>Nominal</w:t>
      </w:r>
      <w:r>
        <w:t>"</w:t>
      </w:r>
      <w:r w:rsidR="001D35AF">
        <w:t>: The target variable is to be assigned/classified to one of a predefined set of classes where the relationship between the classes is irrelevant. In this case, typical performance measures for classification can be used for evaluation.</w:t>
      </w:r>
    </w:p>
    <w:p w:rsidR="00971792" w:rsidRDefault="005A5A03">
      <w:pPr>
        <w:numPr>
          <w:ilvl w:val="0"/>
          <w:numId w:val="4"/>
        </w:numPr>
        <w:spacing w:before="0"/>
      </w:pPr>
      <w:r>
        <w:t>"</w:t>
      </w:r>
      <w:r w:rsidR="001D35AF">
        <w:t>Ordinal</w:t>
      </w:r>
      <w:r>
        <w:t>"</w:t>
      </w:r>
      <w:r w:rsidR="001D35AF">
        <w:t>: The target variable still should be classified as in the nominal case but here, the classes are ordered. This should be considered in the evaluation, e.g. a misclassification of a sample belonging to class A into class B should be penalized less than if it was misclassified into class C if the class ordering is (A, B, C).</w:t>
      </w:r>
    </w:p>
    <w:p w:rsidR="00971792" w:rsidRDefault="005A5A03">
      <w:pPr>
        <w:numPr>
          <w:ilvl w:val="0"/>
          <w:numId w:val="4"/>
        </w:numPr>
        <w:spacing w:before="0"/>
      </w:pPr>
      <w:r>
        <w:t>"</w:t>
      </w:r>
      <w:r w:rsidR="001D35AF">
        <w:t>Continuous</w:t>
      </w:r>
      <w:r>
        <w:t>"</w:t>
      </w:r>
      <w:r w:rsidR="001D35AF">
        <w:t>: The target is a continuous variable, i.e. the prediction task is regression instead of classification as in the nominal and ordinal case. Therefore, norm-based distance metrics can be readily used for evaluation. Besides, evaluation can be done on pseudo-classes that are defined on intervals of the target variable if small differences are of little importance.</w:t>
      </w:r>
    </w:p>
    <w:p w:rsidR="00971792" w:rsidRDefault="00971792"/>
    <w:p w:rsidR="00971792" w:rsidRDefault="00971792"/>
    <w:p w:rsidR="00971792" w:rsidRDefault="00971792"/>
    <w:p w:rsidR="00971792" w:rsidRDefault="00971792"/>
    <w:p w:rsidR="00971792" w:rsidRDefault="00971792"/>
    <w:p w:rsidR="00971792" w:rsidRDefault="00971792"/>
    <w:p w:rsidR="00971792" w:rsidRDefault="001D35AF">
      <w:pPr>
        <w:spacing w:after="20"/>
        <w:ind w:hanging="1133"/>
      </w:pPr>
      <w:r>
        <w:rPr>
          <w:noProof/>
          <w:lang w:eastAsia="zh-CN"/>
        </w:rPr>
        <w:lastRenderedPageBreak/>
        <w:drawing>
          <wp:inline distT="114300" distB="114300" distL="114300" distR="114300">
            <wp:extent cx="7406800" cy="307562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406800" cy="3075622"/>
                    </a:xfrm>
                    <a:prstGeom prst="rect">
                      <a:avLst/>
                    </a:prstGeom>
                    <a:ln/>
                  </pic:spPr>
                </pic:pic>
              </a:graphicData>
            </a:graphic>
          </wp:inline>
        </w:drawing>
      </w:r>
    </w:p>
    <w:p w:rsidR="00971792" w:rsidRDefault="001D35AF">
      <w:pPr>
        <w:spacing w:after="20"/>
      </w:pPr>
      <w:r>
        <w:rPr>
          <w:i/>
        </w:rPr>
        <w:t>Figure 2.</w:t>
      </w:r>
      <w:r>
        <w:t xml:space="preserve"> Different tasks can be solved with machine learning based on histopathology whole slide images (</w:t>
      </w:r>
      <w:r>
        <w:rPr>
          <w:i/>
        </w:rPr>
        <w:t>top</w:t>
      </w:r>
      <w:r>
        <w:t xml:space="preserve">). Either local </w:t>
      </w:r>
      <w:r w:rsidR="005A5A03">
        <w:t>"</w:t>
      </w:r>
      <w:r>
        <w:t>detection</w:t>
      </w:r>
      <w:r w:rsidR="005A5A03">
        <w:t>"</w:t>
      </w:r>
      <w:r>
        <w:t xml:space="preserve"> tasks can be performed on image sections/tiles/patches/pixels (</w:t>
      </w:r>
      <w:r>
        <w:rPr>
          <w:i/>
        </w:rPr>
        <w:t>left</w:t>
      </w:r>
      <w:r>
        <w:t>) or case-based measures can be computed for the entire image (</w:t>
      </w:r>
      <w:r>
        <w:rPr>
          <w:i/>
        </w:rPr>
        <w:t>right</w:t>
      </w:r>
      <w:r>
        <w:t>). (Dashes indicate possible annotations/labels for the future, which are not considered for the present data set yet.)</w:t>
      </w:r>
    </w:p>
    <w:p w:rsidR="00971792" w:rsidRDefault="00971792">
      <w:pPr>
        <w:spacing w:after="20"/>
      </w:pPr>
    </w:p>
    <w:p w:rsidR="00971792" w:rsidRDefault="00971792">
      <w:pPr>
        <w:spacing w:after="20"/>
      </w:pPr>
    </w:p>
    <w:p w:rsidR="00971792" w:rsidRDefault="00971792">
      <w:pPr>
        <w:spacing w:after="20"/>
      </w:pPr>
    </w:p>
    <w:p w:rsidR="00971792" w:rsidRDefault="001D35AF">
      <w:pPr>
        <w:spacing w:after="20"/>
      </w:pPr>
      <w:r>
        <w:rPr>
          <w:i/>
        </w:rPr>
        <w:t>Table 1</w:t>
      </w:r>
      <w:r>
        <w:t>. Statistical metrics for the performance evaluation on different prediction tasks.</w:t>
      </w:r>
    </w:p>
    <w:tbl>
      <w:tblPr>
        <w:tblStyle w:val="a1"/>
        <w:tblW w:w="96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2655"/>
        <w:gridCol w:w="5325"/>
      </w:tblGrid>
      <w:tr w:rsidR="00971792">
        <w:trPr>
          <w:trHeight w:val="440"/>
        </w:trPr>
        <w:tc>
          <w:tcPr>
            <w:tcW w:w="1650" w:type="dxa"/>
            <w:tcBorders>
              <w:top w:val="single" w:sz="8" w:space="0" w:color="FFFFFF"/>
              <w:left w:val="single" w:sz="8" w:space="0" w:color="FFFFFF"/>
              <w:bottom w:val="single" w:sz="12" w:space="0" w:color="000000"/>
              <w:right w:val="single" w:sz="8" w:space="0" w:color="FFFFFF"/>
            </w:tcBorders>
            <w:shd w:val="clear" w:color="auto" w:fill="FFFFFF"/>
            <w:tcMar>
              <w:top w:w="100" w:type="dxa"/>
              <w:left w:w="100" w:type="dxa"/>
              <w:bottom w:w="100" w:type="dxa"/>
              <w:right w:w="100" w:type="dxa"/>
            </w:tcMar>
          </w:tcPr>
          <w:p w:rsidR="00971792" w:rsidRDefault="001D35AF">
            <w:pPr>
              <w:widowControl w:val="0"/>
              <w:pBdr>
                <w:top w:val="nil"/>
                <w:left w:val="nil"/>
                <w:bottom w:val="nil"/>
                <w:right w:val="nil"/>
                <w:between w:val="nil"/>
              </w:pBdr>
              <w:spacing w:before="0"/>
              <w:rPr>
                <w:b/>
                <w:sz w:val="22"/>
                <w:szCs w:val="22"/>
              </w:rPr>
            </w:pPr>
            <w:r>
              <w:rPr>
                <w:b/>
                <w:sz w:val="22"/>
                <w:szCs w:val="22"/>
              </w:rPr>
              <w:t>Level</w:t>
            </w:r>
          </w:p>
        </w:tc>
        <w:tc>
          <w:tcPr>
            <w:tcW w:w="2655" w:type="dxa"/>
            <w:tcBorders>
              <w:top w:val="single" w:sz="8" w:space="0" w:color="FFFFFF"/>
              <w:left w:val="single" w:sz="8" w:space="0" w:color="FFFFFF"/>
              <w:bottom w:val="single" w:sz="12" w:space="0" w:color="000000"/>
              <w:right w:val="single" w:sz="8" w:space="0" w:color="FFFFFF"/>
            </w:tcBorders>
            <w:shd w:val="clear" w:color="auto" w:fill="FFFFFF"/>
            <w:tcMar>
              <w:top w:w="100" w:type="dxa"/>
              <w:left w:w="100" w:type="dxa"/>
              <w:bottom w:w="100" w:type="dxa"/>
              <w:right w:w="100" w:type="dxa"/>
            </w:tcMar>
          </w:tcPr>
          <w:p w:rsidR="00971792" w:rsidRDefault="001D35AF">
            <w:pPr>
              <w:widowControl w:val="0"/>
              <w:pBdr>
                <w:top w:val="nil"/>
                <w:left w:val="nil"/>
                <w:bottom w:val="nil"/>
                <w:right w:val="nil"/>
                <w:between w:val="nil"/>
              </w:pBdr>
              <w:spacing w:before="0"/>
              <w:rPr>
                <w:b/>
                <w:sz w:val="22"/>
                <w:szCs w:val="22"/>
              </w:rPr>
            </w:pPr>
            <w:r>
              <w:rPr>
                <w:b/>
                <w:sz w:val="22"/>
                <w:szCs w:val="22"/>
              </w:rPr>
              <w:t>Prediction task</w:t>
            </w:r>
          </w:p>
        </w:tc>
        <w:tc>
          <w:tcPr>
            <w:tcW w:w="5325" w:type="dxa"/>
            <w:tcBorders>
              <w:top w:val="single" w:sz="8" w:space="0" w:color="FFFFFF"/>
              <w:left w:val="single" w:sz="8" w:space="0" w:color="FFFFFF"/>
              <w:bottom w:val="single" w:sz="12" w:space="0" w:color="000000"/>
              <w:right w:val="single" w:sz="8" w:space="0" w:color="FFFFFF"/>
            </w:tcBorders>
            <w:shd w:val="clear" w:color="auto" w:fill="FFFFFF"/>
            <w:tcMar>
              <w:top w:w="100" w:type="dxa"/>
              <w:left w:w="100" w:type="dxa"/>
              <w:bottom w:w="100" w:type="dxa"/>
              <w:right w:w="100" w:type="dxa"/>
            </w:tcMar>
          </w:tcPr>
          <w:p w:rsidR="00971792" w:rsidRDefault="001D35AF">
            <w:pPr>
              <w:widowControl w:val="0"/>
              <w:pBdr>
                <w:top w:val="nil"/>
                <w:left w:val="nil"/>
                <w:bottom w:val="nil"/>
                <w:right w:val="nil"/>
                <w:between w:val="nil"/>
              </w:pBdr>
              <w:spacing w:before="0"/>
              <w:rPr>
                <w:b/>
                <w:sz w:val="22"/>
                <w:szCs w:val="22"/>
              </w:rPr>
            </w:pPr>
            <w:r>
              <w:rPr>
                <w:b/>
                <w:sz w:val="22"/>
                <w:szCs w:val="22"/>
              </w:rPr>
              <w:t>Metric</w:t>
            </w:r>
          </w:p>
        </w:tc>
      </w:tr>
      <w:tr w:rsidR="00971792">
        <w:trPr>
          <w:trHeight w:val="440"/>
        </w:trPr>
        <w:tc>
          <w:tcPr>
            <w:tcW w:w="1650" w:type="dxa"/>
            <w:vMerge w:val="restart"/>
            <w:tcBorders>
              <w:top w:val="single" w:sz="12" w:space="0" w:color="000000"/>
              <w:left w:val="single" w:sz="8" w:space="0" w:color="FFFFFF"/>
              <w:right w:val="single" w:sz="8" w:space="0" w:color="FFFFFF"/>
            </w:tcBorders>
            <w:shd w:val="clear" w:color="auto" w:fill="auto"/>
            <w:tcMar>
              <w:top w:w="100" w:type="dxa"/>
              <w:left w:w="100" w:type="dxa"/>
              <w:bottom w:w="100" w:type="dxa"/>
              <w:right w:w="100" w:type="dxa"/>
            </w:tcMar>
          </w:tcPr>
          <w:p w:rsidR="00971792" w:rsidRDefault="001D35AF">
            <w:pPr>
              <w:widowControl w:val="0"/>
              <w:pBdr>
                <w:top w:val="nil"/>
                <w:left w:val="nil"/>
                <w:bottom w:val="nil"/>
                <w:right w:val="nil"/>
                <w:between w:val="nil"/>
              </w:pBdr>
              <w:spacing w:before="0"/>
              <w:rPr>
                <w:sz w:val="22"/>
                <w:szCs w:val="22"/>
              </w:rPr>
            </w:pPr>
            <w:r>
              <w:rPr>
                <w:sz w:val="22"/>
                <w:szCs w:val="22"/>
              </w:rPr>
              <w:t>Local</w:t>
            </w:r>
          </w:p>
        </w:tc>
        <w:tc>
          <w:tcPr>
            <w:tcW w:w="2655" w:type="dxa"/>
            <w:tcBorders>
              <w:top w:val="single" w:sz="12"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71792" w:rsidRDefault="001D35AF">
            <w:pPr>
              <w:widowControl w:val="0"/>
              <w:pBdr>
                <w:top w:val="nil"/>
                <w:left w:val="nil"/>
                <w:bottom w:val="nil"/>
                <w:right w:val="nil"/>
                <w:between w:val="nil"/>
              </w:pBdr>
              <w:spacing w:before="0"/>
              <w:rPr>
                <w:sz w:val="22"/>
                <w:szCs w:val="22"/>
              </w:rPr>
            </w:pPr>
            <w:r>
              <w:rPr>
                <w:sz w:val="22"/>
                <w:szCs w:val="22"/>
              </w:rPr>
              <w:t>Segmentation</w:t>
            </w:r>
          </w:p>
        </w:tc>
        <w:tc>
          <w:tcPr>
            <w:tcW w:w="5325" w:type="dxa"/>
            <w:tcBorders>
              <w:top w:val="single" w:sz="12"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71792" w:rsidRDefault="001D35AF">
            <w:pPr>
              <w:widowControl w:val="0"/>
              <w:pBdr>
                <w:top w:val="nil"/>
                <w:left w:val="nil"/>
                <w:bottom w:val="nil"/>
                <w:right w:val="nil"/>
                <w:between w:val="nil"/>
              </w:pBdr>
              <w:spacing w:before="0"/>
              <w:rPr>
                <w:sz w:val="22"/>
                <w:szCs w:val="22"/>
              </w:rPr>
            </w:pPr>
            <w:r>
              <w:rPr>
                <w:sz w:val="22"/>
                <w:szCs w:val="22"/>
              </w:rPr>
              <w:t>Jaccard index, Soerensen-Dice index, ROC/AuC</w:t>
            </w:r>
          </w:p>
        </w:tc>
      </w:tr>
      <w:tr w:rsidR="00971792">
        <w:trPr>
          <w:trHeight w:val="440"/>
        </w:trPr>
        <w:tc>
          <w:tcPr>
            <w:tcW w:w="1650" w:type="dxa"/>
            <w:vMerge/>
            <w:tcBorders>
              <w:left w:val="single" w:sz="8" w:space="0" w:color="FFFFFF"/>
              <w:right w:val="single" w:sz="8" w:space="0" w:color="FFFFFF"/>
            </w:tcBorders>
            <w:shd w:val="clear" w:color="auto" w:fill="auto"/>
            <w:tcMar>
              <w:top w:w="100" w:type="dxa"/>
              <w:left w:w="100" w:type="dxa"/>
              <w:bottom w:w="100" w:type="dxa"/>
              <w:right w:w="100" w:type="dxa"/>
            </w:tcMar>
          </w:tcPr>
          <w:p w:rsidR="00971792" w:rsidRDefault="00971792">
            <w:pPr>
              <w:widowControl w:val="0"/>
              <w:pBdr>
                <w:top w:val="nil"/>
                <w:left w:val="nil"/>
                <w:bottom w:val="nil"/>
                <w:right w:val="nil"/>
                <w:between w:val="nil"/>
              </w:pBdr>
              <w:spacing w:before="0"/>
            </w:pPr>
          </w:p>
        </w:tc>
        <w:tc>
          <w:tcPr>
            <w:tcW w:w="26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71792" w:rsidRDefault="001D35AF">
            <w:pPr>
              <w:widowControl w:val="0"/>
              <w:pBdr>
                <w:top w:val="nil"/>
                <w:left w:val="nil"/>
                <w:bottom w:val="nil"/>
                <w:right w:val="nil"/>
                <w:between w:val="nil"/>
              </w:pBdr>
              <w:spacing w:before="0"/>
              <w:rPr>
                <w:sz w:val="22"/>
                <w:szCs w:val="22"/>
              </w:rPr>
            </w:pPr>
            <w:r>
              <w:rPr>
                <w:sz w:val="22"/>
                <w:szCs w:val="22"/>
              </w:rPr>
              <w:t>Detection</w:t>
            </w:r>
          </w:p>
        </w:tc>
        <w:tc>
          <w:tcPr>
            <w:tcW w:w="53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71792" w:rsidRDefault="001D35AF">
            <w:pPr>
              <w:widowControl w:val="0"/>
              <w:pBdr>
                <w:top w:val="nil"/>
                <w:left w:val="nil"/>
                <w:bottom w:val="nil"/>
                <w:right w:val="nil"/>
                <w:between w:val="nil"/>
              </w:pBdr>
              <w:spacing w:before="0"/>
              <w:rPr>
                <w:sz w:val="22"/>
                <w:szCs w:val="22"/>
              </w:rPr>
            </w:pPr>
            <w:r>
              <w:rPr>
                <w:sz w:val="22"/>
                <w:szCs w:val="22"/>
              </w:rPr>
              <w:t>Accuracy, precision, recall, ROC/AuC</w:t>
            </w:r>
          </w:p>
        </w:tc>
      </w:tr>
      <w:tr w:rsidR="00971792">
        <w:trPr>
          <w:trHeight w:val="440"/>
        </w:trPr>
        <w:tc>
          <w:tcPr>
            <w:tcW w:w="1650" w:type="dxa"/>
            <w:vMerge/>
            <w:tcBorders>
              <w:left w:val="single" w:sz="8" w:space="0" w:color="FFFFFF"/>
              <w:right w:val="single" w:sz="8" w:space="0" w:color="FFFFFF"/>
            </w:tcBorders>
            <w:shd w:val="clear" w:color="auto" w:fill="auto"/>
            <w:tcMar>
              <w:top w:w="100" w:type="dxa"/>
              <w:left w:w="100" w:type="dxa"/>
              <w:bottom w:w="100" w:type="dxa"/>
              <w:right w:w="100" w:type="dxa"/>
            </w:tcMar>
          </w:tcPr>
          <w:p w:rsidR="00971792" w:rsidRDefault="00971792">
            <w:pPr>
              <w:widowControl w:val="0"/>
              <w:pBdr>
                <w:top w:val="nil"/>
                <w:left w:val="nil"/>
                <w:bottom w:val="nil"/>
                <w:right w:val="nil"/>
                <w:between w:val="nil"/>
              </w:pBdr>
              <w:spacing w:before="0"/>
            </w:pPr>
          </w:p>
        </w:tc>
        <w:tc>
          <w:tcPr>
            <w:tcW w:w="265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971792" w:rsidRDefault="001D35AF">
            <w:pPr>
              <w:widowControl w:val="0"/>
              <w:pBdr>
                <w:top w:val="nil"/>
                <w:left w:val="nil"/>
                <w:bottom w:val="nil"/>
                <w:right w:val="nil"/>
                <w:between w:val="nil"/>
              </w:pBdr>
              <w:spacing w:before="0"/>
              <w:rPr>
                <w:sz w:val="22"/>
                <w:szCs w:val="22"/>
              </w:rPr>
            </w:pPr>
            <w:r>
              <w:rPr>
                <w:sz w:val="22"/>
                <w:szCs w:val="22"/>
              </w:rPr>
              <w:t>Visualization</w:t>
            </w:r>
          </w:p>
        </w:tc>
        <w:tc>
          <w:tcPr>
            <w:tcW w:w="532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971792" w:rsidRDefault="001D35AF">
            <w:pPr>
              <w:widowControl w:val="0"/>
              <w:pBdr>
                <w:top w:val="nil"/>
                <w:left w:val="nil"/>
                <w:bottom w:val="nil"/>
                <w:right w:val="nil"/>
                <w:between w:val="nil"/>
              </w:pBdr>
              <w:spacing w:before="0"/>
              <w:rPr>
                <w:b/>
                <w:color w:val="FF0000"/>
                <w:sz w:val="22"/>
                <w:szCs w:val="22"/>
              </w:rPr>
            </w:pPr>
            <w:r>
              <w:rPr>
                <w:sz w:val="22"/>
                <w:szCs w:val="22"/>
              </w:rPr>
              <w:t>Pixel flipping</w:t>
            </w:r>
          </w:p>
        </w:tc>
      </w:tr>
      <w:tr w:rsidR="00971792">
        <w:trPr>
          <w:trHeight w:val="440"/>
        </w:trPr>
        <w:tc>
          <w:tcPr>
            <w:tcW w:w="1650" w:type="dxa"/>
            <w:vMerge w:val="restart"/>
            <w:tcBorders>
              <w:left w:val="single" w:sz="8" w:space="0" w:color="FFFFFF"/>
              <w:right w:val="single" w:sz="8" w:space="0" w:color="FFFFFF"/>
            </w:tcBorders>
            <w:shd w:val="clear" w:color="auto" w:fill="auto"/>
            <w:tcMar>
              <w:top w:w="100" w:type="dxa"/>
              <w:left w:w="100" w:type="dxa"/>
              <w:bottom w:w="100" w:type="dxa"/>
              <w:right w:w="100" w:type="dxa"/>
            </w:tcMar>
          </w:tcPr>
          <w:p w:rsidR="00971792" w:rsidRDefault="001D35AF">
            <w:pPr>
              <w:widowControl w:val="0"/>
              <w:pBdr>
                <w:top w:val="nil"/>
                <w:left w:val="nil"/>
                <w:bottom w:val="nil"/>
                <w:right w:val="nil"/>
                <w:between w:val="nil"/>
              </w:pBdr>
              <w:spacing w:before="0"/>
              <w:rPr>
                <w:sz w:val="22"/>
                <w:szCs w:val="22"/>
              </w:rPr>
            </w:pPr>
            <w:r>
              <w:rPr>
                <w:sz w:val="22"/>
                <w:szCs w:val="22"/>
              </w:rPr>
              <w:t>Case-based</w:t>
            </w:r>
          </w:p>
        </w:tc>
        <w:tc>
          <w:tcPr>
            <w:tcW w:w="265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71792" w:rsidRDefault="001D35AF">
            <w:pPr>
              <w:widowControl w:val="0"/>
              <w:pBdr>
                <w:top w:val="nil"/>
                <w:left w:val="nil"/>
                <w:bottom w:val="nil"/>
                <w:right w:val="nil"/>
                <w:between w:val="nil"/>
              </w:pBdr>
              <w:spacing w:before="0"/>
              <w:rPr>
                <w:sz w:val="22"/>
                <w:szCs w:val="22"/>
              </w:rPr>
            </w:pPr>
            <w:r>
              <w:rPr>
                <w:sz w:val="22"/>
                <w:szCs w:val="22"/>
              </w:rPr>
              <w:t>Nominal target variable</w:t>
            </w:r>
          </w:p>
        </w:tc>
        <w:tc>
          <w:tcPr>
            <w:tcW w:w="53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71792" w:rsidRDefault="001D35AF">
            <w:pPr>
              <w:widowControl w:val="0"/>
              <w:pBdr>
                <w:top w:val="nil"/>
                <w:left w:val="nil"/>
                <w:bottom w:val="nil"/>
                <w:right w:val="nil"/>
                <w:between w:val="nil"/>
              </w:pBdr>
              <w:spacing w:before="0"/>
              <w:rPr>
                <w:sz w:val="22"/>
                <w:szCs w:val="22"/>
              </w:rPr>
            </w:pPr>
            <w:r>
              <w:rPr>
                <w:sz w:val="22"/>
                <w:szCs w:val="22"/>
              </w:rPr>
              <w:t>Accuracy, precision, recall, ROC/AuC</w:t>
            </w:r>
          </w:p>
        </w:tc>
      </w:tr>
      <w:tr w:rsidR="00971792">
        <w:trPr>
          <w:trHeight w:val="440"/>
        </w:trPr>
        <w:tc>
          <w:tcPr>
            <w:tcW w:w="1650" w:type="dxa"/>
            <w:vMerge/>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71792" w:rsidRDefault="00971792">
            <w:pPr>
              <w:widowControl w:val="0"/>
              <w:pBdr>
                <w:top w:val="nil"/>
                <w:left w:val="nil"/>
                <w:bottom w:val="nil"/>
                <w:right w:val="nil"/>
                <w:between w:val="nil"/>
              </w:pBdr>
              <w:spacing w:before="0"/>
            </w:pPr>
          </w:p>
        </w:tc>
        <w:tc>
          <w:tcPr>
            <w:tcW w:w="26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71792" w:rsidRDefault="001D35AF">
            <w:pPr>
              <w:widowControl w:val="0"/>
              <w:pBdr>
                <w:top w:val="nil"/>
                <w:left w:val="nil"/>
                <w:bottom w:val="nil"/>
                <w:right w:val="nil"/>
                <w:between w:val="nil"/>
              </w:pBdr>
              <w:spacing w:before="0"/>
              <w:rPr>
                <w:sz w:val="22"/>
                <w:szCs w:val="22"/>
              </w:rPr>
            </w:pPr>
            <w:r>
              <w:rPr>
                <w:sz w:val="22"/>
                <w:szCs w:val="22"/>
              </w:rPr>
              <w:t>Ordinal target variable</w:t>
            </w:r>
          </w:p>
        </w:tc>
        <w:tc>
          <w:tcPr>
            <w:tcW w:w="53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71792" w:rsidRDefault="001D35AF">
            <w:pPr>
              <w:widowControl w:val="0"/>
              <w:spacing w:before="0"/>
              <w:rPr>
                <w:sz w:val="22"/>
                <w:szCs w:val="22"/>
              </w:rPr>
            </w:pPr>
            <w:r>
              <w:rPr>
                <w:sz w:val="22"/>
                <w:szCs w:val="22"/>
              </w:rPr>
              <w:t xml:space="preserve">Accuracy, precision, recall, ROC/AuC, </w:t>
            </w:r>
          </w:p>
          <w:p w:rsidR="00971792" w:rsidRDefault="001D35AF">
            <w:pPr>
              <w:widowControl w:val="0"/>
              <w:spacing w:before="0"/>
              <w:rPr>
                <w:sz w:val="22"/>
                <w:szCs w:val="22"/>
              </w:rPr>
            </w:pPr>
            <w:r>
              <w:rPr>
                <w:sz w:val="22"/>
                <w:szCs w:val="22"/>
              </w:rPr>
              <w:t>mean squared/absolute error</w:t>
            </w:r>
          </w:p>
        </w:tc>
      </w:tr>
      <w:tr w:rsidR="00971792">
        <w:trPr>
          <w:trHeight w:val="440"/>
        </w:trPr>
        <w:tc>
          <w:tcPr>
            <w:tcW w:w="165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71792" w:rsidRDefault="00971792">
            <w:pPr>
              <w:widowControl w:val="0"/>
              <w:pBdr>
                <w:top w:val="nil"/>
                <w:left w:val="nil"/>
                <w:bottom w:val="nil"/>
                <w:right w:val="nil"/>
                <w:between w:val="nil"/>
              </w:pBdr>
              <w:spacing w:before="0"/>
            </w:pPr>
          </w:p>
        </w:tc>
        <w:tc>
          <w:tcPr>
            <w:tcW w:w="26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71792" w:rsidRDefault="001D35AF">
            <w:pPr>
              <w:widowControl w:val="0"/>
              <w:pBdr>
                <w:top w:val="nil"/>
                <w:left w:val="nil"/>
                <w:bottom w:val="nil"/>
                <w:right w:val="nil"/>
                <w:between w:val="nil"/>
              </w:pBdr>
              <w:spacing w:before="0"/>
              <w:rPr>
                <w:sz w:val="22"/>
                <w:szCs w:val="22"/>
              </w:rPr>
            </w:pPr>
            <w:r>
              <w:rPr>
                <w:sz w:val="22"/>
                <w:szCs w:val="22"/>
              </w:rPr>
              <w:t>Continuous target variable</w:t>
            </w:r>
          </w:p>
        </w:tc>
        <w:tc>
          <w:tcPr>
            <w:tcW w:w="53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71792" w:rsidRDefault="001D35AF">
            <w:pPr>
              <w:widowControl w:val="0"/>
              <w:spacing w:before="0"/>
              <w:rPr>
                <w:sz w:val="22"/>
                <w:szCs w:val="22"/>
              </w:rPr>
            </w:pPr>
            <w:r>
              <w:rPr>
                <w:sz w:val="22"/>
                <w:szCs w:val="22"/>
              </w:rPr>
              <w:t xml:space="preserve">Kaplan-Meier estimator </w:t>
            </w:r>
          </w:p>
          <w:p w:rsidR="00971792" w:rsidRDefault="001D35AF">
            <w:pPr>
              <w:widowControl w:val="0"/>
              <w:spacing w:before="0"/>
              <w:rPr>
                <w:sz w:val="22"/>
                <w:szCs w:val="22"/>
              </w:rPr>
            </w:pPr>
            <w:r>
              <w:rPr>
                <w:sz w:val="22"/>
                <w:szCs w:val="22"/>
              </w:rPr>
              <w:t>Comparison to Cox regression</w:t>
            </w:r>
          </w:p>
          <w:p w:rsidR="00971792" w:rsidRDefault="001D35AF">
            <w:pPr>
              <w:widowControl w:val="0"/>
              <w:spacing w:before="0"/>
              <w:rPr>
                <w:sz w:val="22"/>
                <w:szCs w:val="22"/>
              </w:rPr>
            </w:pPr>
            <w:r>
              <w:rPr>
                <w:sz w:val="22"/>
                <w:szCs w:val="22"/>
              </w:rPr>
              <w:t>Concordance index</w:t>
            </w:r>
          </w:p>
          <w:p w:rsidR="00971792" w:rsidRDefault="001D35AF">
            <w:pPr>
              <w:widowControl w:val="0"/>
              <w:spacing w:before="0"/>
              <w:rPr>
                <w:sz w:val="22"/>
                <w:szCs w:val="22"/>
              </w:rPr>
            </w:pPr>
            <w:r>
              <w:rPr>
                <w:sz w:val="22"/>
                <w:szCs w:val="22"/>
              </w:rPr>
              <w:t>Mean squared/absolute error</w:t>
            </w:r>
          </w:p>
          <w:p w:rsidR="00971792" w:rsidRDefault="001D35AF">
            <w:pPr>
              <w:widowControl w:val="0"/>
              <w:spacing w:before="0"/>
              <w:rPr>
                <w:sz w:val="22"/>
                <w:szCs w:val="22"/>
              </w:rPr>
            </w:pPr>
            <w:r>
              <w:rPr>
                <w:sz w:val="22"/>
                <w:szCs w:val="22"/>
              </w:rPr>
              <w:t>k-way accuracy (e.g. long/medium/short survival)</w:t>
            </w:r>
          </w:p>
        </w:tc>
      </w:tr>
    </w:tbl>
    <w:p w:rsidR="00971792" w:rsidRDefault="00971792">
      <w:pPr>
        <w:pStyle w:val="Heading1"/>
        <w:ind w:firstLine="432"/>
        <w:rPr>
          <w:rFonts w:ascii="Calibri" w:eastAsia="Calibri" w:hAnsi="Calibri" w:cs="Calibri"/>
          <w:b w:val="0"/>
          <w:sz w:val="22"/>
          <w:szCs w:val="22"/>
          <w:highlight w:val="yellow"/>
        </w:rPr>
      </w:pPr>
    </w:p>
    <w:p w:rsidR="00971792" w:rsidRDefault="00971792"/>
    <w:p w:rsidR="00971792" w:rsidRDefault="001D35AF">
      <w:pPr>
        <w:pStyle w:val="Heading1"/>
        <w:numPr>
          <w:ilvl w:val="0"/>
          <w:numId w:val="2"/>
        </w:numPr>
      </w:pPr>
      <w:r>
        <w:lastRenderedPageBreak/>
        <w:t>References</w:t>
      </w:r>
    </w:p>
    <w:p w:rsidR="00971792" w:rsidRDefault="00971792">
      <w:pPr>
        <w:ind w:left="432"/>
      </w:pPr>
    </w:p>
    <w:p w:rsidR="00971792" w:rsidRDefault="001D35AF">
      <w:pPr>
        <w:ind w:left="720" w:hanging="360"/>
      </w:pPr>
      <w:r w:rsidRPr="00A156CD">
        <w:rPr>
          <w:lang w:val="de-DE"/>
        </w:rPr>
        <w:t>·</w:t>
      </w:r>
      <w:r w:rsidRPr="00A156CD">
        <w:rPr>
          <w:sz w:val="14"/>
          <w:szCs w:val="14"/>
          <w:lang w:val="de-DE"/>
        </w:rPr>
        <w:t xml:space="preserve">   </w:t>
      </w:r>
      <w:r w:rsidRPr="00A156CD">
        <w:rPr>
          <w:lang w:val="de-DE"/>
        </w:rPr>
        <w:t xml:space="preserve">Klauschen, F., Müller, K. R., Binder, A., Bockmayr, M., Hägele, M., Seegerer, P., ... </w:t>
      </w:r>
      <w:r>
        <w:t xml:space="preserve">&amp; Michiels, S. (2018, July). Scoring of tumor-infiltrating lymphocytes: from visual estimation to machine learning. In Seminars in cancer biology. Academic Press. </w:t>
      </w:r>
      <w:hyperlink r:id="rId21">
        <w:r>
          <w:rPr>
            <w:color w:val="1155CC"/>
            <w:u w:val="single"/>
          </w:rPr>
          <w:t>https://doi.org/10.1016/j.semcancer.2018.07.001</w:t>
        </w:r>
      </w:hyperlink>
      <w:r>
        <w:t xml:space="preserve"> </w:t>
      </w:r>
    </w:p>
    <w:p w:rsidR="00971792" w:rsidRDefault="001D35AF">
      <w:pPr>
        <w:ind w:left="720" w:hanging="360"/>
      </w:pPr>
      <w:r w:rsidRPr="00A156CD">
        <w:rPr>
          <w:lang w:val="de-DE"/>
        </w:rPr>
        <w:t>·</w:t>
      </w:r>
      <w:r w:rsidRPr="00A156CD">
        <w:rPr>
          <w:sz w:val="14"/>
          <w:szCs w:val="14"/>
          <w:lang w:val="de-DE"/>
        </w:rPr>
        <w:t xml:space="preserve">       </w:t>
      </w:r>
      <w:r w:rsidRPr="00A156CD">
        <w:rPr>
          <w:lang w:val="de-DE"/>
        </w:rPr>
        <w:t xml:space="preserve">Binder, A., Bockmayr, M., Hägele, M., Wienert, S., Heim, D., Hellweg, K., ... </w:t>
      </w:r>
      <w:r>
        <w:t xml:space="preserve">&amp; Treue, D. (2018). Towards computational fluorescence microscopy: Machine learning-based integrated prediction of morphological and molecular tumor profiles. arXiv preprint arXiv:1805.11178. </w:t>
      </w:r>
      <w:hyperlink r:id="rId22">
        <w:r>
          <w:rPr>
            <w:color w:val="1155CC"/>
            <w:u w:val="single"/>
          </w:rPr>
          <w:t>https://arxiv.org/abs/1805.11178</w:t>
        </w:r>
      </w:hyperlink>
    </w:p>
    <w:p w:rsidR="00971792" w:rsidRDefault="001D35AF">
      <w:pPr>
        <w:ind w:left="720" w:hanging="360"/>
      </w:pPr>
      <w:r>
        <w:t>·</w:t>
      </w:r>
      <w:r>
        <w:rPr>
          <w:sz w:val="14"/>
          <w:szCs w:val="14"/>
        </w:rPr>
        <w:t xml:space="preserve">     </w:t>
      </w:r>
      <w:r>
        <w:t xml:space="preserve">[Standardized determination of tumor-infiltrating lymphocytes in breast cancer : A prognostic marker for histological diagnosis]. </w:t>
      </w:r>
      <w:r w:rsidRPr="00A156CD">
        <w:rPr>
          <w:lang w:val="de-DE"/>
        </w:rPr>
        <w:t xml:space="preserve">Denkert C, Loibl S, Budczies J, Wienert S, Klauschen F Pathologe. </w:t>
      </w:r>
      <w:r>
        <w:t xml:space="preserve">2018 Nov;39(6):520-531. doi: 10.1007/s00292-018-0530-y. </w:t>
      </w:r>
    </w:p>
    <w:p w:rsidR="00971792" w:rsidRDefault="001D35AF">
      <w:pPr>
        <w:spacing w:after="20"/>
        <w:jc w:val="center"/>
      </w:pPr>
      <w:r>
        <w:t>____________________________</w:t>
      </w:r>
    </w:p>
    <w:p w:rsidR="00971792" w:rsidRDefault="00971792">
      <w:bookmarkStart w:id="14" w:name="_GoBack"/>
      <w:bookmarkEnd w:id="14"/>
    </w:p>
    <w:sectPr w:rsidR="00971792">
      <w:headerReference w:type="default" r:id="rId23"/>
      <w:pgSz w:w="11907" w:h="16840"/>
      <w:pgMar w:top="1134" w:right="1134" w:bottom="1134" w:left="1134" w:header="426"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48F7" w:rsidRDefault="00CF48F7">
      <w:pPr>
        <w:spacing w:before="0"/>
      </w:pPr>
      <w:r>
        <w:separator/>
      </w:r>
    </w:p>
  </w:endnote>
  <w:endnote w:type="continuationSeparator" w:id="0">
    <w:p w:rsidR="00CF48F7" w:rsidRDefault="00CF48F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ocnumber">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48F7" w:rsidRDefault="00CF48F7">
      <w:pPr>
        <w:spacing w:before="0"/>
      </w:pPr>
      <w:r>
        <w:separator/>
      </w:r>
    </w:p>
  </w:footnote>
  <w:footnote w:type="continuationSeparator" w:id="0">
    <w:p w:rsidR="00CF48F7" w:rsidRDefault="00CF48F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92" w:rsidRDefault="001D35AF">
    <w:pPr>
      <w:pBdr>
        <w:top w:val="nil"/>
        <w:left w:val="nil"/>
        <w:bottom w:val="nil"/>
        <w:right w:val="nil"/>
        <w:between w:val="nil"/>
      </w:pBdr>
      <w:spacing w:before="0"/>
      <w:jc w:val="center"/>
      <w:rPr>
        <w:color w:val="000000"/>
        <w:sz w:val="18"/>
        <w:szCs w:val="18"/>
      </w:rPr>
    </w:pPr>
    <w:r>
      <w:rPr>
        <w:color w:val="000000"/>
        <w:sz w:val="18"/>
        <w:szCs w:val="18"/>
      </w:rPr>
      <w:t xml:space="preserve">- </w:t>
    </w:r>
    <w:r>
      <w:rPr>
        <w:color w:val="000000"/>
        <w:sz w:val="18"/>
        <w:szCs w:val="18"/>
      </w:rPr>
      <w:fldChar w:fldCharType="begin"/>
    </w:r>
    <w:r>
      <w:rPr>
        <w:color w:val="000000"/>
        <w:sz w:val="18"/>
        <w:szCs w:val="18"/>
      </w:rPr>
      <w:instrText>PAGE</w:instrText>
    </w:r>
    <w:r>
      <w:rPr>
        <w:color w:val="000000"/>
        <w:sz w:val="18"/>
        <w:szCs w:val="18"/>
      </w:rPr>
      <w:fldChar w:fldCharType="separate"/>
    </w:r>
    <w:r w:rsidR="002B49EF">
      <w:rPr>
        <w:noProof/>
        <w:color w:val="000000"/>
        <w:sz w:val="18"/>
        <w:szCs w:val="18"/>
      </w:rPr>
      <w:t>2</w:t>
    </w:r>
    <w:r>
      <w:rPr>
        <w:color w:val="000000"/>
        <w:sz w:val="18"/>
        <w:szCs w:val="18"/>
      </w:rPr>
      <w:fldChar w:fldCharType="end"/>
    </w:r>
    <w:r>
      <w:rPr>
        <w:color w:val="000000"/>
        <w:sz w:val="18"/>
        <w:szCs w:val="18"/>
      </w:rPr>
      <w:t xml:space="preserve"> -</w:t>
    </w:r>
  </w:p>
  <w:p w:rsidR="00971792" w:rsidRDefault="001D35AF">
    <w:pPr>
      <w:pBdr>
        <w:top w:val="nil"/>
        <w:left w:val="nil"/>
        <w:bottom w:val="nil"/>
        <w:right w:val="nil"/>
        <w:between w:val="nil"/>
      </w:pBdr>
      <w:spacing w:before="0"/>
      <w:jc w:val="center"/>
      <w:rPr>
        <w:color w:val="000000"/>
        <w:sz w:val="18"/>
        <w:szCs w:val="18"/>
      </w:rPr>
    </w:pPr>
    <w:r>
      <w:rPr>
        <w:color w:val="000000"/>
        <w:sz w:val="18"/>
        <w:szCs w:val="18"/>
      </w:rPr>
      <w:t>FG-AI4H-C-#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D236EF"/>
    <w:multiLevelType w:val="multilevel"/>
    <w:tmpl w:val="47E44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3279A1"/>
    <w:multiLevelType w:val="multilevel"/>
    <w:tmpl w:val="DC58A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A41D38"/>
    <w:multiLevelType w:val="multilevel"/>
    <w:tmpl w:val="3ABA42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11B0168"/>
    <w:multiLevelType w:val="multilevel"/>
    <w:tmpl w:val="4C2234C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764333C0"/>
    <w:multiLevelType w:val="multilevel"/>
    <w:tmpl w:val="2E664A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792"/>
    <w:rsid w:val="001D35AF"/>
    <w:rsid w:val="002B49EF"/>
    <w:rsid w:val="0042548E"/>
    <w:rsid w:val="005A5A03"/>
    <w:rsid w:val="005B005D"/>
    <w:rsid w:val="00665D3E"/>
    <w:rsid w:val="00971792"/>
    <w:rsid w:val="00A156CD"/>
    <w:rsid w:val="00CF48F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39E4CD-96E4-A94B-8AD6-11B4468E3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US" w:bidi="ar-SA"/>
      </w:rPr>
    </w:rPrDefault>
    <w:pPrDefault>
      <w:pPr>
        <w:spacing w:before="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A03"/>
    <w:pPr>
      <w:jc w:val="left"/>
    </w:pPr>
    <w:rPr>
      <w:rFonts w:eastAsiaTheme="minorHAnsi"/>
      <w:lang w:eastAsia="ja-JP"/>
    </w:rPr>
  </w:style>
  <w:style w:type="paragraph" w:styleId="Heading1">
    <w:name w:val="heading 1"/>
    <w:basedOn w:val="Normal"/>
    <w:next w:val="Normal"/>
    <w:uiPriority w:val="9"/>
    <w:qFormat/>
    <w:pPr>
      <w:keepNext/>
      <w:spacing w:before="240" w:after="60"/>
      <w:ind w:left="432" w:hanging="432"/>
      <w:outlineLvl w:val="0"/>
    </w:pPr>
    <w:rPr>
      <w:b/>
    </w:rPr>
  </w:style>
  <w:style w:type="paragraph" w:styleId="Heading2">
    <w:name w:val="heading 2"/>
    <w:basedOn w:val="Normal"/>
    <w:next w:val="Normal"/>
    <w:uiPriority w:val="9"/>
    <w:semiHidden/>
    <w:unhideWhenUsed/>
    <w:qFormat/>
    <w:pPr>
      <w:keepNext/>
      <w:spacing w:before="240" w:after="60"/>
      <w:ind w:left="576" w:hanging="576"/>
      <w:outlineLvl w:val="1"/>
    </w:pPr>
    <w:rPr>
      <w:b/>
    </w:rPr>
  </w:style>
  <w:style w:type="paragraph" w:styleId="Heading3">
    <w:name w:val="heading 3"/>
    <w:basedOn w:val="Normal"/>
    <w:next w:val="Normal"/>
    <w:uiPriority w:val="9"/>
    <w:semiHidden/>
    <w:unhideWhenUsed/>
    <w:qFormat/>
    <w:pPr>
      <w:keepNext/>
      <w:spacing w:before="240" w:after="60"/>
      <w:ind w:left="720" w:hanging="720"/>
      <w:outlineLvl w:val="2"/>
    </w:pPr>
    <w:rPr>
      <w:b/>
    </w:rPr>
  </w:style>
  <w:style w:type="paragraph" w:styleId="Heading4">
    <w:name w:val="heading 4"/>
    <w:basedOn w:val="Normal"/>
    <w:next w:val="Normal"/>
    <w:uiPriority w:val="9"/>
    <w:semiHidden/>
    <w:unhideWhenUsed/>
    <w:qFormat/>
    <w:pPr>
      <w:keepNext/>
      <w:spacing w:before="240" w:after="60"/>
      <w:ind w:left="864" w:hanging="864"/>
      <w:outlineLvl w:val="3"/>
    </w:pPr>
    <w:rPr>
      <w:b/>
    </w:rPr>
  </w:style>
  <w:style w:type="paragraph" w:styleId="Heading5">
    <w:name w:val="heading 5"/>
    <w:basedOn w:val="Normal"/>
    <w:next w:val="Normal"/>
    <w:uiPriority w:val="9"/>
    <w:semiHidden/>
    <w:unhideWhenUsed/>
    <w:qFormat/>
    <w:pPr>
      <w:spacing w:before="240" w:after="60"/>
      <w:ind w:left="1008" w:hanging="1008"/>
      <w:outlineLvl w:val="4"/>
    </w:pPr>
    <w:rPr>
      <w:b/>
      <w:i/>
    </w:rPr>
  </w:style>
  <w:style w:type="paragraph" w:styleId="Heading6">
    <w:name w:val="heading 6"/>
    <w:basedOn w:val="Normal"/>
    <w:next w:val="Normal"/>
    <w:uiPriority w:val="9"/>
    <w:semiHidden/>
    <w:unhideWhenUsed/>
    <w:qFormat/>
    <w:pPr>
      <w:spacing w:before="240" w:after="60"/>
      <w:ind w:left="1152" w:hanging="1152"/>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pPr>
    <w:rPr>
      <w:rFonts w:ascii="Calibri" w:eastAsia="Calibri" w:hAnsi="Calibri" w:cs="Calibri"/>
      <w:sz w:val="56"/>
      <w:szCs w:val="56"/>
    </w:rPr>
  </w:style>
  <w:style w:type="paragraph" w:styleId="Subtitle">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left w:w="57" w:type="dxa"/>
        <w:right w:w="57" w:type="dxa"/>
      </w:tblCellMar>
    </w:tbl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5A5A03"/>
    <w:rPr>
      <w:color w:val="0000FF" w:themeColor="hyperlink"/>
      <w:u w:val="single"/>
    </w:rPr>
  </w:style>
  <w:style w:type="character" w:customStyle="1" w:styleId="UnresolvedMention">
    <w:name w:val="Unresolved Mention"/>
    <w:basedOn w:val="DefaultParagraphFont"/>
    <w:uiPriority w:val="99"/>
    <w:semiHidden/>
    <w:unhideWhenUsed/>
    <w:rsid w:val="005A5A03"/>
    <w:rPr>
      <w:color w:val="808080"/>
      <w:shd w:val="clear" w:color="auto" w:fill="E6E6E6"/>
    </w:rPr>
  </w:style>
  <w:style w:type="paragraph" w:customStyle="1" w:styleId="Docnumber">
    <w:name w:val="Docnumber"/>
    <w:basedOn w:val="Normal"/>
    <w:link w:val="DocnumberChar"/>
    <w:rsid w:val="005A5A03"/>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5A5A03"/>
    <w:rPr>
      <w:rFonts w:eastAsia="SimSu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frederick.klauschen@charite.de" TargetMode="External"/><Relationship Id="rId13" Type="http://schemas.openxmlformats.org/officeDocument/2006/relationships/hyperlink" Target="mailto:roberto@salgado.be" TargetMode="External"/><Relationship Id="rId18" Type="http://schemas.openxmlformats.org/officeDocument/2006/relationships/hyperlink" Target="https://extranet.itu.int/sites/itu-t/focusgroups/ai4h/docs/FGAI4H-B-014.docx" TargetMode="Externa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yperlink" Target="https://doi.org/10.1016/j.semcancer.2018.07.001" TargetMode="External"/><Relationship Id="rId7" Type="http://schemas.openxmlformats.org/officeDocument/2006/relationships/image" Target="media/image1.gif"/><Relationship Id="rId12" Type="http://schemas.openxmlformats.org/officeDocument/2006/relationships/hyperlink" Target="mailto:alexander_binder@sutd.edu.sg" TargetMode="External"/><Relationship Id="rId17" Type="http://schemas.openxmlformats.org/officeDocument/2006/relationships/hyperlink" Target="https://extranet.itu.int/sites/itu-t/focusgroups/ai4h/docs/FGAI4H-B-101.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xtranet.itu.int/sites/itu-t/focusgroups/ai4h/docs/FGAI4H-B-101.docx"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ilipp.seegerer@tu-berlin.d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xtranet.itu.int/sites/itu-t/focusgroups/ai4h/docs/FGAI4H-B-014.docx" TargetMode="External"/><Relationship Id="rId23" Type="http://schemas.openxmlformats.org/officeDocument/2006/relationships/header" Target="header1.xml"/><Relationship Id="rId28" Type="http://schemas.openxmlformats.org/officeDocument/2006/relationships/customXml" Target="../customXml/item3.xml"/><Relationship Id="rId10" Type="http://schemas.openxmlformats.org/officeDocument/2006/relationships/hyperlink" Target="mailto:haegele@tu-berlin.de"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alexander.arnold@charite.de" TargetMode="External"/><Relationship Id="rId14" Type="http://schemas.openxmlformats.org/officeDocument/2006/relationships/hyperlink" Target="https://extranet.itu.int/sites/itu-t/focusgroups/ai4h/docs/FGAI4H-B-014.docx" TargetMode="External"/><Relationship Id="rId22" Type="http://schemas.openxmlformats.org/officeDocument/2006/relationships/hyperlink" Target="https://arxiv.org/abs/1805.11178"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D5E134-24FB-47BF-AD48-B0034BB7B570}"/>
</file>

<file path=customXml/itemProps2.xml><?xml version="1.0" encoding="utf-8"?>
<ds:datastoreItem xmlns:ds="http://schemas.openxmlformats.org/officeDocument/2006/customXml" ds:itemID="{79BD67B8-B811-4104-8962-949A66C79E85}"/>
</file>

<file path=customXml/itemProps3.xml><?xml version="1.0" encoding="utf-8"?>
<ds:datastoreItem xmlns:ds="http://schemas.openxmlformats.org/officeDocument/2006/customXml" ds:itemID="{EA8EE4E6-27B0-4A65-95B8-3725217903B3}"/>
</file>

<file path=docProps/app.xml><?xml version="1.0" encoding="utf-8"?>
<Properties xmlns="http://schemas.openxmlformats.org/officeDocument/2006/extended-properties" xmlns:vt="http://schemas.openxmlformats.org/officeDocument/2006/docPropsVTypes">
  <Template>Normal.dotm</Template>
  <TotalTime>0</TotalTime>
  <Pages>6</Pages>
  <Words>1570</Words>
  <Characters>9706</Characters>
  <Application>Microsoft Office Word</Application>
  <DocSecurity>0</DocSecurity>
  <Lines>285</Lines>
  <Paragraphs>142</Paragraphs>
  <ScaleCrop>false</ScaleCrop>
  <HeadingPairs>
    <vt:vector size="2" baseType="variant">
      <vt:variant>
        <vt:lpstr>Title</vt:lpstr>
      </vt:variant>
      <vt:variant>
        <vt:i4>1</vt:i4>
      </vt:variant>
    </vt:vector>
  </HeadingPairs>
  <TitlesOfParts>
    <vt:vector size="1" baseType="lpstr">
      <vt:lpstr>Annotation of histopathology images and benchmarking of AI solutions for the use case "machine learning-based profiling of tumor-infiltrating lymphocytes in breast cancer"</vt:lpstr>
    </vt:vector>
  </TitlesOfParts>
  <Manager>ITU-T</Manager>
  <Company>International Telecommunication Union (ITU)</Company>
  <LinksUpToDate>false</LinksUpToDate>
  <CharactersWithSpaces>11134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Annotation of histopathology images and benchmarking of AI solutions for the use case "machine learning-based profiling of tumor-infiltrating lymphocytes in breast cancer"</dc:title>
  <dc:creator>Institute of Pathology, Charité Universitätsmedizin Berlin, Berlin Institute of Health &amp; Berlin Big Data Center, Berlin Center for Machine Learning, Technische Universität Berlin, Singapore University of Technology and Design, TIL international working group</dc:creator>
  <dc:description>FG-AI4H-C-018  For: Lausanne, 23-25 January 2019_x000d_Document date: ITU-T Focus Group on AI for Health_x000d_Saved by ITU51012719 at 13:00:26 on 16/01/2019</dc:description>
  <cp:lastModifiedBy>Bastiaan Quast</cp:lastModifiedBy>
  <cp:revision>2</cp:revision>
  <dcterms:created xsi:type="dcterms:W3CDTF">2019-01-16T12:00:00Z</dcterms:created>
  <dcterms:modified xsi:type="dcterms:W3CDTF">2019-01-16T12:00:00Z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FG-AI4H-C-018</vt:lpwstr>
  </property>
  <property fmtid="{D5CDD505-2E9C-101B-9397-08002B2CF9AE}" pid="3" name="Docdate">
    <vt:lpwstr>ITU-T Focus Group on AI for Health</vt:lpwstr>
  </property>
  <property fmtid="{D5CDD505-2E9C-101B-9397-08002B2CF9AE}" pid="4" name="Docorlang">
    <vt:lpwstr>Original: English</vt:lpwstr>
  </property>
  <property fmtid="{D5CDD505-2E9C-101B-9397-08002B2CF9AE}" pid="5" name="Docbluepink">
    <vt:lpwstr>Plenary</vt:lpwstr>
  </property>
  <property fmtid="{D5CDD505-2E9C-101B-9397-08002B2CF9AE}" pid="6" name="Docdest">
    <vt:lpwstr>Lausanne, 23-25 January 2019</vt:lpwstr>
  </property>
  <property fmtid="{D5CDD505-2E9C-101B-9397-08002B2CF9AE}" pid="7" name="Docauthor">
    <vt:lpwstr>Institute of Pathology, Charité Universitätsmedizin Berlin, Berlin Institute of Health &amp; Berlin Big Data Center, Berlin Center for Machine Learning, Technische Universität Berlin, Singapore University of Technology and Design, TIL international working gr</vt:lpwstr>
  </property>
  <property fmtid="{D5CDD505-2E9C-101B-9397-08002B2CF9AE}" pid="8" name="ContentTypeId">
    <vt:lpwstr>0x0101002D863A2280E3F84C93CB7D95B3AE289B</vt:lpwstr>
  </property>
</Properties>
</file>