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102F28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E03557" w:rsidRPr="00102F28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102F28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E03557" w:rsidRPr="00102F28" w:rsidRDefault="00E03557" w:rsidP="00E03557">
            <w:pPr>
              <w:rPr>
                <w:sz w:val="16"/>
                <w:szCs w:val="16"/>
              </w:rPr>
            </w:pPr>
            <w:r w:rsidRPr="00102F28">
              <w:rPr>
                <w:sz w:val="16"/>
                <w:szCs w:val="16"/>
              </w:rPr>
              <w:t>INTERNATIONAL TELECOMMUNICATION UNION</w:t>
            </w:r>
          </w:p>
          <w:p w:rsidR="00E03557" w:rsidRPr="00102F28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102F28">
              <w:rPr>
                <w:b/>
                <w:bCs/>
                <w:sz w:val="26"/>
                <w:szCs w:val="26"/>
              </w:rPr>
              <w:t>TELECOMMUNICATION</w:t>
            </w:r>
            <w:r w:rsidRPr="00102F2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03557" w:rsidRPr="00102F28" w:rsidRDefault="00E03557" w:rsidP="00E03557">
            <w:pPr>
              <w:rPr>
                <w:sz w:val="20"/>
                <w:szCs w:val="20"/>
              </w:rPr>
            </w:pPr>
            <w:r w:rsidRPr="00102F28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E03557" w:rsidRPr="00102F28" w:rsidRDefault="00BC1D31" w:rsidP="007B7733">
            <w:pPr>
              <w:pStyle w:val="Docnumber"/>
            </w:pPr>
            <w:r w:rsidRPr="00102F28">
              <w:t>FG-AI4H</w:t>
            </w:r>
            <w:r w:rsidR="00E03557" w:rsidRPr="00102F28">
              <w:t>-</w:t>
            </w:r>
            <w:r w:rsidR="007B7733" w:rsidRPr="00102F28">
              <w:t>A</w:t>
            </w:r>
            <w:r w:rsidRPr="00102F28">
              <w:t>-</w:t>
            </w:r>
            <w:r w:rsidR="00102F28" w:rsidRPr="00102F28">
              <w:t>032</w:t>
            </w:r>
          </w:p>
        </w:tc>
      </w:tr>
      <w:bookmarkEnd w:id="2"/>
      <w:tr w:rsidR="00E03557" w:rsidRPr="00102F28" w:rsidTr="00590D62">
        <w:trPr>
          <w:cantSplit/>
          <w:jc w:val="center"/>
        </w:trPr>
        <w:tc>
          <w:tcPr>
            <w:tcW w:w="1133" w:type="dxa"/>
            <w:vMerge/>
          </w:tcPr>
          <w:p w:rsidR="00E03557" w:rsidRPr="00102F28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E03557" w:rsidRPr="00102F28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:rsidR="00E03557" w:rsidRPr="00102F28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 w:rsidRPr="00102F28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102F28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102F28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E03557" w:rsidRPr="00102F28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E03557" w:rsidRPr="00102F28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E03557" w:rsidRPr="00102F28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102F2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102F28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102F28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102F28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:rsidR="00BC1D31" w:rsidRPr="00102F28" w:rsidRDefault="00102F28" w:rsidP="00404076">
            <w:r w:rsidRPr="00102F28">
              <w:t>HR</w:t>
            </w:r>
          </w:p>
        </w:tc>
        <w:tc>
          <w:tcPr>
            <w:tcW w:w="4678" w:type="dxa"/>
            <w:gridSpan w:val="2"/>
            <w:vAlign w:val="center"/>
          </w:tcPr>
          <w:p w:rsidR="00BC1D31" w:rsidRPr="00102F28" w:rsidRDefault="00102F28" w:rsidP="00404076">
            <w:pPr>
              <w:jc w:val="right"/>
            </w:pPr>
            <w:r w:rsidRPr="00102F28">
              <w:t>Geneva, 26-27 September 2018</w:t>
            </w:r>
          </w:p>
        </w:tc>
      </w:tr>
      <w:tr w:rsidR="00E03557" w:rsidRPr="00102F28" w:rsidTr="00E03557">
        <w:trPr>
          <w:cantSplit/>
          <w:jc w:val="center"/>
        </w:trPr>
        <w:tc>
          <w:tcPr>
            <w:tcW w:w="9640" w:type="dxa"/>
            <w:gridSpan w:val="5"/>
          </w:tcPr>
          <w:p w:rsidR="00E03557" w:rsidRPr="00102F28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02F28">
              <w:rPr>
                <w:b/>
                <w:bCs/>
              </w:rPr>
              <w:t>DOCUMENT</w:t>
            </w:r>
          </w:p>
        </w:tc>
      </w:tr>
      <w:tr w:rsidR="00BC1D31" w:rsidRPr="00102F28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102F28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102F28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102F28" w:rsidRDefault="00102F28" w:rsidP="00404076">
            <w:r w:rsidRPr="00102F28">
              <w:t>WHO</w:t>
            </w:r>
          </w:p>
        </w:tc>
      </w:tr>
      <w:tr w:rsidR="00BC1D31" w:rsidRPr="00102F28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102F28" w:rsidRDefault="00BC1D31" w:rsidP="00BC1D31">
            <w:bookmarkStart w:id="9" w:name="dtitle1" w:colFirst="1" w:colLast="1"/>
            <w:bookmarkEnd w:id="8"/>
            <w:r w:rsidRPr="00102F28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102F28" w:rsidRDefault="00102F28" w:rsidP="00404076">
            <w:r w:rsidRPr="00102F28">
              <w:rPr>
                <w:lang w:val="en-US"/>
              </w:rPr>
              <w:t>Classification categories for WHO Publication</w:t>
            </w:r>
            <w:r>
              <w:rPr>
                <w:lang w:val="en-US"/>
              </w:rPr>
              <w:t>'</w:t>
            </w:r>
            <w:r w:rsidRPr="00102F28">
              <w:rPr>
                <w:lang w:val="en-US"/>
              </w:rPr>
              <w:t>s process</w:t>
            </w:r>
          </w:p>
        </w:tc>
      </w:tr>
      <w:tr w:rsidR="00E03557" w:rsidRPr="00102F28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E03557" w:rsidRPr="00102F28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102F28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E03557" w:rsidRPr="00102F28" w:rsidRDefault="00102F28" w:rsidP="00BC1D31">
            <w:r w:rsidRPr="00102F28">
              <w:rPr>
                <w:lang w:val="en-US"/>
              </w:rPr>
              <w:t>Information</w:t>
            </w:r>
          </w:p>
        </w:tc>
      </w:tr>
      <w:bookmarkEnd w:id="0"/>
      <w:bookmarkEnd w:id="10"/>
      <w:tr w:rsidR="00BC1D31" w:rsidRPr="00102F28" w:rsidTr="00102F2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1D31" w:rsidRPr="00102F28" w:rsidRDefault="00BC1D31" w:rsidP="00BC1D31">
            <w:pPr>
              <w:rPr>
                <w:b/>
                <w:bCs/>
              </w:rPr>
            </w:pPr>
            <w:r w:rsidRPr="00102F28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1D31" w:rsidRPr="00102F28" w:rsidRDefault="00102F28" w:rsidP="00102F28">
            <w:r w:rsidRPr="00102F28">
              <w:t xml:space="preserve">PUJARI, Sameer </w:t>
            </w:r>
            <w:r w:rsidR="00BC1D31" w:rsidRPr="00102F28">
              <w:br/>
            </w:r>
            <w:r w:rsidRPr="00102F28">
              <w:t>WHO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BC1D31" w:rsidRPr="00102F28" w:rsidRDefault="00BC1D31" w:rsidP="00102F28">
            <w:r w:rsidRPr="00102F28">
              <w:t xml:space="preserve">Email: </w:t>
            </w:r>
            <w:r w:rsidRPr="00102F28">
              <w:tab/>
            </w:r>
            <w:hyperlink r:id="rId11" w:history="1">
              <w:r w:rsidR="00102F28" w:rsidRPr="00102F28">
                <w:rPr>
                  <w:rStyle w:val="Hyperlink"/>
                </w:rPr>
                <w:t>pujaris@who.int</w:t>
              </w:r>
            </w:hyperlink>
          </w:p>
        </w:tc>
      </w:tr>
    </w:tbl>
    <w:p w:rsidR="00E03557" w:rsidRPr="00102F28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102F28" w:rsidTr="00E03557">
        <w:trPr>
          <w:cantSplit/>
          <w:jc w:val="center"/>
        </w:trPr>
        <w:tc>
          <w:tcPr>
            <w:tcW w:w="1701" w:type="dxa"/>
          </w:tcPr>
          <w:p w:rsidR="00E03557" w:rsidRPr="00102F28" w:rsidRDefault="00E03557" w:rsidP="00E03557">
            <w:pPr>
              <w:rPr>
                <w:b/>
                <w:bCs/>
              </w:rPr>
            </w:pPr>
            <w:r w:rsidRPr="00102F28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E03557" w:rsidRPr="00102F28" w:rsidRDefault="00102F28" w:rsidP="00BC1D31">
            <w:r w:rsidRPr="00102F28">
              <w:t xml:space="preserve">This document </w:t>
            </w:r>
            <w:r w:rsidRPr="00102F28">
              <w:rPr>
                <w:lang w:val="en-US"/>
              </w:rPr>
              <w:t>contains the WHO classification categories used in the WHO Publication</w:t>
            </w:r>
            <w:r>
              <w:rPr>
                <w:lang w:val="en-US"/>
              </w:rPr>
              <w:t>'</w:t>
            </w:r>
            <w:r w:rsidRPr="00102F28">
              <w:rPr>
                <w:lang w:val="en-US"/>
              </w:rPr>
              <w:t xml:space="preserve">s process for document clearance prior to their publication, which can be used as background information when reviewing document </w:t>
            </w:r>
            <w:r>
              <w:rPr>
                <w:color w:val="000000"/>
                <w:lang w:val="en-US"/>
              </w:rPr>
              <w:t>FG-AI4H-A</w:t>
            </w:r>
            <w:r>
              <w:rPr>
                <w:color w:val="000000"/>
                <w:lang w:val="en-US"/>
              </w:rPr>
              <w:noBreakHyphen/>
            </w:r>
            <w:r w:rsidRPr="00102F28">
              <w:rPr>
                <w:color w:val="000000"/>
                <w:lang w:val="en-US"/>
              </w:rPr>
              <w:t>104</w:t>
            </w:r>
            <w:r w:rsidRPr="00102F28">
              <w:rPr>
                <w:lang w:val="en-US"/>
              </w:rPr>
              <w:t>.</w:t>
            </w:r>
          </w:p>
        </w:tc>
      </w:tr>
    </w:tbl>
    <w:p w:rsidR="00E03557" w:rsidRPr="00102F28" w:rsidRDefault="00E03557" w:rsidP="00E03557"/>
    <w:p w:rsidR="00102F28" w:rsidRPr="00102F28" w:rsidRDefault="00102F28" w:rsidP="00E03557">
      <w:pPr>
        <w:rPr>
          <w:lang w:val="en-US"/>
        </w:rPr>
      </w:pPr>
      <w:r w:rsidRPr="00102F28">
        <w:t xml:space="preserve">The </w:t>
      </w:r>
      <w:r w:rsidRPr="00102F28">
        <w:rPr>
          <w:lang w:val="en-US"/>
        </w:rPr>
        <w:t>list below contains the WHO classification categories used in the WHO Publication</w:t>
      </w:r>
      <w:r>
        <w:rPr>
          <w:lang w:val="en-US"/>
        </w:rPr>
        <w:t>'</w:t>
      </w:r>
      <w:r w:rsidRPr="00102F28">
        <w:rPr>
          <w:lang w:val="en-US"/>
        </w:rPr>
        <w:t xml:space="preserve">s process for document clearance prior to their publication. It is provided as background material in the forward review process for document </w:t>
      </w:r>
      <w:hyperlink r:id="rId12" w:history="1">
        <w:r w:rsidRPr="00102F28">
          <w:rPr>
            <w:rStyle w:val="Hyperlink"/>
            <w:lang w:val="en-US"/>
          </w:rPr>
          <w:t>FG-AI4H-A-104</w:t>
        </w:r>
      </w:hyperlink>
      <w:r w:rsidRPr="00102F28">
        <w:rPr>
          <w:color w:val="000000"/>
          <w:lang w:val="en-US"/>
        </w:rPr>
        <w:t>.</w:t>
      </w:r>
    </w:p>
    <w:p w:rsidR="00102F28" w:rsidRPr="00102F28" w:rsidRDefault="00102F28" w:rsidP="00E03557"/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252"/>
      </w:tblGrid>
      <w:tr w:rsidR="00102F28" w:rsidRPr="00102F28" w:rsidTr="00102F28">
        <w:trPr>
          <w:trHeight w:val="300"/>
          <w:tblHeader/>
          <w:jc w:val="center"/>
        </w:trPr>
        <w:tc>
          <w:tcPr>
            <w:tcW w:w="3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head"/>
            </w:pPr>
            <w:r w:rsidRPr="00102F28">
              <w:t>Leve1</w:t>
            </w:r>
            <w:r w:rsidR="001350BD">
              <w:t xml:space="preserve"> 1</w:t>
            </w:r>
          </w:p>
        </w:tc>
        <w:tc>
          <w:tcPr>
            <w:tcW w:w="6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head"/>
            </w:pPr>
            <w:r w:rsidRPr="00102F28">
              <w:t>Level</w:t>
            </w:r>
            <w:r w:rsidR="001350BD">
              <w:t xml:space="preserve"> </w:t>
            </w:r>
            <w:r w:rsidRPr="00102F28">
              <w:t>2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Chronic diseases and conditions</w:t>
            </w:r>
          </w:p>
        </w:tc>
        <w:tc>
          <w:tcPr>
            <w:tcW w:w="625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Cancer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Cardiovascular diseases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Chronic respiratory diseases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Craniofacial abnormalities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Diabetes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Disabilities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Haemoglobin disorders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Hearing disorders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Injuries (other than road traffic)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Obesity/overweight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Oral 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Vision disorde</w:t>
            </w:r>
            <w:r w:rsidR="001350BD">
              <w:t>r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Emergencies</w:t>
            </w: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Bioterrorism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Disasters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Disease outbreaks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Environmental health</w:t>
            </w: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Chemical safety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Climate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Environmental pollution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Food safety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Medical waste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Occupational 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Radiation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Road traffic injuries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Sanitation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Travel and 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Vector control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Water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equity</w:t>
            </w: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Ethics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Gender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Globalization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Human rights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Knowledge management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Macroeconomics and 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Millennium Development Goals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Poverty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Social environment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Sustainable Development Goals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systems</w:t>
            </w: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Blood safety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E-health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education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financing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legislation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policy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research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services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workforce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Hospitals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Infection control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Medical education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Nursing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Partnerships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Patient safety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Primary health care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Prisons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Surgery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Universal health coverage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technology</w:t>
            </w: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Biosafety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Blood products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Blood transfusion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Diagnostic imaging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Diagnostics and laboratory techniques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Equipment and supplies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Genetics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Injection safety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Medical devices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Plasma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Transplantation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Vaccines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Infectious/parasitic diseases</w:t>
            </w: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AIDS/HIV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Avian influenza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Cholera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Ebola virus disease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Emerging diseases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Hepatitis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Influenza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Intestinal diseases (parasitic)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Malaria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Meningitis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Neglected tropical diseases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Pneumococcal infections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Poliomyelitis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Rotavirus infections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Severe acute respiratory syndrome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Sexually transmitted infections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Smallpox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Tuberculosis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Typhoid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Viral encephalitis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Yellow fever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Zika virus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Zoonoses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Life course</w:t>
            </w: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Adolescent 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Ageing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Child 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Family planning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promotion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Immunization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Indigenous populations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Infant/neonatal 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Maternal 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Nutrition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Refugees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Rehabilitation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Reproductive 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Sexual 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Women</w:t>
            </w:r>
            <w:r>
              <w:t>'</w:t>
            </w:r>
            <w:r w:rsidRPr="00102F28">
              <w:t>s health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Medicines</w:t>
            </w: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Antiretroviral therapy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Drug resistance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Essential medicines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Intellectual property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Prequalification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Traditional medicine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Mental health</w:t>
            </w: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Depression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Epilepsy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Headache disorders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Mental disorders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Neurology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Schizophrenia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Substance abuse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Suicide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Violence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Statistics/classification</w:t>
            </w: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Burden of disease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Epidemiology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Geographical information systems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Health surveys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Life expectancy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Mortality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Public health surveillance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Risk assessment</w:t>
            </w:r>
          </w:p>
        </w:tc>
      </w:tr>
      <w:tr w:rsidR="00102F28" w:rsidRPr="00102F28" w:rsidTr="00102F28">
        <w:trPr>
          <w:trHeight w:val="300"/>
          <w:jc w:val="center"/>
        </w:trPr>
        <w:tc>
          <w:tcPr>
            <w:tcW w:w="338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</w:p>
        </w:tc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102F28" w:rsidRPr="00102F28" w:rsidRDefault="00102F28" w:rsidP="00102F28">
            <w:pPr>
              <w:pStyle w:val="Tabletext"/>
            </w:pPr>
            <w:r w:rsidRPr="00102F28">
              <w:t>Risk factors</w:t>
            </w:r>
          </w:p>
        </w:tc>
      </w:tr>
    </w:tbl>
    <w:p w:rsidR="00102F28" w:rsidRPr="00102F28" w:rsidRDefault="00102F28" w:rsidP="00E03557"/>
    <w:p w:rsidR="003429F2" w:rsidRDefault="00BC1D31" w:rsidP="00404076">
      <w:pPr>
        <w:spacing w:after="20"/>
        <w:jc w:val="center"/>
      </w:pPr>
      <w:r w:rsidRPr="00102F28">
        <w:t>____________________________</w:t>
      </w:r>
    </w:p>
    <w:p w:rsidR="00BC1D31" w:rsidRPr="00AB258E" w:rsidRDefault="00BC1D31" w:rsidP="00BC1D31">
      <w:bookmarkStart w:id="11" w:name="_GoBack"/>
      <w:bookmarkEnd w:id="11"/>
    </w:p>
    <w:sectPr w:rsidR="00BC1D31" w:rsidRPr="00AB258E" w:rsidSect="007B7733">
      <w:headerReference w:type="default" r:id="rId13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081" w:rsidRDefault="00D90081" w:rsidP="007B7733">
      <w:pPr>
        <w:spacing w:before="0"/>
      </w:pPr>
      <w:r>
        <w:separator/>
      </w:r>
    </w:p>
  </w:endnote>
  <w:endnote w:type="continuationSeparator" w:id="0">
    <w:p w:rsidR="00D90081" w:rsidRDefault="00D9008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081" w:rsidRDefault="00D90081" w:rsidP="007B7733">
      <w:pPr>
        <w:spacing w:before="0"/>
      </w:pPr>
      <w:r>
        <w:separator/>
      </w:r>
    </w:p>
  </w:footnote>
  <w:footnote w:type="continuationSeparator" w:id="0">
    <w:p w:rsidR="00D90081" w:rsidRDefault="00D9008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204AE">
      <w:rPr>
        <w:noProof/>
      </w:rPr>
      <w:t>FG-AI4H-A-032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28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2F28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50BD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7C1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869AD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3EC0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52AD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0081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04A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C151D95-C010-4BEE-8D52-1E4094CF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A-104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jaris@who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_Ori_TSB\FG-AI4H-template-v201809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1537A5-F50D-4D72-AAAF-16C8077A8E55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FG-AI4H-template-v20180919.dotx</Template>
  <TotalTime>11</TotalTime>
  <Pages>4</Pages>
  <Words>369</Words>
  <Characters>2826</Characters>
  <Application>Microsoft Office Word</Application>
  <DocSecurity>0</DocSecurity>
  <Lines>301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categories for WHO Publication's process</vt:lpstr>
    </vt:vector>
  </TitlesOfParts>
  <Manager>ITU-T</Manager>
  <Company>International Telecommunication Union (ITU)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categories for WHO Publication's process</dc:title>
  <dc:subject/>
  <dc:creator>WHO</dc:creator>
  <cp:keywords/>
  <dc:description>FG-AI4H-A-032  For: Geneva, 26-27 September 2018_x000d_Document date: ITU-T Focus Group on AI for Health_x000d_Saved by ITU51013388 at 10:13:39 on 01/10/2018</dc:description>
  <cp:lastModifiedBy>Simao Campos-Neto</cp:lastModifiedBy>
  <cp:revision>4</cp:revision>
  <cp:lastPrinted>2011-04-05T14:28:00Z</cp:lastPrinted>
  <dcterms:created xsi:type="dcterms:W3CDTF">2018-09-28T06:35:00Z</dcterms:created>
  <dcterms:modified xsi:type="dcterms:W3CDTF">2018-10-01T08:13:00Z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FG-AI4H-A-032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HR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WHO</vt:lpwstr>
  </property>
</Properties>
</file>