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rsidTr="00590D62">
        <w:trPr>
          <w:cantSplit/>
          <w:jc w:val="center"/>
        </w:trPr>
        <w:tc>
          <w:tcPr>
            <w:tcW w:w="1133" w:type="dxa"/>
            <w:vMerge w:val="restart"/>
            <w:vAlign w:val="center"/>
          </w:tcPr>
          <w:p w:rsidR="00E03557" w:rsidRPr="00E03557" w:rsidRDefault="00BC1D31" w:rsidP="00E03557">
            <w:pPr>
              <w:jc w:val="center"/>
              <w:rPr>
                <w:sz w:val="20"/>
                <w:szCs w:val="20"/>
              </w:rPr>
            </w:pPr>
            <w:bookmarkStart w:id="0" w:name="dnum" w:colFirst="2" w:colLast="2"/>
            <w:bookmarkStart w:id="1" w:name="dsg" w:colFirst="1" w:colLast="1"/>
            <w:bookmarkStart w:id="2" w:name="dtableau"/>
            <w:r w:rsidRPr="00E03557">
              <w:rPr>
                <w:noProof/>
                <w:sz w:val="20"/>
                <w:szCs w:val="20"/>
                <w:lang w:eastAsia="en-GB"/>
              </w:rPr>
              <w:drawing>
                <wp:inline distT="0" distB="0" distL="0" distR="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rsidR="00E03557" w:rsidRPr="00E03557" w:rsidRDefault="00E03557" w:rsidP="00E03557">
            <w:pPr>
              <w:rPr>
                <w:sz w:val="16"/>
                <w:szCs w:val="16"/>
              </w:rPr>
            </w:pPr>
            <w:r w:rsidRPr="00E03557">
              <w:rPr>
                <w:sz w:val="16"/>
                <w:szCs w:val="16"/>
              </w:rPr>
              <w:t>INTERNATIONAL TELECOMMUNICATION UNION</w:t>
            </w:r>
          </w:p>
          <w:p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rsidR="00E03557" w:rsidRPr="00E03557" w:rsidRDefault="00E03557" w:rsidP="00E03557">
            <w:pPr>
              <w:rPr>
                <w:sz w:val="20"/>
                <w:szCs w:val="20"/>
              </w:rPr>
            </w:pPr>
            <w:r w:rsidRPr="00E03557">
              <w:rPr>
                <w:sz w:val="20"/>
                <w:szCs w:val="20"/>
              </w:rPr>
              <w:t>STUDY PERIOD 2017-2020</w:t>
            </w:r>
          </w:p>
        </w:tc>
        <w:tc>
          <w:tcPr>
            <w:tcW w:w="4678" w:type="dxa"/>
            <w:gridSpan w:val="2"/>
            <w:vAlign w:val="center"/>
          </w:tcPr>
          <w:p w:rsidR="00E03557" w:rsidRPr="00950C93" w:rsidRDefault="00950C93" w:rsidP="007B7733">
            <w:pPr>
              <w:pStyle w:val="Docnumber"/>
              <w:rPr>
                <w:rFonts w:ascii="docnumber" w:hAnsi="docnumber" w:hint="eastAsia"/>
              </w:rPr>
            </w:pPr>
            <w:r w:rsidRPr="00950C93">
              <w:rPr>
                <w:rFonts w:ascii="docnumber" w:hAnsi="docnumber"/>
              </w:rPr>
              <w:t>FG-AI4H-A-025</w:t>
            </w:r>
          </w:p>
        </w:tc>
      </w:tr>
      <w:bookmarkEnd w:id="0"/>
      <w:tr w:rsidR="00E03557" w:rsidRPr="00E03557" w:rsidTr="00590D62">
        <w:trPr>
          <w:cantSplit/>
          <w:jc w:val="center"/>
        </w:trPr>
        <w:tc>
          <w:tcPr>
            <w:tcW w:w="1133" w:type="dxa"/>
            <w:vMerge/>
          </w:tcPr>
          <w:p w:rsidR="00E03557" w:rsidRPr="00E03557" w:rsidRDefault="00E03557" w:rsidP="00E03557">
            <w:pPr>
              <w:rPr>
                <w:smallCaps/>
                <w:sz w:val="20"/>
              </w:rPr>
            </w:pPr>
          </w:p>
        </w:tc>
        <w:tc>
          <w:tcPr>
            <w:tcW w:w="3829" w:type="dxa"/>
            <w:gridSpan w:val="2"/>
            <w:vMerge/>
          </w:tcPr>
          <w:p w:rsidR="00E03557" w:rsidRPr="00E03557" w:rsidRDefault="00E03557" w:rsidP="00E03557">
            <w:pPr>
              <w:rPr>
                <w:smallCaps/>
                <w:sz w:val="20"/>
              </w:rPr>
            </w:pPr>
            <w:bookmarkStart w:id="3" w:name="ddate" w:colFirst="2" w:colLast="2"/>
          </w:p>
        </w:tc>
        <w:tc>
          <w:tcPr>
            <w:tcW w:w="4678" w:type="dxa"/>
            <w:gridSpan w:val="2"/>
          </w:tcPr>
          <w:p w:rsidR="00E03557" w:rsidRPr="00E03557" w:rsidRDefault="00BA5199" w:rsidP="00BC1D31">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rsidTr="00590D62">
        <w:trPr>
          <w:cantSplit/>
          <w:jc w:val="center"/>
        </w:trPr>
        <w:tc>
          <w:tcPr>
            <w:tcW w:w="1133" w:type="dxa"/>
            <w:vMerge/>
            <w:tcBorders>
              <w:bottom w:val="single" w:sz="12" w:space="0" w:color="auto"/>
            </w:tcBorders>
          </w:tcPr>
          <w:p w:rsidR="00E03557" w:rsidRPr="00E03557" w:rsidRDefault="00E03557" w:rsidP="00E03557">
            <w:pPr>
              <w:rPr>
                <w:b/>
                <w:bCs/>
                <w:sz w:val="26"/>
              </w:rPr>
            </w:pPr>
          </w:p>
        </w:tc>
        <w:tc>
          <w:tcPr>
            <w:tcW w:w="3829" w:type="dxa"/>
            <w:gridSpan w:val="2"/>
            <w:vMerge/>
            <w:tcBorders>
              <w:bottom w:val="single" w:sz="12" w:space="0" w:color="auto"/>
            </w:tcBorders>
          </w:tcPr>
          <w:p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vAlign w:val="center"/>
          </w:tcPr>
          <w:p w:rsidR="00E03557" w:rsidRPr="00E03557" w:rsidRDefault="00E03557" w:rsidP="00E03557">
            <w:pPr>
              <w:jc w:val="right"/>
              <w:rPr>
                <w:b/>
                <w:bCs/>
                <w:sz w:val="28"/>
                <w:szCs w:val="28"/>
              </w:rPr>
            </w:pPr>
            <w:r w:rsidRPr="00E03557">
              <w:rPr>
                <w:b/>
                <w:bCs/>
                <w:sz w:val="28"/>
                <w:szCs w:val="28"/>
              </w:rPr>
              <w:t>Original: English</w:t>
            </w:r>
          </w:p>
        </w:tc>
      </w:tr>
      <w:tr w:rsidR="00950C93" w:rsidRPr="00E03557" w:rsidTr="00950C93">
        <w:trPr>
          <w:cantSplit/>
          <w:jc w:val="center"/>
        </w:trPr>
        <w:tc>
          <w:tcPr>
            <w:tcW w:w="1700" w:type="dxa"/>
            <w:gridSpan w:val="2"/>
          </w:tcPr>
          <w:p w:rsidR="00950C93" w:rsidRPr="00E03557" w:rsidRDefault="00950C93" w:rsidP="00950C93">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shd w:val="clear" w:color="auto" w:fill="auto"/>
            <w:vAlign w:val="center"/>
          </w:tcPr>
          <w:p w:rsidR="00950C93" w:rsidRPr="00123B21" w:rsidRDefault="00950C93" w:rsidP="00950C93">
            <w:r w:rsidRPr="00950C93">
              <w:t>N/A</w:t>
            </w:r>
          </w:p>
        </w:tc>
        <w:tc>
          <w:tcPr>
            <w:tcW w:w="4678" w:type="dxa"/>
            <w:gridSpan w:val="2"/>
            <w:vAlign w:val="center"/>
          </w:tcPr>
          <w:p w:rsidR="00950C93" w:rsidRDefault="00950C93" w:rsidP="00950C93">
            <w:pPr>
              <w:spacing w:line="276" w:lineRule="auto"/>
              <w:jc w:val="right"/>
            </w:pPr>
            <w:r>
              <w:t>Geneva, 26-27 September 2018</w:t>
            </w:r>
          </w:p>
        </w:tc>
      </w:tr>
      <w:tr w:rsidR="00950C93" w:rsidRPr="00E03557" w:rsidTr="00E03557">
        <w:trPr>
          <w:cantSplit/>
          <w:jc w:val="center"/>
        </w:trPr>
        <w:tc>
          <w:tcPr>
            <w:tcW w:w="9640" w:type="dxa"/>
            <w:gridSpan w:val="5"/>
          </w:tcPr>
          <w:p w:rsidR="00950C93" w:rsidRPr="00E03557" w:rsidRDefault="00950C93" w:rsidP="00950C93">
            <w:pPr>
              <w:jc w:val="center"/>
              <w:rPr>
                <w:b/>
                <w:bCs/>
              </w:rPr>
            </w:pPr>
            <w:bookmarkStart w:id="7" w:name="dtitle" w:colFirst="0" w:colLast="0"/>
            <w:bookmarkEnd w:id="5"/>
            <w:bookmarkEnd w:id="6"/>
            <w:r w:rsidRPr="00123B21">
              <w:rPr>
                <w:b/>
                <w:bCs/>
              </w:rPr>
              <w:t>DOCUMENT</w:t>
            </w:r>
          </w:p>
        </w:tc>
      </w:tr>
      <w:tr w:rsidR="00950C93" w:rsidRPr="00E03557" w:rsidTr="00590D62">
        <w:trPr>
          <w:cantSplit/>
          <w:jc w:val="center"/>
        </w:trPr>
        <w:tc>
          <w:tcPr>
            <w:tcW w:w="1700" w:type="dxa"/>
            <w:gridSpan w:val="2"/>
          </w:tcPr>
          <w:p w:rsidR="00950C93" w:rsidRPr="00E03557" w:rsidRDefault="00950C93" w:rsidP="00950C93">
            <w:pPr>
              <w:rPr>
                <w:b/>
                <w:bCs/>
              </w:rPr>
            </w:pPr>
            <w:bookmarkStart w:id="8" w:name="dsource" w:colFirst="1" w:colLast="1"/>
            <w:bookmarkEnd w:id="7"/>
            <w:r w:rsidRPr="00E03557">
              <w:rPr>
                <w:b/>
                <w:bCs/>
              </w:rPr>
              <w:t>Source:</w:t>
            </w:r>
          </w:p>
        </w:tc>
        <w:tc>
          <w:tcPr>
            <w:tcW w:w="7940" w:type="dxa"/>
            <w:gridSpan w:val="3"/>
            <w:vAlign w:val="center"/>
          </w:tcPr>
          <w:p w:rsidR="00950C93" w:rsidRDefault="00950C93" w:rsidP="00950C93">
            <w:pPr>
              <w:spacing w:line="276" w:lineRule="auto"/>
            </w:pPr>
            <w:r>
              <w:t>Ada Health GmbH</w:t>
            </w:r>
          </w:p>
        </w:tc>
      </w:tr>
      <w:tr w:rsidR="00950C93" w:rsidRPr="00E03557" w:rsidTr="00590D62">
        <w:trPr>
          <w:cantSplit/>
          <w:jc w:val="center"/>
        </w:trPr>
        <w:tc>
          <w:tcPr>
            <w:tcW w:w="1700" w:type="dxa"/>
            <w:gridSpan w:val="2"/>
          </w:tcPr>
          <w:p w:rsidR="00950C93" w:rsidRPr="00E03557" w:rsidRDefault="00950C93" w:rsidP="00950C93">
            <w:bookmarkStart w:id="9" w:name="dtitle1" w:colFirst="1" w:colLast="1"/>
            <w:bookmarkEnd w:id="8"/>
            <w:r w:rsidRPr="00E03557">
              <w:rPr>
                <w:b/>
                <w:bCs/>
              </w:rPr>
              <w:t>Title:</w:t>
            </w:r>
          </w:p>
        </w:tc>
        <w:tc>
          <w:tcPr>
            <w:tcW w:w="7940" w:type="dxa"/>
            <w:gridSpan w:val="3"/>
            <w:vAlign w:val="center"/>
          </w:tcPr>
          <w:p w:rsidR="00950C93" w:rsidRDefault="00950C93" w:rsidP="00950C93">
            <w:pPr>
              <w:spacing w:line="276" w:lineRule="auto"/>
            </w:pPr>
            <w:r>
              <w:t>Defining the medical data space - an approach driven by data type</w:t>
            </w:r>
          </w:p>
        </w:tc>
      </w:tr>
      <w:tr w:rsidR="00950C93" w:rsidRPr="00E03557" w:rsidTr="00917221">
        <w:trPr>
          <w:cantSplit/>
          <w:jc w:val="center"/>
        </w:trPr>
        <w:tc>
          <w:tcPr>
            <w:tcW w:w="1700" w:type="dxa"/>
            <w:gridSpan w:val="2"/>
            <w:tcBorders>
              <w:bottom w:val="single" w:sz="6" w:space="0" w:color="auto"/>
            </w:tcBorders>
          </w:tcPr>
          <w:p w:rsidR="00950C93" w:rsidRPr="00E03557" w:rsidRDefault="00950C93" w:rsidP="00950C93">
            <w:pPr>
              <w:rPr>
                <w:b/>
                <w:bCs/>
              </w:rPr>
            </w:pPr>
            <w:bookmarkStart w:id="10" w:name="dpurpose" w:colFirst="1" w:colLast="1"/>
            <w:bookmarkEnd w:id="9"/>
            <w:r w:rsidRPr="00E03557">
              <w:rPr>
                <w:b/>
                <w:bCs/>
              </w:rPr>
              <w:t>Purpose:</w:t>
            </w:r>
          </w:p>
        </w:tc>
        <w:tc>
          <w:tcPr>
            <w:tcW w:w="7940" w:type="dxa"/>
            <w:gridSpan w:val="3"/>
            <w:tcBorders>
              <w:bottom w:val="single" w:sz="6" w:space="0" w:color="000000"/>
            </w:tcBorders>
          </w:tcPr>
          <w:p w:rsidR="00950C93" w:rsidRDefault="00950C93" w:rsidP="00950C93">
            <w:pPr>
              <w:spacing w:line="276" w:lineRule="auto"/>
              <w:rPr>
                <w:highlight w:val="yellow"/>
              </w:rPr>
            </w:pPr>
            <w:r>
              <w:t>Discussion</w:t>
            </w:r>
          </w:p>
        </w:tc>
      </w:tr>
      <w:bookmarkEnd w:id="2"/>
      <w:bookmarkEnd w:id="10"/>
      <w:tr w:rsidR="00950C93" w:rsidRPr="00E03557" w:rsidTr="00885DDB">
        <w:trPr>
          <w:cantSplit/>
          <w:jc w:val="center"/>
        </w:trPr>
        <w:tc>
          <w:tcPr>
            <w:tcW w:w="1700" w:type="dxa"/>
            <w:gridSpan w:val="2"/>
            <w:tcBorders>
              <w:top w:val="single" w:sz="6" w:space="0" w:color="auto"/>
              <w:bottom w:val="single" w:sz="6" w:space="0" w:color="auto"/>
            </w:tcBorders>
          </w:tcPr>
          <w:p w:rsidR="00950C93" w:rsidRPr="00E03557" w:rsidRDefault="00950C93" w:rsidP="00950C93">
            <w:pPr>
              <w:rPr>
                <w:b/>
                <w:bCs/>
              </w:rPr>
            </w:pPr>
            <w:r w:rsidRPr="00E03557">
              <w:rPr>
                <w:b/>
                <w:bCs/>
              </w:rPr>
              <w:t>Contact:</w:t>
            </w:r>
          </w:p>
        </w:tc>
        <w:tc>
          <w:tcPr>
            <w:tcW w:w="4353" w:type="dxa"/>
            <w:gridSpan w:val="2"/>
            <w:tcBorders>
              <w:top w:val="single" w:sz="6" w:space="0" w:color="000000"/>
              <w:bottom w:val="single" w:sz="6" w:space="0" w:color="000000"/>
            </w:tcBorders>
            <w:vAlign w:val="center"/>
          </w:tcPr>
          <w:p w:rsidR="00950C93" w:rsidRDefault="00950C93" w:rsidP="00950C93">
            <w:pPr>
              <w:spacing w:line="276" w:lineRule="auto"/>
              <w:rPr>
                <w:highlight w:val="yellow"/>
              </w:rPr>
            </w:pPr>
            <w:r>
              <w:t xml:space="preserve">Andreas </w:t>
            </w:r>
            <w:proofErr w:type="spellStart"/>
            <w:r>
              <w:t>Kühn</w:t>
            </w:r>
            <w:proofErr w:type="spellEnd"/>
            <w:r>
              <w:rPr>
                <w:highlight w:val="yellow"/>
              </w:rPr>
              <w:br/>
            </w:r>
            <w:r>
              <w:t>Ada Health GmbH</w:t>
            </w:r>
            <w:r>
              <w:br/>
              <w:t>Germany</w:t>
            </w:r>
          </w:p>
        </w:tc>
        <w:tc>
          <w:tcPr>
            <w:tcW w:w="3587" w:type="dxa"/>
            <w:tcBorders>
              <w:top w:val="single" w:sz="6" w:space="0" w:color="000000"/>
              <w:bottom w:val="single" w:sz="6" w:space="0" w:color="000000"/>
            </w:tcBorders>
            <w:vAlign w:val="center"/>
          </w:tcPr>
          <w:p w:rsidR="00950C93" w:rsidRDefault="00950C93" w:rsidP="00950C93">
            <w:pPr>
              <w:spacing w:line="276" w:lineRule="auto"/>
            </w:pPr>
            <w:r>
              <w:t xml:space="preserve">Tel: </w:t>
            </w:r>
            <w:r>
              <w:tab/>
              <w:t>+49 30 60031987</w:t>
            </w:r>
            <w:r>
              <w:rPr>
                <w:highlight w:val="yellow"/>
              </w:rPr>
              <w:br/>
            </w:r>
            <w:r>
              <w:t xml:space="preserve">Email: </w:t>
            </w:r>
            <w:hyperlink r:id="rId11" w:history="1">
              <w:r w:rsidR="00E07599" w:rsidRPr="00796BE6">
                <w:rPr>
                  <w:rStyle w:val="Hyperlink"/>
                </w:rPr>
                <w:t>andreas.kuehn@ada.com</w:t>
              </w:r>
            </w:hyperlink>
            <w:r w:rsidR="00E07599">
              <w:t xml:space="preserve"> </w:t>
            </w:r>
          </w:p>
        </w:tc>
      </w:tr>
      <w:tr w:rsidR="00950C93" w:rsidRPr="00E03557" w:rsidTr="00885DDB">
        <w:trPr>
          <w:cantSplit/>
          <w:jc w:val="center"/>
        </w:trPr>
        <w:tc>
          <w:tcPr>
            <w:tcW w:w="1700" w:type="dxa"/>
            <w:gridSpan w:val="2"/>
            <w:tcBorders>
              <w:top w:val="single" w:sz="6" w:space="0" w:color="auto"/>
              <w:bottom w:val="single" w:sz="6" w:space="0" w:color="auto"/>
            </w:tcBorders>
          </w:tcPr>
          <w:p w:rsidR="00950C93" w:rsidRPr="00E03557" w:rsidRDefault="00950C93" w:rsidP="00950C93">
            <w:pPr>
              <w:rPr>
                <w:b/>
                <w:bCs/>
              </w:rPr>
            </w:pPr>
            <w:r w:rsidRPr="00E03557">
              <w:rPr>
                <w:b/>
                <w:bCs/>
              </w:rPr>
              <w:t>Contact:</w:t>
            </w:r>
          </w:p>
        </w:tc>
        <w:tc>
          <w:tcPr>
            <w:tcW w:w="4353" w:type="dxa"/>
            <w:gridSpan w:val="2"/>
            <w:tcBorders>
              <w:top w:val="single" w:sz="6" w:space="0" w:color="000000"/>
              <w:bottom w:val="single" w:sz="6" w:space="0" w:color="000000"/>
            </w:tcBorders>
            <w:vAlign w:val="center"/>
          </w:tcPr>
          <w:p w:rsidR="00950C93" w:rsidRDefault="00950C93" w:rsidP="00950C93">
            <w:pPr>
              <w:spacing w:line="276" w:lineRule="auto"/>
            </w:pPr>
            <w:r>
              <w:t>Henry Hoffmann</w:t>
            </w:r>
            <w:r>
              <w:br/>
              <w:t>Ada Health GmbH</w:t>
            </w:r>
            <w:r>
              <w:br/>
              <w:t>Germany</w:t>
            </w:r>
          </w:p>
        </w:tc>
        <w:tc>
          <w:tcPr>
            <w:tcW w:w="3587" w:type="dxa"/>
            <w:tcBorders>
              <w:top w:val="single" w:sz="6" w:space="0" w:color="000000"/>
              <w:bottom w:val="single" w:sz="6" w:space="0" w:color="000000"/>
            </w:tcBorders>
            <w:vAlign w:val="center"/>
          </w:tcPr>
          <w:p w:rsidR="00950C93" w:rsidRDefault="00950C93" w:rsidP="00950C93">
            <w:pPr>
              <w:spacing w:line="276" w:lineRule="auto"/>
            </w:pPr>
            <w:r>
              <w:t xml:space="preserve">Tel: </w:t>
            </w:r>
            <w:r>
              <w:tab/>
              <w:t>+49 177 6612889</w:t>
            </w:r>
            <w:r>
              <w:br/>
              <w:t xml:space="preserve">Email: </w:t>
            </w:r>
            <w:r>
              <w:tab/>
            </w:r>
            <w:hyperlink r:id="rId12" w:history="1">
              <w:r w:rsidR="00E07599" w:rsidRPr="00796BE6">
                <w:rPr>
                  <w:rStyle w:val="Hyperlink"/>
                </w:rPr>
                <w:t>henry.hoffmann@ada.com</w:t>
              </w:r>
            </w:hyperlink>
            <w:r w:rsidR="00E07599">
              <w:t xml:space="preserve"> </w:t>
            </w:r>
            <w:r>
              <w:br/>
            </w:r>
          </w:p>
        </w:tc>
      </w:tr>
    </w:tbl>
    <w:p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950C93" w:rsidRPr="00E03557" w:rsidTr="00E03557">
        <w:trPr>
          <w:cantSplit/>
          <w:jc w:val="center"/>
        </w:trPr>
        <w:tc>
          <w:tcPr>
            <w:tcW w:w="1701" w:type="dxa"/>
          </w:tcPr>
          <w:p w:rsidR="00950C93" w:rsidRDefault="00950C93" w:rsidP="00950C93">
            <w:pPr>
              <w:spacing w:line="276" w:lineRule="auto"/>
              <w:rPr>
                <w:b/>
              </w:rPr>
            </w:pPr>
            <w:r>
              <w:rPr>
                <w:b/>
              </w:rPr>
              <w:t>Keywords:</w:t>
            </w:r>
          </w:p>
        </w:tc>
        <w:tc>
          <w:tcPr>
            <w:tcW w:w="7939" w:type="dxa"/>
          </w:tcPr>
          <w:p w:rsidR="00950C93" w:rsidRDefault="00950C93" w:rsidP="00950C93">
            <w:pPr>
              <w:spacing w:line="276" w:lineRule="auto"/>
            </w:pPr>
            <w:r>
              <w:t>AI4H; medical data space; artificial intelligence (AI); health</w:t>
            </w:r>
          </w:p>
        </w:tc>
      </w:tr>
      <w:tr w:rsidR="00E03557" w:rsidRPr="00E03557" w:rsidTr="00E03557">
        <w:trPr>
          <w:cantSplit/>
          <w:jc w:val="center"/>
        </w:trPr>
        <w:tc>
          <w:tcPr>
            <w:tcW w:w="1701" w:type="dxa"/>
          </w:tcPr>
          <w:p w:rsidR="00E03557" w:rsidRPr="00E03557" w:rsidRDefault="00E03557" w:rsidP="00E03557">
            <w:pPr>
              <w:rPr>
                <w:b/>
                <w:bCs/>
              </w:rPr>
            </w:pPr>
            <w:r w:rsidRPr="00E03557">
              <w:rPr>
                <w:b/>
                <w:bCs/>
              </w:rPr>
              <w:t>Abstract:</w:t>
            </w:r>
          </w:p>
        </w:tc>
        <w:tc>
          <w:tcPr>
            <w:tcW w:w="7939" w:type="dxa"/>
          </w:tcPr>
          <w:p w:rsidR="00E03557" w:rsidRPr="00BC1D31" w:rsidRDefault="00950C93" w:rsidP="00BC1D31">
            <w:pPr>
              <w:rPr>
                <w:highlight w:val="yellow"/>
              </w:rPr>
            </w:pPr>
            <w:r w:rsidRPr="00950C93">
              <w:rPr>
                <w:rFonts w:eastAsia="Times New Roman"/>
                <w:lang w:eastAsia="de-DE"/>
              </w:rPr>
              <w:t xml:space="preserve">This document shows an approach to classify the expected medical data, the Focus Group will face and outlines how AI for Health solutions can be formally described as “data </w:t>
            </w:r>
            <w:proofErr w:type="spellStart"/>
            <w:r w:rsidRPr="00950C93">
              <w:rPr>
                <w:rFonts w:eastAsia="Times New Roman"/>
                <w:lang w:eastAsia="de-DE"/>
              </w:rPr>
              <w:t>transformators</w:t>
            </w:r>
            <w:proofErr w:type="spellEnd"/>
            <w:r w:rsidRPr="00950C93">
              <w:rPr>
                <w:rFonts w:eastAsia="Times New Roman"/>
                <w:lang w:eastAsia="de-DE"/>
              </w:rPr>
              <w:t>” within the medical system</w:t>
            </w:r>
            <w:bookmarkStart w:id="11" w:name="_GoBack"/>
            <w:bookmarkEnd w:id="11"/>
          </w:p>
        </w:tc>
      </w:tr>
    </w:tbl>
    <w:p w:rsidR="00E03557" w:rsidRDefault="00E03557" w:rsidP="00E03557"/>
    <w:p w:rsidR="00950C93" w:rsidRDefault="00950C93" w:rsidP="00950C93">
      <w:pPr>
        <w:pStyle w:val="Heading2"/>
        <w:numPr>
          <w:ilvl w:val="0"/>
          <w:numId w:val="0"/>
        </w:numPr>
        <w:tabs>
          <w:tab w:val="left" w:pos="794"/>
          <w:tab w:val="left" w:pos="1191"/>
          <w:tab w:val="left" w:pos="1588"/>
          <w:tab w:val="left" w:pos="1985"/>
        </w:tabs>
        <w:spacing w:before="80" w:line="276" w:lineRule="auto"/>
      </w:pPr>
      <w:r>
        <w:t>General Idea</w:t>
      </w:r>
    </w:p>
    <w:p w:rsidR="00950C93" w:rsidRDefault="00950C93" w:rsidP="00950C93">
      <w:pPr>
        <w:tabs>
          <w:tab w:val="left" w:pos="794"/>
          <w:tab w:val="left" w:pos="1191"/>
          <w:tab w:val="left" w:pos="1588"/>
          <w:tab w:val="left" w:pos="1985"/>
        </w:tabs>
      </w:pPr>
      <w:r>
        <w:t>The Medical Data itself is various as it is a technical approach to structure a non-human built system. So Medical information can always only cover parts of the actual underlying biology of medicine and the complex dependencies of the clinical process. In this brief document, important types of medical data are shortly described and their interaction is discussed briefly. The second part describes how this formalism helps to design the test frameworks for AI4H and gives some brief examples how AI4H solution can be covered by the created formalism.</w:t>
      </w:r>
      <w:r>
        <w:br w:type="page"/>
      </w:r>
    </w:p>
    <w:p w:rsidR="00950C93" w:rsidRDefault="00950C93" w:rsidP="00950C93">
      <w:pPr>
        <w:pStyle w:val="Heading2"/>
        <w:numPr>
          <w:ilvl w:val="0"/>
          <w:numId w:val="0"/>
        </w:numPr>
        <w:spacing w:after="20" w:line="276" w:lineRule="auto"/>
      </w:pPr>
      <w:bookmarkStart w:id="12" w:name="_isk7dvlich28" w:colFirst="0" w:colLast="0"/>
      <w:bookmarkEnd w:id="12"/>
      <w:r>
        <w:lastRenderedPageBreak/>
        <w:t>1. The formalization of medical data</w:t>
      </w:r>
    </w:p>
    <w:p w:rsidR="00950C93" w:rsidRDefault="00950C93" w:rsidP="00950C93"/>
    <w:p w:rsidR="00950C93" w:rsidRDefault="00950C93" w:rsidP="00950C93">
      <w:r>
        <w:rPr>
          <w:b/>
        </w:rPr>
        <w:t>Figure 1</w:t>
      </w:r>
      <w:r>
        <w:t xml:space="preserve"> shows general classification possibilities of data. The named entities are further described here. The Entities are categorized in 3 main categories according to their processing step.</w:t>
      </w:r>
    </w:p>
    <w:p w:rsidR="00950C93" w:rsidRDefault="00950C93" w:rsidP="00950C93">
      <w:r>
        <w:t>1st category (not interpreted data, free text data):</w:t>
      </w:r>
    </w:p>
    <w:p w:rsidR="00950C93" w:rsidRDefault="00950C93" w:rsidP="00950C93">
      <w:pPr>
        <w:numPr>
          <w:ilvl w:val="0"/>
          <w:numId w:val="22"/>
        </w:numPr>
        <w:contextualSpacing/>
      </w:pPr>
      <w:r>
        <w:rPr>
          <w:b/>
        </w:rPr>
        <w:t>Imaging Data</w:t>
      </w:r>
      <w:r>
        <w:br/>
        <w:t>This data type summarizes all data which includes picture material with its meta-data. Namely in this type is included: Histopathology data, MRI and CT data without interpretation etc.</w:t>
      </w:r>
    </w:p>
    <w:p w:rsidR="00950C93" w:rsidRDefault="00950C93" w:rsidP="00950C93">
      <w:pPr>
        <w:numPr>
          <w:ilvl w:val="0"/>
          <w:numId w:val="22"/>
        </w:numPr>
        <w:contextualSpacing/>
      </w:pPr>
      <w:r>
        <w:rPr>
          <w:b/>
        </w:rPr>
        <w:t>Laboratory Results</w:t>
      </w:r>
      <w:r>
        <w:br/>
        <w:t xml:space="preserve">This data type may include </w:t>
      </w:r>
      <w:proofErr w:type="spellStart"/>
      <w:r>
        <w:t>uninterpreted</w:t>
      </w:r>
      <w:proofErr w:type="spellEnd"/>
      <w:r>
        <w:t xml:space="preserve"> genetic data, blood counts, antibody </w:t>
      </w:r>
      <w:proofErr w:type="spellStart"/>
      <w:r>
        <w:t>titer</w:t>
      </w:r>
      <w:proofErr w:type="spellEnd"/>
      <w:r>
        <w:t xml:space="preserve"> and similar data</w:t>
      </w:r>
    </w:p>
    <w:p w:rsidR="00950C93" w:rsidRDefault="00950C93" w:rsidP="00950C93">
      <w:pPr>
        <w:numPr>
          <w:ilvl w:val="0"/>
          <w:numId w:val="22"/>
        </w:numPr>
        <w:contextualSpacing/>
      </w:pPr>
      <w:r>
        <w:rPr>
          <w:b/>
        </w:rPr>
        <w:t>Time series data</w:t>
      </w:r>
      <w:r>
        <w:br/>
        <w:t xml:space="preserve">This type includes data which has </w:t>
      </w:r>
      <w:proofErr w:type="spellStart"/>
      <w:r>
        <w:t>it’s</w:t>
      </w:r>
      <w:proofErr w:type="spellEnd"/>
      <w:r>
        <w:t xml:space="preserve"> information only based on the time-development as ECG, EEG or (in parts) fitness tracking functions as pulse rate</w:t>
      </w:r>
    </w:p>
    <w:p w:rsidR="00950C93" w:rsidRDefault="00950C93" w:rsidP="00950C93">
      <w:pPr>
        <w:numPr>
          <w:ilvl w:val="0"/>
          <w:numId w:val="22"/>
        </w:numPr>
        <w:contextualSpacing/>
        <w:rPr>
          <w:b/>
        </w:rPr>
      </w:pPr>
      <w:r>
        <w:rPr>
          <w:b/>
        </w:rPr>
        <w:t>Patient Records</w:t>
      </w:r>
      <w:r>
        <w:rPr>
          <w:b/>
        </w:rPr>
        <w:br/>
      </w:r>
      <w:proofErr w:type="gramStart"/>
      <w:r>
        <w:t>This</w:t>
      </w:r>
      <w:proofErr w:type="gramEnd"/>
      <w:r>
        <w:t xml:space="preserve"> data is to be seen as “</w:t>
      </w:r>
      <w:proofErr w:type="spellStart"/>
      <w:r>
        <w:t>uninterpreted</w:t>
      </w:r>
      <w:proofErr w:type="spellEnd"/>
      <w:r>
        <w:t>” as it needs a transformation to be digitally useful. Therefor it is classified in this space</w:t>
      </w:r>
    </w:p>
    <w:p w:rsidR="00950C93" w:rsidRDefault="00950C93" w:rsidP="00950C93">
      <w:r>
        <w:t>2nd category (semantically explicit data)</w:t>
      </w:r>
    </w:p>
    <w:p w:rsidR="00950C93" w:rsidRDefault="00950C93" w:rsidP="00950C93">
      <w:pPr>
        <w:numPr>
          <w:ilvl w:val="0"/>
          <w:numId w:val="22"/>
        </w:numPr>
        <w:contextualSpacing/>
      </w:pPr>
      <w:r>
        <w:rPr>
          <w:b/>
        </w:rPr>
        <w:t>Epidemiological data</w:t>
      </w:r>
      <w:r>
        <w:br/>
        <w:t>This data type includes lifestyle variables (smoking, activity), underlying genetic risks (interpreted genetic data) and basic epidemiologic data as sex-type, age, social status</w:t>
      </w:r>
    </w:p>
    <w:p w:rsidR="00950C93" w:rsidRDefault="00950C93" w:rsidP="00950C93">
      <w:pPr>
        <w:numPr>
          <w:ilvl w:val="0"/>
          <w:numId w:val="22"/>
        </w:numPr>
        <w:contextualSpacing/>
        <w:rPr>
          <w:b/>
        </w:rPr>
      </w:pPr>
      <w:r>
        <w:rPr>
          <w:b/>
        </w:rPr>
        <w:t>Medical term space</w:t>
      </w:r>
      <w:r>
        <w:rPr>
          <w:b/>
        </w:rPr>
        <w:br/>
      </w:r>
      <w:proofErr w:type="gramStart"/>
      <w:r>
        <w:t>This</w:t>
      </w:r>
      <w:proofErr w:type="gramEnd"/>
      <w:r>
        <w:t xml:space="preserve"> is a wide category covering all terms that are not diagnoses. As it has an inner logic it is necessary to be declared in a complex </w:t>
      </w:r>
      <w:r>
        <w:rPr>
          <w:b/>
        </w:rPr>
        <w:t xml:space="preserve">ontology </w:t>
      </w:r>
      <w:r>
        <w:t xml:space="preserve">(e.g. SNOMED, HPO). This category is difficult to describe and maybe needs some finer sub-categorization. A complete finding space would at least </w:t>
      </w:r>
      <w:r>
        <w:rPr>
          <w:b/>
        </w:rPr>
        <w:t>include or make use of</w:t>
      </w:r>
      <w:r>
        <w:t>:</w:t>
      </w:r>
    </w:p>
    <w:p w:rsidR="00950C93" w:rsidRDefault="00950C93" w:rsidP="00950C93">
      <w:pPr>
        <w:numPr>
          <w:ilvl w:val="1"/>
          <w:numId w:val="22"/>
        </w:numPr>
        <w:contextualSpacing/>
        <w:rPr>
          <w:b/>
        </w:rPr>
      </w:pPr>
      <w:r>
        <w:t>Symptoms as headache, abdominal pain</w:t>
      </w:r>
    </w:p>
    <w:p w:rsidR="00950C93" w:rsidRDefault="00950C93" w:rsidP="00950C93">
      <w:pPr>
        <w:numPr>
          <w:ilvl w:val="1"/>
          <w:numId w:val="22"/>
        </w:numPr>
        <w:contextualSpacing/>
        <w:rPr>
          <w:b/>
        </w:rPr>
      </w:pPr>
      <w:r>
        <w:t>Findings as a skin rash, nodule, but also more complex terms as “nephrotic syndrome”</w:t>
      </w:r>
    </w:p>
    <w:p w:rsidR="00950C93" w:rsidRDefault="00950C93" w:rsidP="00950C93">
      <w:pPr>
        <w:numPr>
          <w:ilvl w:val="1"/>
          <w:numId w:val="22"/>
        </w:numPr>
        <w:contextualSpacing/>
        <w:rPr>
          <w:b/>
        </w:rPr>
      </w:pPr>
      <w:r>
        <w:t>an anatomy</w:t>
      </w:r>
    </w:p>
    <w:p w:rsidR="00950C93" w:rsidRDefault="00950C93" w:rsidP="00950C93">
      <w:pPr>
        <w:numPr>
          <w:ilvl w:val="1"/>
          <w:numId w:val="22"/>
        </w:numPr>
        <w:contextualSpacing/>
        <w:rPr>
          <w:b/>
        </w:rPr>
      </w:pPr>
      <w:proofErr w:type="gramStart"/>
      <w:r>
        <w:t>medical</w:t>
      </w:r>
      <w:proofErr w:type="gramEnd"/>
      <w:r>
        <w:t xml:space="preserve"> attributes as laterality, time dimension of symptoms etc.</w:t>
      </w:r>
    </w:p>
    <w:p w:rsidR="00950C93" w:rsidRDefault="00950C93" w:rsidP="00950C93">
      <w:r>
        <w:t>3rd category (highly interpreted data and clinical course data)</w:t>
      </w:r>
    </w:p>
    <w:p w:rsidR="00950C93" w:rsidRDefault="00950C93" w:rsidP="00950C93">
      <w:pPr>
        <w:numPr>
          <w:ilvl w:val="0"/>
          <w:numId w:val="21"/>
        </w:numPr>
        <w:contextualSpacing/>
      </w:pPr>
      <w:r>
        <w:rPr>
          <w:b/>
        </w:rPr>
        <w:t>Triage level</w:t>
      </w:r>
      <w:r>
        <w:br/>
        <w:t xml:space="preserve">contains the next-step advices of an AI solution including referral, emergency categorization </w:t>
      </w:r>
      <w:proofErr w:type="spellStart"/>
      <w:r>
        <w:t>etc</w:t>
      </w:r>
      <w:proofErr w:type="spellEnd"/>
    </w:p>
    <w:p w:rsidR="00950C93" w:rsidRDefault="00950C93" w:rsidP="00950C93">
      <w:pPr>
        <w:numPr>
          <w:ilvl w:val="0"/>
          <w:numId w:val="21"/>
        </w:numPr>
        <w:contextualSpacing/>
      </w:pPr>
      <w:r>
        <w:rPr>
          <w:b/>
        </w:rPr>
        <w:t>Disease / Condition space</w:t>
      </w:r>
      <w:r>
        <w:br/>
        <w:t xml:space="preserve">this is, as the “finding space” highly connected data with an inner logic and hierarchy. Therefor a complex </w:t>
      </w:r>
      <w:r>
        <w:rPr>
          <w:b/>
        </w:rPr>
        <w:t xml:space="preserve">ontology </w:t>
      </w:r>
      <w:r>
        <w:t>is required as well (e.g. ICD-11).</w:t>
      </w:r>
    </w:p>
    <w:p w:rsidR="00950C93" w:rsidRDefault="00950C93" w:rsidP="00950C93">
      <w:pPr>
        <w:numPr>
          <w:ilvl w:val="0"/>
          <w:numId w:val="21"/>
        </w:numPr>
        <w:contextualSpacing/>
      </w:pPr>
      <w:r>
        <w:rPr>
          <w:b/>
        </w:rPr>
        <w:t>Medical Speciality</w:t>
      </w:r>
      <w:r>
        <w:br/>
        <w:t>For guidance and process reasons this can be discussed as an own category as AI solutions may have the primary purpose to guide users to the right specialist</w:t>
      </w:r>
    </w:p>
    <w:p w:rsidR="00950C93" w:rsidRDefault="00950C93" w:rsidP="00950C93">
      <w:pPr>
        <w:numPr>
          <w:ilvl w:val="0"/>
          <w:numId w:val="21"/>
        </w:numPr>
        <w:contextualSpacing/>
      </w:pPr>
      <w:r>
        <w:rPr>
          <w:b/>
        </w:rPr>
        <w:t>Medical procedures and therapy</w:t>
      </w:r>
      <w:r>
        <w:br/>
        <w:t xml:space="preserve">therapeutic data is as well highly complex and hierarchical information and may be </w:t>
      </w:r>
      <w:proofErr w:type="spellStart"/>
      <w:r>
        <w:t>subclassified</w:t>
      </w:r>
      <w:proofErr w:type="spellEnd"/>
      <w:r>
        <w:t xml:space="preserve"> to pharmacologic therapy and interventions. An </w:t>
      </w:r>
      <w:r>
        <w:rPr>
          <w:b/>
        </w:rPr>
        <w:t xml:space="preserve">ontology </w:t>
      </w:r>
      <w:r>
        <w:t>(as ICHI, OPS) is necessary as well</w:t>
      </w:r>
    </w:p>
    <w:p w:rsidR="00950C93" w:rsidRDefault="00950C93" w:rsidP="00950C93"/>
    <w:p w:rsidR="00950C93" w:rsidRDefault="00950C93" w:rsidP="00950C93">
      <w:r>
        <w:t xml:space="preserve">The list in neither category may be complete and the </w:t>
      </w:r>
      <w:r>
        <w:rPr>
          <w:b/>
        </w:rPr>
        <w:t xml:space="preserve">re- and </w:t>
      </w:r>
      <w:proofErr w:type="spellStart"/>
      <w:r>
        <w:rPr>
          <w:b/>
        </w:rPr>
        <w:t>subclassification</w:t>
      </w:r>
      <w:proofErr w:type="spellEnd"/>
      <w:r>
        <w:rPr>
          <w:b/>
        </w:rPr>
        <w:t xml:space="preserve"> </w:t>
      </w:r>
      <w:r>
        <w:t xml:space="preserve">as well as the </w:t>
      </w:r>
      <w:r>
        <w:rPr>
          <w:b/>
        </w:rPr>
        <w:t>detailed definition</w:t>
      </w:r>
      <w:r>
        <w:t xml:space="preserve"> will be part of the Focus group work.</w:t>
      </w:r>
    </w:p>
    <w:p w:rsidR="00950C93" w:rsidRDefault="00950C93" w:rsidP="00950C93"/>
    <w:p w:rsidR="00950C93" w:rsidRDefault="00950C93" w:rsidP="00950C93">
      <w:r>
        <w:rPr>
          <w:b/>
        </w:rPr>
        <w:t>Figure 1</w:t>
      </w:r>
      <w:r>
        <w:t>: Overview over categorized data</w:t>
      </w:r>
    </w:p>
    <w:p w:rsidR="00950C93" w:rsidRDefault="00950C93" w:rsidP="00950C93">
      <w:r>
        <w:rPr>
          <w:noProof/>
          <w:lang w:eastAsia="en-GB"/>
        </w:rPr>
        <w:drawing>
          <wp:inline distT="114300" distB="114300" distL="114300" distR="114300" wp14:anchorId="79C59E92" wp14:editId="2D615362">
            <wp:extent cx="6122670" cy="3441700"/>
            <wp:effectExtent l="0" t="0" r="0" b="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6122670" cy="3441700"/>
                    </a:xfrm>
                    <a:prstGeom prst="rect">
                      <a:avLst/>
                    </a:prstGeom>
                    <a:ln/>
                  </pic:spPr>
                </pic:pic>
              </a:graphicData>
            </a:graphic>
          </wp:inline>
        </w:drawing>
      </w:r>
    </w:p>
    <w:p w:rsidR="00950C93" w:rsidRDefault="00950C93" w:rsidP="00950C93"/>
    <w:p w:rsidR="00950C93" w:rsidRDefault="00950C93" w:rsidP="00950C93">
      <w:r>
        <w:br w:type="page"/>
      </w:r>
    </w:p>
    <w:p w:rsidR="00950C93" w:rsidRDefault="00950C93" w:rsidP="00950C93">
      <w:r>
        <w:lastRenderedPageBreak/>
        <w:t xml:space="preserve">The </w:t>
      </w:r>
      <w:proofErr w:type="spellStart"/>
      <w:r>
        <w:t>Subclassification</w:t>
      </w:r>
      <w:proofErr w:type="spellEnd"/>
      <w:r>
        <w:t xml:space="preserve"> of data can be done in various ways. One example for the </w:t>
      </w:r>
      <w:r>
        <w:rPr>
          <w:b/>
        </w:rPr>
        <w:t xml:space="preserve">finding space </w:t>
      </w:r>
      <w:r>
        <w:t>would be to split the space into the terms that can be understand by non-professionals and the only-professional terms (</w:t>
      </w:r>
      <w:r>
        <w:rPr>
          <w:b/>
        </w:rPr>
        <w:t>Figure 2</w:t>
      </w:r>
      <w:r>
        <w:t>).</w:t>
      </w:r>
    </w:p>
    <w:p w:rsidR="00950C93" w:rsidRDefault="00950C93" w:rsidP="00950C93"/>
    <w:p w:rsidR="00950C93" w:rsidRDefault="00950C93" w:rsidP="00950C93">
      <w:r>
        <w:rPr>
          <w:b/>
        </w:rPr>
        <w:t>Figure 2</w:t>
      </w:r>
      <w:r>
        <w:t>: potential (sub</w:t>
      </w:r>
      <w:proofErr w:type="gramStart"/>
      <w:r>
        <w:t>)classification</w:t>
      </w:r>
      <w:proofErr w:type="gramEnd"/>
      <w:r>
        <w:t xml:space="preserve"> of the finding space</w:t>
      </w:r>
    </w:p>
    <w:p w:rsidR="00950C93" w:rsidRDefault="00950C93" w:rsidP="00950C93">
      <w:r>
        <w:rPr>
          <w:noProof/>
          <w:lang w:eastAsia="en-GB"/>
        </w:rPr>
        <w:drawing>
          <wp:inline distT="114300" distB="114300" distL="114300" distR="114300" wp14:anchorId="09C89253" wp14:editId="6EA224B6">
            <wp:extent cx="6122670" cy="3378200"/>
            <wp:effectExtent l="0" t="0" r="0" b="0"/>
            <wp:docPr id="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4"/>
                    <a:srcRect/>
                    <a:stretch>
                      <a:fillRect/>
                    </a:stretch>
                  </pic:blipFill>
                  <pic:spPr>
                    <a:xfrm>
                      <a:off x="0" y="0"/>
                      <a:ext cx="6122670" cy="3378200"/>
                    </a:xfrm>
                    <a:prstGeom prst="rect">
                      <a:avLst/>
                    </a:prstGeom>
                    <a:ln/>
                  </pic:spPr>
                </pic:pic>
              </a:graphicData>
            </a:graphic>
          </wp:inline>
        </w:drawing>
      </w:r>
    </w:p>
    <w:p w:rsidR="00950C93" w:rsidRDefault="00950C93" w:rsidP="00950C93"/>
    <w:p w:rsidR="00950C93" w:rsidRDefault="00950C93" w:rsidP="00950C93"/>
    <w:p w:rsidR="00950C93" w:rsidRDefault="00950C93" w:rsidP="00950C93">
      <w:pPr>
        <w:pStyle w:val="Heading2"/>
      </w:pPr>
      <w:bookmarkStart w:id="13" w:name="_q397crbrl4fw" w:colFirst="0" w:colLast="0"/>
      <w:bookmarkEnd w:id="13"/>
      <w:r>
        <w:br w:type="page"/>
      </w:r>
    </w:p>
    <w:p w:rsidR="00950C93" w:rsidRDefault="00950C93" w:rsidP="00950C93">
      <w:pPr>
        <w:pStyle w:val="Heading2"/>
        <w:numPr>
          <w:ilvl w:val="0"/>
          <w:numId w:val="0"/>
        </w:numPr>
        <w:ind w:left="576"/>
      </w:pPr>
      <w:bookmarkStart w:id="14" w:name="_bfn2qejuz9en" w:colFirst="0" w:colLast="0"/>
      <w:bookmarkEnd w:id="14"/>
      <w:r>
        <w:lastRenderedPageBreak/>
        <w:t>2. How AI4H algorithms can be classified using this formalism</w:t>
      </w:r>
    </w:p>
    <w:p w:rsidR="00950C93" w:rsidRDefault="00950C93" w:rsidP="00950C93"/>
    <w:p w:rsidR="00950C93" w:rsidRDefault="00950C93" w:rsidP="00950C93">
      <w:r>
        <w:t xml:space="preserve">The benefit of this categorization of data would be the </w:t>
      </w:r>
      <w:r>
        <w:rPr>
          <w:b/>
        </w:rPr>
        <w:t xml:space="preserve">formalized description </w:t>
      </w:r>
      <w:r>
        <w:t xml:space="preserve">of Use Cases. </w:t>
      </w:r>
    </w:p>
    <w:p w:rsidR="00950C93" w:rsidRDefault="00950C93" w:rsidP="00950C93">
      <w:r>
        <w:t xml:space="preserve">Every AI4H solution can formally be described as a </w:t>
      </w:r>
      <w:r>
        <w:rPr>
          <w:b/>
        </w:rPr>
        <w:t xml:space="preserve">transforming process of these data types </w:t>
      </w:r>
      <w:r>
        <w:t>in the sense of a mapping-function (from data x1</w:t>
      </w:r>
      <w:proofErr w:type="gramStart"/>
      <w:r>
        <w:t>,x2</w:t>
      </w:r>
      <w:proofErr w:type="gramEnd"/>
      <w:r>
        <w:t>,... to data y1,y2,...).</w:t>
      </w:r>
    </w:p>
    <w:p w:rsidR="00950C93" w:rsidRDefault="00950C93" w:rsidP="00950C93">
      <w:r>
        <w:t xml:space="preserve">The approach would enable the Focus Group to define clearly, what the </w:t>
      </w:r>
      <w:r>
        <w:rPr>
          <w:b/>
        </w:rPr>
        <w:t xml:space="preserve">input </w:t>
      </w:r>
      <w:r>
        <w:t xml:space="preserve">and </w:t>
      </w:r>
      <w:r>
        <w:rPr>
          <w:b/>
        </w:rPr>
        <w:t xml:space="preserve">output </w:t>
      </w:r>
      <w:r>
        <w:t xml:space="preserve">of these solutions should look like and to create a </w:t>
      </w:r>
      <w:r>
        <w:rPr>
          <w:b/>
        </w:rPr>
        <w:t xml:space="preserve">benchmarking framework </w:t>
      </w:r>
      <w:r>
        <w:t>that provides the needed interface (Figure 3). This principle is generalizable to even not-yet designed AI solutions by adding maybe medical data categories if necessary.</w:t>
      </w:r>
    </w:p>
    <w:p w:rsidR="00950C93" w:rsidRDefault="00950C93" w:rsidP="00950C93"/>
    <w:p w:rsidR="00950C93" w:rsidRDefault="00950C93" w:rsidP="00950C93">
      <w:r>
        <w:rPr>
          <w:b/>
        </w:rPr>
        <w:t>Figure 3</w:t>
      </w:r>
      <w:r>
        <w:t>: General principle of Defining the necessary test framework for AI4H solutions by this algorithm</w:t>
      </w:r>
    </w:p>
    <w:p w:rsidR="00950C93" w:rsidRDefault="00950C93" w:rsidP="00950C93">
      <w:r>
        <w:rPr>
          <w:noProof/>
          <w:lang w:eastAsia="en-GB"/>
        </w:rPr>
        <w:drawing>
          <wp:inline distT="114300" distB="114300" distL="114300" distR="114300" wp14:anchorId="5D673A8C" wp14:editId="5C3E045E">
            <wp:extent cx="6122670" cy="3416300"/>
            <wp:effectExtent l="0" t="0" r="0" b="0"/>
            <wp:docPr id="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6122670" cy="3416300"/>
                    </a:xfrm>
                    <a:prstGeom prst="rect">
                      <a:avLst/>
                    </a:prstGeom>
                    <a:ln/>
                  </pic:spPr>
                </pic:pic>
              </a:graphicData>
            </a:graphic>
          </wp:inline>
        </w:drawing>
      </w:r>
    </w:p>
    <w:p w:rsidR="00950C93" w:rsidRDefault="00950C93" w:rsidP="00950C93"/>
    <w:p w:rsidR="00950C93" w:rsidRDefault="00950C93" w:rsidP="00950C93"/>
    <w:p w:rsidR="00950C93" w:rsidRDefault="00950C93" w:rsidP="00950C93"/>
    <w:p w:rsidR="00950C93" w:rsidRDefault="00950C93" w:rsidP="00950C93">
      <w:r>
        <w:t xml:space="preserve">The following Figures show, how this general approach is used in the concrete test setting. </w:t>
      </w:r>
    </w:p>
    <w:p w:rsidR="00950C93" w:rsidRDefault="00950C93" w:rsidP="00950C93">
      <w:r>
        <w:rPr>
          <w:b/>
        </w:rPr>
        <w:t>Figure 4</w:t>
      </w:r>
      <w:r>
        <w:t xml:space="preserve"> exemplifies a test for pattern recognition of images (e.g. Retinopathy Scanner or Histopathological assessment). </w:t>
      </w:r>
      <w:proofErr w:type="gramStart"/>
      <w:r>
        <w:t>it</w:t>
      </w:r>
      <w:proofErr w:type="gramEnd"/>
      <w:r>
        <w:t xml:space="preserve"> normally </w:t>
      </w:r>
      <w:r>
        <w:rPr>
          <w:b/>
        </w:rPr>
        <w:t xml:space="preserve">transforms </w:t>
      </w:r>
      <w:r>
        <w:t>the imaging data with or without respect to meta-information into medical terms (e.g. cotton wool spots) or directly into a potential underlying disease / condition.</w:t>
      </w:r>
    </w:p>
    <w:p w:rsidR="00950C93" w:rsidRDefault="00950C93" w:rsidP="00950C93">
      <w:r>
        <w:rPr>
          <w:b/>
        </w:rPr>
        <w:t>Figure 5</w:t>
      </w:r>
      <w:r>
        <w:t xml:space="preserve"> gives an example for a diagnostic self-assessment application. This mostly multi-dimension integrating application uses maybe (pre)interpreted data of the 2nd category from the finding space and the epidemiological category. It </w:t>
      </w:r>
      <w:r>
        <w:rPr>
          <w:b/>
        </w:rPr>
        <w:t xml:space="preserve">transforms </w:t>
      </w:r>
      <w:r>
        <w:t>all this information into an advice, a possible responsible speciality and/or a potential underlying condition/disease.</w:t>
      </w:r>
      <w:r>
        <w:br w:type="page"/>
      </w:r>
    </w:p>
    <w:p w:rsidR="00950C93" w:rsidRDefault="00950C93" w:rsidP="00950C93">
      <w:r>
        <w:rPr>
          <w:b/>
        </w:rPr>
        <w:lastRenderedPageBreak/>
        <w:t>Figure 4</w:t>
      </w:r>
      <w:r>
        <w:t>: Pattern recognition</w:t>
      </w:r>
    </w:p>
    <w:p w:rsidR="00950C93" w:rsidRDefault="00950C93" w:rsidP="00950C93">
      <w:r>
        <w:rPr>
          <w:noProof/>
          <w:lang w:eastAsia="en-GB"/>
        </w:rPr>
        <w:drawing>
          <wp:inline distT="114300" distB="114300" distL="114300" distR="114300" wp14:anchorId="523A7F7C" wp14:editId="2939A31F">
            <wp:extent cx="6122670" cy="27432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6122670" cy="2743200"/>
                    </a:xfrm>
                    <a:prstGeom prst="rect">
                      <a:avLst/>
                    </a:prstGeom>
                    <a:ln/>
                  </pic:spPr>
                </pic:pic>
              </a:graphicData>
            </a:graphic>
          </wp:inline>
        </w:drawing>
      </w:r>
    </w:p>
    <w:p w:rsidR="00950C93" w:rsidRDefault="00950C93" w:rsidP="00950C93"/>
    <w:p w:rsidR="00950C93" w:rsidRDefault="00950C93" w:rsidP="00950C93"/>
    <w:p w:rsidR="00950C93" w:rsidRDefault="00950C93" w:rsidP="00950C93">
      <w:r>
        <w:rPr>
          <w:b/>
        </w:rPr>
        <w:t>Figure 5</w:t>
      </w:r>
      <w:r>
        <w:t>: Diagnostic self-assessment application</w:t>
      </w:r>
    </w:p>
    <w:p w:rsidR="00950C93" w:rsidRDefault="00950C93" w:rsidP="00950C93">
      <w:r>
        <w:rPr>
          <w:noProof/>
          <w:lang w:eastAsia="en-GB"/>
        </w:rPr>
        <w:drawing>
          <wp:inline distT="114300" distB="114300" distL="114300" distR="114300" wp14:anchorId="2333A565" wp14:editId="0F5CD1F6">
            <wp:extent cx="6122670" cy="3556000"/>
            <wp:effectExtent l="0" t="0" r="0" b="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7"/>
                    <a:srcRect/>
                    <a:stretch>
                      <a:fillRect/>
                    </a:stretch>
                  </pic:blipFill>
                  <pic:spPr>
                    <a:xfrm>
                      <a:off x="0" y="0"/>
                      <a:ext cx="6122670" cy="3556000"/>
                    </a:xfrm>
                    <a:prstGeom prst="rect">
                      <a:avLst/>
                    </a:prstGeom>
                    <a:ln/>
                  </pic:spPr>
                </pic:pic>
              </a:graphicData>
            </a:graphic>
          </wp:inline>
        </w:drawing>
      </w:r>
    </w:p>
    <w:p w:rsidR="00950C93" w:rsidRDefault="00950C93" w:rsidP="00950C93"/>
    <w:p w:rsidR="00950C93" w:rsidRDefault="00950C93" w:rsidP="00950C93"/>
    <w:p w:rsidR="00950C93" w:rsidRDefault="00950C93" w:rsidP="00950C93">
      <w:pPr>
        <w:jc w:val="center"/>
      </w:pPr>
    </w:p>
    <w:p w:rsidR="00950C93" w:rsidRDefault="00950C93" w:rsidP="00950C93">
      <w:pPr>
        <w:jc w:val="center"/>
      </w:pPr>
    </w:p>
    <w:p w:rsidR="00950C93" w:rsidRDefault="00950C93" w:rsidP="00950C93">
      <w:pPr>
        <w:spacing w:line="276" w:lineRule="auto"/>
      </w:pPr>
    </w:p>
    <w:p w:rsidR="003429F2" w:rsidRDefault="00BC1D31" w:rsidP="00404076">
      <w:pPr>
        <w:spacing w:after="20"/>
        <w:jc w:val="center"/>
      </w:pPr>
      <w:r>
        <w:t>__________________________</w:t>
      </w:r>
    </w:p>
    <w:p w:rsidR="00BC1D31" w:rsidRPr="00AB258E" w:rsidRDefault="00BC1D31" w:rsidP="00BC1D31"/>
    <w:sectPr w:rsidR="00BC1D31" w:rsidRPr="00AB258E" w:rsidSect="007B7733">
      <w:headerReference w:type="default" r:id="rId18"/>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6E7" w:rsidRDefault="005066E7" w:rsidP="007B7733">
      <w:pPr>
        <w:spacing w:before="0"/>
      </w:pPr>
      <w:r>
        <w:separator/>
      </w:r>
    </w:p>
  </w:endnote>
  <w:endnote w:type="continuationSeparator" w:id="0">
    <w:p w:rsidR="005066E7" w:rsidRDefault="005066E7"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UI"/>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ocnumbe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6E7" w:rsidRDefault="005066E7" w:rsidP="007B7733">
      <w:pPr>
        <w:spacing w:before="0"/>
      </w:pPr>
      <w:r>
        <w:separator/>
      </w:r>
    </w:p>
  </w:footnote>
  <w:footnote w:type="continuationSeparator" w:id="0">
    <w:p w:rsidR="005066E7" w:rsidRDefault="005066E7"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733" w:rsidRDefault="007B7733" w:rsidP="005E2231">
    <w:pPr>
      <w:pStyle w:val="Header"/>
      <w:rPr>
        <w:lang w:val="pt-BR"/>
      </w:rPr>
    </w:pPr>
    <w:r>
      <w:t xml:space="preserve">- </w:t>
    </w:r>
    <w:r>
      <w:fldChar w:fldCharType="begin"/>
    </w:r>
    <w:r>
      <w:instrText xml:space="preserve"> PAGE  \* MERGEFORMAT </w:instrText>
    </w:r>
    <w:r>
      <w:fldChar w:fldCharType="separate"/>
    </w:r>
    <w:r w:rsidR="00E07599">
      <w:rPr>
        <w:noProof/>
      </w:rPr>
      <w:t>6</w:t>
    </w:r>
    <w:r>
      <w:rPr>
        <w:noProof/>
      </w:rPr>
      <w:fldChar w:fldCharType="end"/>
    </w:r>
    <w:r>
      <w:rPr>
        <w:lang w:val="pt-BR"/>
      </w:rPr>
      <w:t xml:space="preserve"> -</w:t>
    </w:r>
  </w:p>
  <w:p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E07599">
      <w:rPr>
        <w:noProof/>
      </w:rPr>
      <w:t>FG-AI4H-A-025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4D5301"/>
    <w:multiLevelType w:val="multilevel"/>
    <w:tmpl w:val="18CC90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C091484"/>
    <w:multiLevelType w:val="multilevel"/>
    <w:tmpl w:val="99CA5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FA8"/>
    <w:rsid w:val="0001104D"/>
    <w:rsid w:val="00012EB5"/>
    <w:rsid w:val="00017655"/>
    <w:rsid w:val="00017FE7"/>
    <w:rsid w:val="00022B29"/>
    <w:rsid w:val="00025502"/>
    <w:rsid w:val="00027A32"/>
    <w:rsid w:val="00030DBC"/>
    <w:rsid w:val="0003117B"/>
    <w:rsid w:val="0003257A"/>
    <w:rsid w:val="0004493F"/>
    <w:rsid w:val="000475F3"/>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062C1"/>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132"/>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0C93"/>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07599"/>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BD6933"/>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
    <w:name w:val="Hashtag"/>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
    <w:name w:val="Mention"/>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
    <w:name w:val="Smart Hyperlink"/>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
    <w:name w:val="Unresolved Mention"/>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nry.hoffmann@ada.com"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as.kuehn@ada.com"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1779CD-BA7B-4DE9-8803-D836DB0DB93B}"/>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3</TotalTime>
  <Pages>6</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Defining the medical data space - an approach driven by data type</vt:lpstr>
    </vt:vector>
  </TitlesOfParts>
  <Manager>ITU-T</Manager>
  <Company>International Telecommunication Union (ITU)</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Defining the medical data space - an approach driven by data type</dc:title>
  <dc:subject/>
  <dc:creator>Ada Health;Henry Hoffmann</dc:creator>
  <cp:keywords/>
  <dc:description>FG-AI4H-A-025  For: Geneva, 26-27 September 2018_x000d_Document date: ITU-T Focus Group on AI for Health_x000d_Saved by ITU51010253 at 10:39:51 on 27-Sep-18</dc:description>
  <cp:lastModifiedBy>Restivo, Charlyne</cp:lastModifiedBy>
  <cp:revision>6</cp:revision>
  <cp:lastPrinted>2011-04-05T14:28:00Z</cp:lastPrinted>
  <dcterms:created xsi:type="dcterms:W3CDTF">2018-09-27T08:37:00Z</dcterms:created>
  <dcterms:modified xsi:type="dcterms:W3CDTF">2018-09-27T09:15:00Z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FG-AI4H-A-025</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Geneva, 26-27 September 2018</vt:lpwstr>
  </property>
  <property fmtid="{D5CDD505-2E9C-101B-9397-08002B2CF9AE}" pid="8" name="Docauthor">
    <vt:lpwstr>Ada Health GmbH</vt:lpwstr>
  </property>
</Properties>
</file>