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992"/>
        <w:gridCol w:w="287"/>
        <w:gridCol w:w="4394"/>
      </w:tblGrid>
      <w:tr w:rsidR="00BF6DCA" w:rsidRPr="00BF6DCA" w14:paraId="23608208" w14:textId="77777777" w:rsidTr="00F23C36">
        <w:trPr>
          <w:cantSplit/>
        </w:trPr>
        <w:tc>
          <w:tcPr>
            <w:tcW w:w="1191" w:type="dxa"/>
            <w:vMerge w:val="restart"/>
          </w:tcPr>
          <w:p w14:paraId="23608203" w14:textId="77777777" w:rsidR="00BF6DCA" w:rsidRPr="00BF6DCA" w:rsidRDefault="00BF6DCA" w:rsidP="00BF6DCA">
            <w:pPr>
              <w:rPr>
                <w:sz w:val="20"/>
              </w:rPr>
            </w:pPr>
            <w:bookmarkStart w:id="0" w:name="dnum" w:colFirst="2" w:colLast="2"/>
            <w:bookmarkStart w:id="1" w:name="dtableau"/>
            <w:bookmarkStart w:id="2" w:name="dcontact"/>
            <w:bookmarkStart w:id="3" w:name="dcontact1"/>
            <w:bookmarkStart w:id="4" w:name="dcontent1" w:colFirst="1" w:colLast="1"/>
            <w:r w:rsidRPr="00BF6DCA">
              <w:rPr>
                <w:noProof/>
                <w:sz w:val="20"/>
                <w:lang w:val="en-US" w:eastAsia="zh-CN"/>
              </w:rPr>
              <w:drawing>
                <wp:inline distT="0" distB="0" distL="0" distR="0" wp14:anchorId="23608265" wp14:editId="2360826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3608204" w14:textId="77777777" w:rsidR="00BF6DCA" w:rsidRPr="00BF6DCA" w:rsidRDefault="00BF6DCA" w:rsidP="00BF6DCA">
            <w:pPr>
              <w:rPr>
                <w:sz w:val="16"/>
                <w:szCs w:val="16"/>
              </w:rPr>
            </w:pPr>
            <w:r w:rsidRPr="00BF6DCA">
              <w:rPr>
                <w:sz w:val="16"/>
                <w:szCs w:val="16"/>
              </w:rPr>
              <w:t>INTERNATIONAL TELECOMMUNICATION UNION</w:t>
            </w:r>
          </w:p>
          <w:p w14:paraId="23608205" w14:textId="77777777" w:rsidR="00BF6DCA" w:rsidRPr="00BF6DCA" w:rsidRDefault="00BF6DCA" w:rsidP="00BF6DCA">
            <w:pPr>
              <w:rPr>
                <w:b/>
                <w:bCs/>
                <w:sz w:val="26"/>
                <w:szCs w:val="26"/>
              </w:rPr>
            </w:pPr>
            <w:r w:rsidRPr="00BF6DCA">
              <w:rPr>
                <w:b/>
                <w:bCs/>
                <w:sz w:val="26"/>
                <w:szCs w:val="26"/>
              </w:rPr>
              <w:t>TELECOMMUNICATION</w:t>
            </w:r>
            <w:r w:rsidRPr="00BF6DCA">
              <w:rPr>
                <w:b/>
                <w:bCs/>
                <w:sz w:val="26"/>
                <w:szCs w:val="26"/>
              </w:rPr>
              <w:br/>
              <w:t>STANDARDIZATION SECTOR</w:t>
            </w:r>
          </w:p>
          <w:p w14:paraId="23608206" w14:textId="77777777" w:rsidR="00BF6DCA" w:rsidRPr="00BF6DCA" w:rsidRDefault="00BF6DCA" w:rsidP="00BF6DCA">
            <w:pPr>
              <w:rPr>
                <w:sz w:val="20"/>
              </w:rPr>
            </w:pPr>
            <w:r w:rsidRPr="00BF6DCA">
              <w:rPr>
                <w:sz w:val="20"/>
              </w:rPr>
              <w:t xml:space="preserve">STUDY PERIOD </w:t>
            </w:r>
            <w:bookmarkStart w:id="5" w:name="dstudyperiod"/>
            <w:r w:rsidRPr="00BF6DCA">
              <w:rPr>
                <w:sz w:val="20"/>
              </w:rPr>
              <w:t>2017-2020</w:t>
            </w:r>
            <w:bookmarkEnd w:id="5"/>
          </w:p>
        </w:tc>
        <w:tc>
          <w:tcPr>
            <w:tcW w:w="4681" w:type="dxa"/>
            <w:gridSpan w:val="2"/>
            <w:vAlign w:val="center"/>
          </w:tcPr>
          <w:p w14:paraId="23608207" w14:textId="4E782F35" w:rsidR="00BF6DCA" w:rsidRPr="00BF6DCA" w:rsidRDefault="00D75F26" w:rsidP="00010281">
            <w:pPr>
              <w:pStyle w:val="Docnumber"/>
            </w:pPr>
            <w:r>
              <w:t>DOC</w:t>
            </w:r>
            <w:r w:rsidR="00BF6DCA">
              <w:t xml:space="preserve"> </w:t>
            </w:r>
            <w:r w:rsidR="00010281">
              <w:t>9</w:t>
            </w:r>
            <w:r w:rsidR="00BF6DCA">
              <w:t xml:space="preserve"> </w:t>
            </w:r>
          </w:p>
        </w:tc>
      </w:tr>
      <w:tr w:rsidR="00BF6DCA" w:rsidRPr="00BF6DCA" w14:paraId="2360820C" w14:textId="77777777" w:rsidTr="00F23C36">
        <w:trPr>
          <w:cantSplit/>
        </w:trPr>
        <w:tc>
          <w:tcPr>
            <w:tcW w:w="1191" w:type="dxa"/>
            <w:vMerge/>
          </w:tcPr>
          <w:p w14:paraId="23608209" w14:textId="77777777" w:rsidR="00BF6DCA" w:rsidRPr="00BF6DCA" w:rsidRDefault="00BF6DCA" w:rsidP="00BF6DCA">
            <w:pPr>
              <w:rPr>
                <w:smallCaps/>
                <w:sz w:val="20"/>
              </w:rPr>
            </w:pPr>
            <w:bookmarkStart w:id="6" w:name="dsg" w:colFirst="2" w:colLast="2"/>
            <w:bookmarkEnd w:id="0"/>
          </w:p>
        </w:tc>
        <w:tc>
          <w:tcPr>
            <w:tcW w:w="4051" w:type="dxa"/>
            <w:gridSpan w:val="3"/>
            <w:vMerge/>
          </w:tcPr>
          <w:p w14:paraId="2360820A" w14:textId="77777777" w:rsidR="00BF6DCA" w:rsidRPr="00BF6DCA" w:rsidRDefault="00BF6DCA" w:rsidP="00BF6DCA">
            <w:pPr>
              <w:rPr>
                <w:smallCaps/>
                <w:sz w:val="20"/>
              </w:rPr>
            </w:pPr>
          </w:p>
        </w:tc>
        <w:tc>
          <w:tcPr>
            <w:tcW w:w="4681" w:type="dxa"/>
            <w:gridSpan w:val="2"/>
          </w:tcPr>
          <w:p w14:paraId="2360820B" w14:textId="77777777" w:rsidR="00BF6DCA" w:rsidRPr="00BF6DCA" w:rsidRDefault="00BF6DCA" w:rsidP="00BF6DCA">
            <w:pPr>
              <w:jc w:val="right"/>
              <w:rPr>
                <w:b/>
                <w:bCs/>
                <w:smallCaps/>
                <w:sz w:val="28"/>
                <w:szCs w:val="28"/>
              </w:rPr>
            </w:pPr>
            <w:r>
              <w:rPr>
                <w:b/>
                <w:bCs/>
                <w:smallCaps/>
                <w:sz w:val="28"/>
                <w:szCs w:val="28"/>
              </w:rPr>
              <w:t>Collaboration on Intelligent Transport Systems Communication Standards</w:t>
            </w:r>
          </w:p>
        </w:tc>
      </w:tr>
      <w:bookmarkEnd w:id="6"/>
      <w:tr w:rsidR="00BF6DCA" w:rsidRPr="00BF6DCA" w14:paraId="23608210" w14:textId="77777777" w:rsidTr="00F23C36">
        <w:trPr>
          <w:cantSplit/>
        </w:trPr>
        <w:tc>
          <w:tcPr>
            <w:tcW w:w="1191" w:type="dxa"/>
            <w:vMerge/>
            <w:tcBorders>
              <w:bottom w:val="single" w:sz="12" w:space="0" w:color="auto"/>
            </w:tcBorders>
          </w:tcPr>
          <w:p w14:paraId="2360820D" w14:textId="77777777" w:rsidR="00BF6DCA" w:rsidRPr="00BF6DCA" w:rsidRDefault="00BF6DCA" w:rsidP="00BF6DCA">
            <w:pPr>
              <w:rPr>
                <w:b/>
                <w:bCs/>
                <w:sz w:val="26"/>
              </w:rPr>
            </w:pPr>
          </w:p>
        </w:tc>
        <w:tc>
          <w:tcPr>
            <w:tcW w:w="4051" w:type="dxa"/>
            <w:gridSpan w:val="3"/>
            <w:vMerge/>
            <w:tcBorders>
              <w:bottom w:val="single" w:sz="12" w:space="0" w:color="auto"/>
            </w:tcBorders>
          </w:tcPr>
          <w:p w14:paraId="2360820E" w14:textId="77777777" w:rsidR="00BF6DCA" w:rsidRPr="00BF6DCA" w:rsidRDefault="00BF6DCA" w:rsidP="00BF6DCA">
            <w:pPr>
              <w:rPr>
                <w:b/>
                <w:bCs/>
                <w:sz w:val="26"/>
              </w:rPr>
            </w:pPr>
          </w:p>
        </w:tc>
        <w:tc>
          <w:tcPr>
            <w:tcW w:w="4681" w:type="dxa"/>
            <w:gridSpan w:val="2"/>
            <w:tcBorders>
              <w:bottom w:val="single" w:sz="12" w:space="0" w:color="auto"/>
            </w:tcBorders>
            <w:vAlign w:val="center"/>
          </w:tcPr>
          <w:p w14:paraId="2360820F" w14:textId="77777777" w:rsidR="00BF6DCA" w:rsidRPr="00BF6DCA" w:rsidRDefault="00BF6DCA" w:rsidP="00BF6DCA">
            <w:pPr>
              <w:jc w:val="right"/>
              <w:rPr>
                <w:b/>
                <w:bCs/>
                <w:sz w:val="28"/>
                <w:szCs w:val="28"/>
              </w:rPr>
            </w:pPr>
            <w:r w:rsidRPr="00BF6DCA">
              <w:rPr>
                <w:b/>
                <w:bCs/>
                <w:sz w:val="28"/>
                <w:szCs w:val="28"/>
              </w:rPr>
              <w:t>Original: English</w:t>
            </w:r>
          </w:p>
        </w:tc>
      </w:tr>
      <w:tr w:rsidR="00BF6DCA" w:rsidRPr="00BF6DCA" w14:paraId="23608214" w14:textId="77777777" w:rsidTr="00F23C36">
        <w:trPr>
          <w:cantSplit/>
        </w:trPr>
        <w:tc>
          <w:tcPr>
            <w:tcW w:w="1617" w:type="dxa"/>
            <w:gridSpan w:val="2"/>
          </w:tcPr>
          <w:p w14:paraId="23608211" w14:textId="486B4249" w:rsidR="00BF6DCA" w:rsidRPr="00BF6DCA" w:rsidRDefault="000036C6" w:rsidP="00BF6DCA">
            <w:pPr>
              <w:rPr>
                <w:b/>
                <w:bCs/>
              </w:rPr>
            </w:pPr>
            <w:bookmarkStart w:id="7" w:name="dbluepink" w:colFirst="1" w:colLast="1"/>
            <w:bookmarkStart w:id="8" w:name="dmeeting" w:colFirst="2" w:colLast="2"/>
            <w:r>
              <w:rPr>
                <w:b/>
                <w:bCs/>
              </w:rPr>
              <w:t>WGs</w:t>
            </w:r>
          </w:p>
        </w:tc>
        <w:tc>
          <w:tcPr>
            <w:tcW w:w="3625" w:type="dxa"/>
            <w:gridSpan w:val="2"/>
          </w:tcPr>
          <w:p w14:paraId="23608212" w14:textId="77777777" w:rsidR="00BF6DCA" w:rsidRPr="00BF6DCA" w:rsidRDefault="00BF6DCA" w:rsidP="00BF6DCA"/>
        </w:tc>
        <w:tc>
          <w:tcPr>
            <w:tcW w:w="4681" w:type="dxa"/>
            <w:gridSpan w:val="2"/>
          </w:tcPr>
          <w:p w14:paraId="23608213" w14:textId="7FB8EE50" w:rsidR="00BF6DCA" w:rsidRPr="00BF6DCA" w:rsidRDefault="00492807" w:rsidP="00492807">
            <w:pPr>
              <w:jc w:val="right"/>
            </w:pPr>
            <w:r>
              <w:t>Nanjing, China</w:t>
            </w:r>
            <w:r w:rsidR="00550C68" w:rsidRPr="00BF6DCA">
              <w:t>,</w:t>
            </w:r>
            <w:r w:rsidR="00550C68">
              <w:t xml:space="preserve"> </w:t>
            </w:r>
            <w:r>
              <w:t xml:space="preserve">7 September </w:t>
            </w:r>
            <w:r w:rsidR="00550C68" w:rsidRPr="00BF6DCA">
              <w:t>201</w:t>
            </w:r>
            <w:r w:rsidR="00550C68">
              <w:t>8</w:t>
            </w:r>
          </w:p>
        </w:tc>
      </w:tr>
      <w:tr w:rsidR="009F2C14" w:rsidRPr="0042686A" w14:paraId="3EC4921D" w14:textId="77777777" w:rsidTr="00A15487">
        <w:trPr>
          <w:cantSplit/>
        </w:trPr>
        <w:tc>
          <w:tcPr>
            <w:tcW w:w="9923" w:type="dxa"/>
            <w:gridSpan w:val="6"/>
          </w:tcPr>
          <w:p w14:paraId="697814D8" w14:textId="1E3F63A0" w:rsidR="009F2C14" w:rsidRPr="00492807" w:rsidRDefault="009F2C14" w:rsidP="006E4FCD">
            <w:pPr>
              <w:jc w:val="center"/>
              <w:rPr>
                <w:b/>
                <w:bCs/>
                <w:lang w:val="fr-CH"/>
              </w:rPr>
            </w:pPr>
            <w:bookmarkStart w:id="9" w:name="dtitle" w:colFirst="0" w:colLast="0"/>
            <w:bookmarkEnd w:id="1"/>
            <w:bookmarkEnd w:id="2"/>
            <w:bookmarkEnd w:id="3"/>
            <w:bookmarkEnd w:id="4"/>
            <w:bookmarkEnd w:id="7"/>
            <w:bookmarkEnd w:id="8"/>
            <w:proofErr w:type="gramStart"/>
            <w:r w:rsidRPr="00492807">
              <w:rPr>
                <w:b/>
                <w:bCs/>
                <w:lang w:val="fr-CH"/>
              </w:rPr>
              <w:t>DOCUMENT</w:t>
            </w:r>
            <w:proofErr w:type="gramEnd"/>
            <w:r w:rsidRPr="00492807">
              <w:rPr>
                <w:b/>
                <w:bCs/>
                <w:lang w:val="fr-CH"/>
              </w:rPr>
              <w:br/>
              <w:t>(</w:t>
            </w:r>
            <w:proofErr w:type="spellStart"/>
            <w:r w:rsidRPr="00492807">
              <w:rPr>
                <w:b/>
                <w:bCs/>
                <w:lang w:val="fr-CH"/>
              </w:rPr>
              <w:t>Ref</w:t>
            </w:r>
            <w:proofErr w:type="spellEnd"/>
            <w:r w:rsidRPr="00492807">
              <w:rPr>
                <w:b/>
                <w:bCs/>
                <w:lang w:val="fr-CH"/>
              </w:rPr>
              <w:t>.:</w:t>
            </w:r>
            <w:r w:rsidR="0042686A">
              <w:rPr>
                <w:b/>
                <w:bCs/>
                <w:lang w:val="fr-CH"/>
              </w:rPr>
              <w:t xml:space="preserve"> </w:t>
            </w:r>
            <w:r w:rsidR="0042686A" w:rsidRPr="006E4FCD">
              <w:rPr>
                <w:rStyle w:val="Hyperlink"/>
                <w:lang w:val="fr-CH"/>
              </w:rPr>
              <w:t>SG16 - LS 1</w:t>
            </w:r>
            <w:r w:rsidR="006E4FCD" w:rsidRPr="006E4FCD">
              <w:rPr>
                <w:rStyle w:val="Hyperlink"/>
                <w:lang w:val="fr-CH"/>
              </w:rPr>
              <w:t>1</w:t>
            </w:r>
            <w:r w:rsidR="006E4FCD">
              <w:rPr>
                <w:rStyle w:val="Hyperlink"/>
                <w:lang w:val="fr-CH"/>
              </w:rPr>
              <w:t>3</w:t>
            </w:r>
            <w:r w:rsidRPr="00492807">
              <w:rPr>
                <w:b/>
                <w:bCs/>
                <w:lang w:val="fr-CH"/>
              </w:rPr>
              <w:t>)</w:t>
            </w:r>
          </w:p>
        </w:tc>
      </w:tr>
      <w:bookmarkEnd w:id="9"/>
      <w:tr w:rsidR="000477D1" w:rsidRPr="00DE00B9" w14:paraId="79FD8C25" w14:textId="77777777" w:rsidTr="00A15487">
        <w:trPr>
          <w:cantSplit/>
        </w:trPr>
        <w:tc>
          <w:tcPr>
            <w:tcW w:w="1617" w:type="dxa"/>
            <w:gridSpan w:val="2"/>
          </w:tcPr>
          <w:p w14:paraId="16262EBD" w14:textId="77777777" w:rsidR="000477D1" w:rsidRPr="00DE00B9" w:rsidRDefault="000477D1" w:rsidP="000477D1">
            <w:pPr>
              <w:rPr>
                <w:b/>
                <w:bCs/>
              </w:rPr>
            </w:pPr>
            <w:r w:rsidRPr="00DE00B9">
              <w:rPr>
                <w:b/>
                <w:bCs/>
              </w:rPr>
              <w:t>Source:</w:t>
            </w:r>
          </w:p>
        </w:tc>
        <w:tc>
          <w:tcPr>
            <w:tcW w:w="8306" w:type="dxa"/>
            <w:gridSpan w:val="4"/>
          </w:tcPr>
          <w:p w14:paraId="51DBD815" w14:textId="458B5F0F" w:rsidR="000477D1" w:rsidRPr="00DE00B9" w:rsidRDefault="000477D1" w:rsidP="0042686A">
            <w:r w:rsidRPr="00E14728">
              <w:rPr>
                <w:szCs w:val="24"/>
              </w:rPr>
              <w:t>ITU-T SG1</w:t>
            </w:r>
            <w:r w:rsidR="0042686A">
              <w:rPr>
                <w:szCs w:val="24"/>
              </w:rPr>
              <w:t>6</w:t>
            </w:r>
          </w:p>
        </w:tc>
      </w:tr>
      <w:tr w:rsidR="000477D1" w:rsidRPr="00DE00B9" w14:paraId="63AA88A6" w14:textId="77777777" w:rsidTr="00A15487">
        <w:trPr>
          <w:cantSplit/>
        </w:trPr>
        <w:tc>
          <w:tcPr>
            <w:tcW w:w="1617" w:type="dxa"/>
            <w:gridSpan w:val="2"/>
          </w:tcPr>
          <w:p w14:paraId="0EF66493" w14:textId="77777777" w:rsidR="000477D1" w:rsidRPr="00DE00B9" w:rsidRDefault="000477D1" w:rsidP="000477D1">
            <w:r w:rsidRPr="00DE00B9">
              <w:rPr>
                <w:b/>
                <w:bCs/>
              </w:rPr>
              <w:t>Title:</w:t>
            </w:r>
          </w:p>
        </w:tc>
        <w:tc>
          <w:tcPr>
            <w:tcW w:w="8306" w:type="dxa"/>
            <w:gridSpan w:val="4"/>
          </w:tcPr>
          <w:p w14:paraId="1D7D1C11" w14:textId="0E898156" w:rsidR="000477D1" w:rsidRPr="00DE00B9" w:rsidRDefault="0042686A" w:rsidP="006E4FCD">
            <w:r w:rsidRPr="00EA19EA">
              <w:t xml:space="preserve">LS on </w:t>
            </w:r>
            <w:r w:rsidR="006E4FCD" w:rsidRPr="004535DB">
              <w:t>Establishment of new ITU-T Focus Group on vehicular multimedia (FG-VM) and its first meeting [to TSAG, all ITU-T SGs; external organizations]</w:t>
            </w:r>
            <w:r w:rsidR="000477D1">
              <w:rPr>
                <w:szCs w:val="24"/>
              </w:rPr>
              <w:t>]</w:t>
            </w:r>
          </w:p>
        </w:tc>
      </w:tr>
      <w:tr w:rsidR="009F2C14" w:rsidRPr="00DE00B9" w14:paraId="4E49678D" w14:textId="77777777" w:rsidTr="00A15487">
        <w:trPr>
          <w:cantSplit/>
          <w:trHeight w:val="357"/>
        </w:trPr>
        <w:tc>
          <w:tcPr>
            <w:tcW w:w="9923" w:type="dxa"/>
            <w:gridSpan w:val="6"/>
            <w:tcBorders>
              <w:top w:val="single" w:sz="12" w:space="0" w:color="auto"/>
            </w:tcBorders>
          </w:tcPr>
          <w:p w14:paraId="054BF6D8" w14:textId="77777777" w:rsidR="009F2C14" w:rsidRPr="00DE00B9" w:rsidRDefault="009F2C14" w:rsidP="00A15487">
            <w:pPr>
              <w:jc w:val="center"/>
              <w:rPr>
                <w:b/>
              </w:rPr>
            </w:pPr>
            <w:r w:rsidRPr="00DE00B9">
              <w:rPr>
                <w:b/>
              </w:rPr>
              <w:t>LIAISON STATEMENT</w:t>
            </w:r>
          </w:p>
        </w:tc>
      </w:tr>
      <w:tr w:rsidR="0042686A" w:rsidRPr="00492807" w14:paraId="682464B1" w14:textId="77777777" w:rsidTr="00A15487">
        <w:trPr>
          <w:cantSplit/>
        </w:trPr>
        <w:tc>
          <w:tcPr>
            <w:tcW w:w="2250" w:type="dxa"/>
            <w:gridSpan w:val="3"/>
          </w:tcPr>
          <w:p w14:paraId="71167711" w14:textId="77777777" w:rsidR="0042686A" w:rsidRPr="00DE00B9" w:rsidRDefault="0042686A" w:rsidP="0042686A">
            <w:pPr>
              <w:rPr>
                <w:b/>
                <w:bCs/>
              </w:rPr>
            </w:pPr>
            <w:r w:rsidRPr="00DE00B9">
              <w:rPr>
                <w:b/>
                <w:bCs/>
              </w:rPr>
              <w:t>For action to:</w:t>
            </w:r>
          </w:p>
        </w:tc>
        <w:tc>
          <w:tcPr>
            <w:tcW w:w="7673" w:type="dxa"/>
            <w:gridSpan w:val="3"/>
          </w:tcPr>
          <w:p w14:paraId="05E2C822" w14:textId="52B9AAD7" w:rsidR="0042686A" w:rsidRPr="009F2C14" w:rsidRDefault="006E4FCD" w:rsidP="0042686A">
            <w:pPr>
              <w:rPr>
                <w:lang w:val="fr-CH"/>
              </w:rPr>
            </w:pPr>
            <w:r>
              <w:rPr>
                <w:lang w:val="fr-CH"/>
              </w:rPr>
              <w:t>-</w:t>
            </w:r>
          </w:p>
        </w:tc>
      </w:tr>
      <w:tr w:rsidR="0042686A" w:rsidRPr="00DE00B9" w14:paraId="26E5D5C9" w14:textId="77777777" w:rsidTr="00A15487">
        <w:trPr>
          <w:cantSplit/>
        </w:trPr>
        <w:tc>
          <w:tcPr>
            <w:tcW w:w="2250" w:type="dxa"/>
            <w:gridSpan w:val="3"/>
          </w:tcPr>
          <w:p w14:paraId="5737B7CF" w14:textId="77777777" w:rsidR="0042686A" w:rsidRPr="00DE00B9" w:rsidRDefault="0042686A" w:rsidP="0042686A">
            <w:pPr>
              <w:rPr>
                <w:b/>
                <w:bCs/>
              </w:rPr>
            </w:pPr>
            <w:r w:rsidRPr="00DE00B9">
              <w:rPr>
                <w:b/>
                <w:bCs/>
              </w:rPr>
              <w:t>For comment to:</w:t>
            </w:r>
          </w:p>
        </w:tc>
        <w:tc>
          <w:tcPr>
            <w:tcW w:w="7673" w:type="dxa"/>
            <w:gridSpan w:val="3"/>
          </w:tcPr>
          <w:p w14:paraId="0F93746B" w14:textId="1EEDE079" w:rsidR="0042686A" w:rsidRPr="00DE00B9" w:rsidRDefault="0042686A" w:rsidP="0042686A">
            <w:bookmarkStart w:id="10" w:name="_Toc520109009"/>
            <w:r w:rsidRPr="00EA70AE">
              <w:t>-</w:t>
            </w:r>
            <w:bookmarkEnd w:id="10"/>
          </w:p>
        </w:tc>
      </w:tr>
      <w:tr w:rsidR="0042686A" w:rsidRPr="00DE00B9" w14:paraId="7442F8BF" w14:textId="77777777" w:rsidTr="00A15487">
        <w:trPr>
          <w:cantSplit/>
        </w:trPr>
        <w:tc>
          <w:tcPr>
            <w:tcW w:w="2250" w:type="dxa"/>
            <w:gridSpan w:val="3"/>
          </w:tcPr>
          <w:p w14:paraId="5A473A3D" w14:textId="77777777" w:rsidR="0042686A" w:rsidRPr="00DE00B9" w:rsidRDefault="0042686A" w:rsidP="0042686A">
            <w:pPr>
              <w:rPr>
                <w:b/>
                <w:bCs/>
              </w:rPr>
            </w:pPr>
            <w:r w:rsidRPr="00DE00B9">
              <w:rPr>
                <w:b/>
                <w:bCs/>
              </w:rPr>
              <w:t>For information to:</w:t>
            </w:r>
          </w:p>
        </w:tc>
        <w:tc>
          <w:tcPr>
            <w:tcW w:w="7673" w:type="dxa"/>
            <w:gridSpan w:val="3"/>
          </w:tcPr>
          <w:p w14:paraId="7992152B" w14:textId="0813D471" w:rsidR="0042686A" w:rsidRPr="00DE00B9" w:rsidRDefault="006E4FCD" w:rsidP="0042686A">
            <w:bookmarkStart w:id="11" w:name="_Toc520109008"/>
            <w:r w:rsidRPr="00EA70AE">
              <w:rPr>
                <w:rFonts w:hint="eastAsia"/>
              </w:rPr>
              <w:t>CITS</w:t>
            </w:r>
            <w:bookmarkEnd w:id="11"/>
          </w:p>
        </w:tc>
      </w:tr>
      <w:tr w:rsidR="0042686A" w:rsidRPr="00DE00B9" w14:paraId="5CA6B4EB" w14:textId="77777777" w:rsidTr="00A15487">
        <w:trPr>
          <w:cantSplit/>
        </w:trPr>
        <w:tc>
          <w:tcPr>
            <w:tcW w:w="2250" w:type="dxa"/>
            <w:gridSpan w:val="3"/>
          </w:tcPr>
          <w:p w14:paraId="484DA768" w14:textId="77777777" w:rsidR="0042686A" w:rsidRPr="00DE00B9" w:rsidRDefault="0042686A" w:rsidP="0042686A">
            <w:pPr>
              <w:rPr>
                <w:b/>
                <w:bCs/>
              </w:rPr>
            </w:pPr>
            <w:r w:rsidRPr="00DE00B9">
              <w:rPr>
                <w:b/>
                <w:bCs/>
              </w:rPr>
              <w:t>Approval:</w:t>
            </w:r>
          </w:p>
        </w:tc>
        <w:tc>
          <w:tcPr>
            <w:tcW w:w="7673" w:type="dxa"/>
            <w:gridSpan w:val="3"/>
          </w:tcPr>
          <w:p w14:paraId="661C0989" w14:textId="552E3B06" w:rsidR="0042686A" w:rsidRPr="00DE00B9" w:rsidRDefault="006E4FCD" w:rsidP="0042686A">
            <w:r w:rsidRPr="009E4518">
              <w:t>ITU-T SG16 management</w:t>
            </w:r>
            <w:r w:rsidRPr="009E4518">
              <w:rPr>
                <w:b/>
                <w:bCs/>
              </w:rPr>
              <w:t xml:space="preserve"> </w:t>
            </w:r>
            <w:r w:rsidRPr="009E4518">
              <w:t xml:space="preserve">(by correspondence, </w:t>
            </w:r>
            <w:r>
              <w:t>20</w:t>
            </w:r>
            <w:r w:rsidRPr="009E4518">
              <w:t xml:space="preserve"> August 2018)</w:t>
            </w:r>
          </w:p>
        </w:tc>
      </w:tr>
      <w:tr w:rsidR="0042686A" w:rsidRPr="00DE00B9" w14:paraId="701C3360" w14:textId="77777777" w:rsidTr="00A15487">
        <w:trPr>
          <w:cantSplit/>
        </w:trPr>
        <w:tc>
          <w:tcPr>
            <w:tcW w:w="2250" w:type="dxa"/>
            <w:gridSpan w:val="3"/>
            <w:tcBorders>
              <w:bottom w:val="single" w:sz="12" w:space="0" w:color="auto"/>
            </w:tcBorders>
          </w:tcPr>
          <w:p w14:paraId="027787A6" w14:textId="77777777" w:rsidR="0042686A" w:rsidRPr="00DE00B9" w:rsidRDefault="0042686A" w:rsidP="0042686A">
            <w:r w:rsidRPr="00DE00B9">
              <w:rPr>
                <w:b/>
              </w:rPr>
              <w:t>Deadline:</w:t>
            </w:r>
          </w:p>
        </w:tc>
        <w:tc>
          <w:tcPr>
            <w:tcW w:w="7673" w:type="dxa"/>
            <w:gridSpan w:val="3"/>
            <w:tcBorders>
              <w:bottom w:val="single" w:sz="12" w:space="0" w:color="auto"/>
            </w:tcBorders>
          </w:tcPr>
          <w:p w14:paraId="3E9B8A7A" w14:textId="1EE5A451" w:rsidR="0042686A" w:rsidRPr="00DE00B9" w:rsidRDefault="006E4FCD" w:rsidP="0042686A">
            <w:r w:rsidRPr="00E80C40">
              <w:t>N/A</w:t>
            </w:r>
          </w:p>
        </w:tc>
      </w:tr>
      <w:tr w:rsidR="006E4FCD" w:rsidRPr="0042686A" w14:paraId="0E8298A9" w14:textId="77777777" w:rsidTr="00492807">
        <w:trPr>
          <w:trHeight w:val="204"/>
        </w:trPr>
        <w:tc>
          <w:tcPr>
            <w:tcW w:w="2250" w:type="dxa"/>
            <w:gridSpan w:val="3"/>
          </w:tcPr>
          <w:p w14:paraId="04EBDE8B" w14:textId="3CECD2DF" w:rsidR="006E4FCD" w:rsidRPr="00DE00B9" w:rsidRDefault="006E4FCD" w:rsidP="006E4FCD">
            <w:pPr>
              <w:rPr>
                <w:b/>
              </w:rPr>
            </w:pPr>
            <w:r w:rsidRPr="00EA70AE">
              <w:rPr>
                <w:b/>
                <w:bCs/>
              </w:rPr>
              <w:t>Contact:</w:t>
            </w:r>
          </w:p>
        </w:tc>
        <w:tc>
          <w:tcPr>
            <w:tcW w:w="3279" w:type="dxa"/>
            <w:gridSpan w:val="2"/>
          </w:tcPr>
          <w:p w14:paraId="67C526ED" w14:textId="0C9BE94D" w:rsidR="006E4FCD" w:rsidRPr="006E4FCD" w:rsidRDefault="006E4FCD" w:rsidP="006E4FCD">
            <w:pPr>
              <w:rPr>
                <w:lang w:val="fr-CH"/>
              </w:rPr>
            </w:pPr>
            <w:r w:rsidRPr="00A94F10">
              <w:rPr>
                <w:lang w:val="fr-CH"/>
              </w:rPr>
              <w:t xml:space="preserve">Noah </w:t>
            </w:r>
            <w:proofErr w:type="spellStart"/>
            <w:r w:rsidRPr="00A94F10">
              <w:rPr>
                <w:lang w:val="fr-CH"/>
              </w:rPr>
              <w:t>Luo</w:t>
            </w:r>
            <w:proofErr w:type="spellEnd"/>
            <w:r w:rsidRPr="00A94F10">
              <w:rPr>
                <w:lang w:val="fr-CH"/>
              </w:rPr>
              <w:br/>
            </w:r>
            <w:proofErr w:type="spellStart"/>
            <w:r w:rsidRPr="00A94F10">
              <w:rPr>
                <w:lang w:val="fr-CH"/>
              </w:rPr>
              <w:t>Huawei</w:t>
            </w:r>
            <w:proofErr w:type="spellEnd"/>
            <w:r w:rsidRPr="00A94F10">
              <w:rPr>
                <w:lang w:val="fr-CH"/>
              </w:rPr>
              <w:t xml:space="preserve"> Technologies</w:t>
            </w:r>
            <w:r w:rsidRPr="00A94F10">
              <w:rPr>
                <w:lang w:val="fr-CH"/>
              </w:rPr>
              <w:br/>
              <w:t>China</w:t>
            </w:r>
          </w:p>
        </w:tc>
        <w:tc>
          <w:tcPr>
            <w:tcW w:w="4394" w:type="dxa"/>
          </w:tcPr>
          <w:p w14:paraId="1173474A" w14:textId="66ED0A7A" w:rsidR="006E4FCD" w:rsidRPr="00492807" w:rsidRDefault="006E4FCD" w:rsidP="006E4FCD">
            <w:pPr>
              <w:tabs>
                <w:tab w:val="left" w:pos="878"/>
              </w:tabs>
              <w:rPr>
                <w:lang w:val="de-CH"/>
              </w:rPr>
            </w:pPr>
            <w:r w:rsidRPr="009E4518">
              <w:t>Tel: +44 (11) 8920 8954</w:t>
            </w:r>
            <w:r w:rsidRPr="009E4518">
              <w:br/>
              <w:t>Fax: +44 (11) 8920 8900</w:t>
            </w:r>
            <w:r w:rsidRPr="009E4518">
              <w:br/>
              <w:t xml:space="preserve">Email: </w:t>
            </w:r>
            <w:hyperlink r:id="rId11" w:history="1">
              <w:r w:rsidRPr="009E4518">
                <w:rPr>
                  <w:rStyle w:val="Hyperlink"/>
                </w:rPr>
                <w:t>noah@huawei.com</w:t>
              </w:r>
            </w:hyperlink>
          </w:p>
        </w:tc>
      </w:tr>
      <w:tr w:rsidR="006E4FCD" w:rsidRPr="0042686A" w14:paraId="202D470C" w14:textId="77777777" w:rsidTr="00492807">
        <w:trPr>
          <w:trHeight w:val="204"/>
        </w:trPr>
        <w:tc>
          <w:tcPr>
            <w:tcW w:w="2250" w:type="dxa"/>
            <w:gridSpan w:val="3"/>
          </w:tcPr>
          <w:p w14:paraId="43273667" w14:textId="122FCCFA" w:rsidR="006E4FCD" w:rsidRPr="00DE00B9" w:rsidRDefault="006E4FCD" w:rsidP="006E4FCD">
            <w:pPr>
              <w:rPr>
                <w:b/>
              </w:rPr>
            </w:pPr>
            <w:r w:rsidRPr="00EA70AE">
              <w:rPr>
                <w:b/>
                <w:bCs/>
              </w:rPr>
              <w:t>Contact:</w:t>
            </w:r>
          </w:p>
        </w:tc>
        <w:tc>
          <w:tcPr>
            <w:tcW w:w="3279" w:type="dxa"/>
            <w:gridSpan w:val="2"/>
          </w:tcPr>
          <w:p w14:paraId="525EF14C" w14:textId="603FAD44" w:rsidR="006E4FCD" w:rsidRPr="00DE00B9" w:rsidRDefault="006E4FCD" w:rsidP="006E4FCD">
            <w:r>
              <w:t>Ju</w:t>
            </w:r>
            <w:r w:rsidRPr="009E4518">
              <w:t xml:space="preserve">n </w:t>
            </w:r>
            <w:r>
              <w:t xml:space="preserve">(Harry) </w:t>
            </w:r>
            <w:r w:rsidRPr="009E4518">
              <w:t>Li</w:t>
            </w:r>
            <w:r w:rsidRPr="009E4518">
              <w:br/>
            </w:r>
            <w:r>
              <w:t>TIAA</w:t>
            </w:r>
            <w:r>
              <w:br/>
              <w:t>China</w:t>
            </w:r>
          </w:p>
        </w:tc>
        <w:tc>
          <w:tcPr>
            <w:tcW w:w="4394" w:type="dxa"/>
          </w:tcPr>
          <w:p w14:paraId="1F5BCF52" w14:textId="061B9884" w:rsidR="006E4FCD" w:rsidRPr="00492807" w:rsidRDefault="006E4FCD" w:rsidP="006E4FCD">
            <w:pPr>
              <w:tabs>
                <w:tab w:val="left" w:pos="878"/>
                <w:tab w:val="left" w:pos="1035"/>
              </w:tabs>
              <w:rPr>
                <w:lang w:val="de-CH"/>
              </w:rPr>
            </w:pPr>
            <w:r w:rsidRPr="009E4518">
              <w:t xml:space="preserve">Email: </w:t>
            </w:r>
            <w:hyperlink r:id="rId12" w:history="1">
              <w:r w:rsidRPr="00372977">
                <w:rPr>
                  <w:rStyle w:val="Hyperlink"/>
                </w:rPr>
                <w:t>harry.li@gvmedia.com.cn</w:t>
              </w:r>
            </w:hyperlink>
          </w:p>
        </w:tc>
      </w:tr>
    </w:tbl>
    <w:p w14:paraId="085A7975" w14:textId="77777777" w:rsidR="00492807" w:rsidRPr="008727F2" w:rsidRDefault="00492807" w:rsidP="0042686A">
      <w:pPr>
        <w:spacing w:before="0"/>
        <w:rPr>
          <w:szCs w:val="24"/>
          <w:lang w:val="de-CH" w:eastAsia="ko-K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6E4FCD" w:rsidRPr="00136DDD" w14:paraId="71779F08" w14:textId="77777777" w:rsidTr="006E4FCD">
        <w:trPr>
          <w:cantSplit/>
        </w:trPr>
        <w:tc>
          <w:tcPr>
            <w:tcW w:w="1641" w:type="dxa"/>
          </w:tcPr>
          <w:p w14:paraId="0019233D" w14:textId="77777777" w:rsidR="006E4FCD" w:rsidRPr="00136DDD" w:rsidRDefault="006E4FCD" w:rsidP="006E4FCD">
            <w:pPr>
              <w:rPr>
                <w:b/>
                <w:bCs/>
              </w:rPr>
            </w:pPr>
            <w:r w:rsidRPr="00136DDD">
              <w:rPr>
                <w:b/>
                <w:bCs/>
              </w:rPr>
              <w:t>Keywords:</w:t>
            </w:r>
          </w:p>
        </w:tc>
        <w:tc>
          <w:tcPr>
            <w:tcW w:w="8282" w:type="dxa"/>
          </w:tcPr>
          <w:p w14:paraId="49223DEB" w14:textId="6C283BA9" w:rsidR="006E4FCD" w:rsidRDefault="006E4FCD" w:rsidP="006E4FCD">
            <w:r w:rsidRPr="009E4518">
              <w:t xml:space="preserve">ITU-T Focus Group; </w:t>
            </w:r>
            <w:r w:rsidRPr="00C02948">
              <w:t>Vehicular Multimedia</w:t>
            </w:r>
            <w:r>
              <w:t>; Intelligent Transport Systems; ITS; Internet of Vehicles;</w:t>
            </w:r>
            <w:r w:rsidRPr="00C02948">
              <w:t xml:space="preserve"> </w:t>
            </w:r>
            <w:proofErr w:type="spellStart"/>
            <w:r>
              <w:t>IoV</w:t>
            </w:r>
            <w:proofErr w:type="spellEnd"/>
          </w:p>
        </w:tc>
      </w:tr>
      <w:tr w:rsidR="006E4FCD" w:rsidRPr="00136DDD" w14:paraId="3202CC3C" w14:textId="77777777" w:rsidTr="006E4FCD">
        <w:trPr>
          <w:cantSplit/>
        </w:trPr>
        <w:tc>
          <w:tcPr>
            <w:tcW w:w="1641" w:type="dxa"/>
          </w:tcPr>
          <w:p w14:paraId="151CD704" w14:textId="77777777" w:rsidR="006E4FCD" w:rsidRPr="00136DDD" w:rsidRDefault="006E4FCD" w:rsidP="006E4FCD">
            <w:pPr>
              <w:rPr>
                <w:b/>
                <w:bCs/>
              </w:rPr>
            </w:pPr>
            <w:r w:rsidRPr="00136DDD">
              <w:rPr>
                <w:b/>
                <w:bCs/>
              </w:rPr>
              <w:t>Abstract:</w:t>
            </w:r>
          </w:p>
        </w:tc>
        <w:tc>
          <w:tcPr>
            <w:tcW w:w="8282" w:type="dxa"/>
          </w:tcPr>
          <w:p w14:paraId="569C9D07" w14:textId="5E85ADD7" w:rsidR="006E4FCD" w:rsidRDefault="006E4FCD" w:rsidP="006E4FCD">
            <w:r w:rsidRPr="009E4518">
              <w:t>This LS informs of the creation by ITU-T SG16 of a new ITU-T Focus Group on vehicular multimedia</w:t>
            </w:r>
            <w:r>
              <w:t xml:space="preserve"> and its first meeting plan</w:t>
            </w:r>
            <w:r w:rsidRPr="009E4518">
              <w:t>.</w:t>
            </w:r>
          </w:p>
        </w:tc>
      </w:tr>
    </w:tbl>
    <w:p w14:paraId="3061E600" w14:textId="77777777" w:rsidR="0042686A" w:rsidRDefault="0042686A" w:rsidP="0042686A">
      <w:pPr>
        <w:spacing w:before="0"/>
      </w:pPr>
    </w:p>
    <w:p w14:paraId="287CFB46" w14:textId="77777777" w:rsidR="006E4FCD" w:rsidRPr="009E4518" w:rsidRDefault="006E4FCD" w:rsidP="006E4FCD">
      <w:r w:rsidRPr="009E4518">
        <w:t xml:space="preserve">ITU-T Study Group 16 would kindly like to inform you that it has agreed to establish a new Focus Group on vehicular multimedia (FG-VM), in accordance with ITU-T A.7 §s 2.1 a), 2.1.1 and 2.1.1.1 in particular. The Focus Group will </w:t>
      </w:r>
      <w:r w:rsidRPr="00C02948">
        <w:t>analyse and identify gaps in the vehicular multimedia standardization landscape and eventually draft tec</w:t>
      </w:r>
      <w:bookmarkStart w:id="12" w:name="_GoBack"/>
      <w:bookmarkEnd w:id="12"/>
      <w:r w:rsidRPr="00C02948">
        <w:t>hnical reports and specifications covering, among others, vehicular multimedia use cases, requirements, applications, interfaces, protocols, architectures, security</w:t>
      </w:r>
      <w:r>
        <w:t>, etc</w:t>
      </w:r>
      <w:r w:rsidRPr="009E4518">
        <w:t>.</w:t>
      </w:r>
      <w:r>
        <w:t xml:space="preserve"> More details on the FG-VM remit can be found in its Terms of Reference, see </w:t>
      </w:r>
      <w:hyperlink w:anchor="_1._Rationale_and" w:history="1">
        <w:r w:rsidRPr="001A3FB3">
          <w:rPr>
            <w:rStyle w:val="Hyperlink"/>
          </w:rPr>
          <w:t>ANNEX A</w:t>
        </w:r>
      </w:hyperlink>
      <w:r>
        <w:t>.</w:t>
      </w:r>
      <w:r w:rsidRPr="009E4518">
        <w:t xml:space="preserve"> The Focus Group lifetime is set for two years from the first meeting but extensible if necessary by decision of the parent group</w:t>
      </w:r>
      <w:r>
        <w:t xml:space="preserve"> (ITU-T SG16)</w:t>
      </w:r>
      <w:r w:rsidRPr="009E4518">
        <w:t>.</w:t>
      </w:r>
      <w:r>
        <w:t xml:space="preserve"> </w:t>
      </w:r>
    </w:p>
    <w:p w14:paraId="5DC0878A" w14:textId="77777777" w:rsidR="006E4FCD" w:rsidRPr="009E4518" w:rsidRDefault="006E4FCD" w:rsidP="006E4FCD">
      <w:r w:rsidRPr="009E4518">
        <w:t>The Focus Group management established at the SG16 closing plenary is as follows:</w:t>
      </w:r>
    </w:p>
    <w:p w14:paraId="3E1CB48A" w14:textId="77777777" w:rsidR="006E4FCD" w:rsidRPr="009E4518" w:rsidRDefault="006E4FCD" w:rsidP="006E4FCD">
      <w:pPr>
        <w:numPr>
          <w:ilvl w:val="0"/>
          <w:numId w:val="22"/>
        </w:numPr>
        <w:tabs>
          <w:tab w:val="clear" w:pos="794"/>
          <w:tab w:val="clear" w:pos="1191"/>
          <w:tab w:val="clear" w:pos="1588"/>
          <w:tab w:val="clear" w:pos="1985"/>
        </w:tabs>
        <w:overflowPunct/>
        <w:autoSpaceDE/>
        <w:autoSpaceDN/>
        <w:adjustRightInd/>
        <w:ind w:left="567" w:hanging="567"/>
        <w:textAlignment w:val="auto"/>
      </w:pPr>
      <w:r w:rsidRPr="009E4518">
        <w:t>Chairman: Jun (Harry) Li (TIAA</w:t>
      </w:r>
      <w:r>
        <w:t>, China</w:t>
      </w:r>
      <w:r w:rsidRPr="009E4518">
        <w:t>)</w:t>
      </w:r>
    </w:p>
    <w:p w14:paraId="6E46F230" w14:textId="77777777" w:rsidR="006E4FCD" w:rsidRDefault="006E4FCD" w:rsidP="006E4FCD">
      <w:pPr>
        <w:numPr>
          <w:ilvl w:val="0"/>
          <w:numId w:val="22"/>
        </w:numPr>
        <w:tabs>
          <w:tab w:val="clear" w:pos="794"/>
          <w:tab w:val="clear" w:pos="1191"/>
          <w:tab w:val="clear" w:pos="1588"/>
          <w:tab w:val="clear" w:pos="1985"/>
        </w:tabs>
        <w:overflowPunct/>
        <w:autoSpaceDE/>
        <w:autoSpaceDN/>
        <w:adjustRightInd/>
        <w:ind w:left="567" w:hanging="567"/>
        <w:textAlignment w:val="auto"/>
      </w:pPr>
      <w:r w:rsidRPr="009E4518">
        <w:t xml:space="preserve">Vice chairmen: </w:t>
      </w:r>
      <w:proofErr w:type="spellStart"/>
      <w:r w:rsidRPr="009E4518">
        <w:t>Gaëlle</w:t>
      </w:r>
      <w:proofErr w:type="spellEnd"/>
      <w:r w:rsidRPr="009E4518">
        <w:t xml:space="preserve"> Martin-Cocher (Blackberry, Canada)</w:t>
      </w:r>
    </w:p>
    <w:p w14:paraId="32C61665" w14:textId="77777777" w:rsidR="006E4FCD" w:rsidRPr="009E4518" w:rsidRDefault="006E4FCD" w:rsidP="006E4FCD">
      <w:pPr>
        <w:numPr>
          <w:ilvl w:val="0"/>
          <w:numId w:val="22"/>
        </w:numPr>
        <w:tabs>
          <w:tab w:val="clear" w:pos="794"/>
          <w:tab w:val="clear" w:pos="1191"/>
          <w:tab w:val="clear" w:pos="1588"/>
          <w:tab w:val="clear" w:pos="1985"/>
        </w:tabs>
        <w:overflowPunct/>
        <w:autoSpaceDE/>
        <w:autoSpaceDN/>
        <w:adjustRightInd/>
        <w:ind w:left="567" w:hanging="567"/>
        <w:textAlignment w:val="auto"/>
      </w:pPr>
      <w:r>
        <w:lastRenderedPageBreak/>
        <w:t xml:space="preserve">Interested candidates to join the management team as vice-chairs are requested to contact TSB at </w:t>
      </w:r>
      <w:hyperlink r:id="rId13" w:history="1">
        <w:r w:rsidRPr="0071471F">
          <w:rPr>
            <w:rStyle w:val="Hyperlink"/>
          </w:rPr>
          <w:t>tsbfgvm@itu.int</w:t>
        </w:r>
      </w:hyperlink>
      <w:r>
        <w:t>. Those candidatures will be evaluated and agreed by the FG-VM and announced at their meetings.</w:t>
      </w:r>
    </w:p>
    <w:p w14:paraId="7455FD60" w14:textId="77777777" w:rsidR="006E4FCD" w:rsidRPr="009E4518" w:rsidRDefault="006E4FCD" w:rsidP="006E4FCD">
      <w:r w:rsidRPr="009E4518">
        <w:t xml:space="preserve">The </w:t>
      </w:r>
      <w:proofErr w:type="spellStart"/>
      <w:r w:rsidRPr="009E4518">
        <w:t>ToR</w:t>
      </w:r>
      <w:proofErr w:type="spellEnd"/>
      <w:r w:rsidRPr="009E4518">
        <w:t xml:space="preserve"> of the Focus Group are annexed to this LS and are also available online at </w:t>
      </w:r>
      <w:hyperlink r:id="rId14" w:history="1">
        <w:r w:rsidRPr="00372977">
          <w:rPr>
            <w:rStyle w:val="Hyperlink"/>
          </w:rPr>
          <w:t>https://itu.int/en/ITU-T/focusgroups/vm/Documents/FG-VM-ToR.pdf</w:t>
        </w:r>
      </w:hyperlink>
      <w:r w:rsidRPr="009E4518">
        <w:t>.</w:t>
      </w:r>
    </w:p>
    <w:p w14:paraId="21E6402A" w14:textId="77777777" w:rsidR="006E4FCD" w:rsidRPr="009E4518" w:rsidRDefault="006E4FCD" w:rsidP="006E4FCD">
      <w:r w:rsidRPr="009E4518">
        <w:t>The home page for the new FG is</w:t>
      </w:r>
      <w:r>
        <w:t xml:space="preserve"> being developed and will be available at</w:t>
      </w:r>
      <w:r w:rsidRPr="009E4518">
        <w:t xml:space="preserve"> </w:t>
      </w:r>
      <w:hyperlink r:id="rId15" w:history="1">
        <w:r w:rsidRPr="008E5A51">
          <w:rPr>
            <w:rStyle w:val="Hyperlink"/>
          </w:rPr>
          <w:t>https://itu.int/go/fgvm</w:t>
        </w:r>
      </w:hyperlink>
      <w:r w:rsidRPr="009E4518">
        <w:t>.</w:t>
      </w:r>
    </w:p>
    <w:p w14:paraId="19386181" w14:textId="77777777" w:rsidR="006E4FCD" w:rsidRPr="009E4518" w:rsidRDefault="006E4FCD" w:rsidP="006E4FCD">
      <w:r w:rsidRPr="009E4518">
        <w:t xml:space="preserve">The first </w:t>
      </w:r>
      <w:r w:rsidRPr="00A94F10">
        <w:t>meeting of FG-VM is planned in Ottawa, Canada, 11 October 2018</w:t>
      </w:r>
      <w:r>
        <w:t>,</w:t>
      </w:r>
      <w:r w:rsidRPr="00A94F10">
        <w:t xml:space="preserve"> hosted by </w:t>
      </w:r>
      <w:r w:rsidRPr="008F4EC2">
        <w:t>BlackBerry</w:t>
      </w:r>
      <w:r w:rsidRPr="00A94F10">
        <w:t>. Check the FG-VM home</w:t>
      </w:r>
      <w:r>
        <w:t xml:space="preserve"> page for details and updates.</w:t>
      </w:r>
    </w:p>
    <w:p w14:paraId="230147F7" w14:textId="77777777" w:rsidR="006E4FCD" w:rsidRDefault="006E4FCD" w:rsidP="006E4FCD">
      <w:r w:rsidRPr="009E4518">
        <w:t>SG16 appreciates your interest and collaboration on this topic.</w:t>
      </w:r>
    </w:p>
    <w:p w14:paraId="033287C1" w14:textId="77777777" w:rsidR="006E4FCD" w:rsidRDefault="006E4FCD" w:rsidP="006E4FCD">
      <w:r>
        <w:t xml:space="preserve">For further information needed contact the secretariat at </w:t>
      </w:r>
      <w:hyperlink r:id="rId16" w:history="1">
        <w:r w:rsidRPr="0071471F">
          <w:rPr>
            <w:rStyle w:val="Hyperlink"/>
          </w:rPr>
          <w:t>tsbfgvm@itu.int</w:t>
        </w:r>
      </w:hyperlink>
      <w:r>
        <w:t>.</w:t>
      </w:r>
    </w:p>
    <w:p w14:paraId="448EB35B" w14:textId="77777777" w:rsidR="006E4FCD" w:rsidRDefault="006E4FCD" w:rsidP="006E4FCD"/>
    <w:p w14:paraId="31838566" w14:textId="77777777" w:rsidR="006E4FCD" w:rsidRPr="009E4518" w:rsidRDefault="006E4FCD" w:rsidP="006E4FCD">
      <w:r>
        <w:t>ANNEX A</w:t>
      </w:r>
    </w:p>
    <w:p w14:paraId="1DA174A5" w14:textId="77777777" w:rsidR="006E4FCD" w:rsidRPr="009E4518" w:rsidRDefault="006E4FCD" w:rsidP="006E4FCD">
      <w:r>
        <w:t>-</w:t>
      </w:r>
      <w:r>
        <w:tab/>
      </w:r>
      <w:r w:rsidRPr="0076355D">
        <w:t>Terms of Reference of FG-VM</w:t>
      </w:r>
    </w:p>
    <w:p w14:paraId="5604A892" w14:textId="77777777" w:rsidR="006E4FCD" w:rsidRPr="009E4518" w:rsidRDefault="006E4FCD" w:rsidP="006E4FCD">
      <w:pPr>
        <w:pStyle w:val="AnnexNotitle"/>
        <w:pageBreakBefore/>
        <w:rPr>
          <w:color w:val="000000"/>
          <w:lang w:eastAsia="zh-CN"/>
        </w:rPr>
      </w:pPr>
      <w:r w:rsidRPr="009E4518">
        <w:lastRenderedPageBreak/>
        <w:t>ANNEX A:</w:t>
      </w:r>
      <w:r>
        <w:t xml:space="preserve"> TERMS OF REFERENCE</w:t>
      </w:r>
      <w:r w:rsidRPr="009E4518">
        <w:br/>
      </w:r>
      <w:r w:rsidRPr="009E4518">
        <w:br/>
        <w:t xml:space="preserve">ITU-T Focus Group on </w:t>
      </w:r>
      <w:r w:rsidRPr="009E4518">
        <w:rPr>
          <w:lang w:eastAsia="zh-CN"/>
        </w:rPr>
        <w:t>"</w:t>
      </w:r>
      <w:r w:rsidRPr="009E4518">
        <w:rPr>
          <w:rFonts w:cs="SimSun"/>
          <w:kern w:val="2"/>
          <w:lang w:eastAsia="zh-CN"/>
        </w:rPr>
        <w:t>Vehicular Multimedia</w:t>
      </w:r>
      <w:r w:rsidRPr="009E4518">
        <w:rPr>
          <w:lang w:eastAsia="zh-CN"/>
        </w:rPr>
        <w:t>" (FG-VM)</w:t>
      </w:r>
    </w:p>
    <w:p w14:paraId="0BC3BF96" w14:textId="77777777" w:rsidR="006E4FCD" w:rsidRPr="009E4518" w:rsidRDefault="006E4FCD" w:rsidP="006E4FCD">
      <w:pPr>
        <w:jc w:val="center"/>
      </w:pPr>
      <w:r w:rsidRPr="009E4518">
        <w:t>(Approved by ITU-T SG16 on 2018-07-20)</w:t>
      </w:r>
    </w:p>
    <w:p w14:paraId="6F998919" w14:textId="77777777" w:rsidR="006E4FCD" w:rsidRPr="00386157" w:rsidRDefault="006E4FCD" w:rsidP="006E4FCD">
      <w:pPr>
        <w:pStyle w:val="Heading2"/>
      </w:pPr>
      <w:bookmarkStart w:id="13" w:name="_1._Rationale_and"/>
      <w:bookmarkEnd w:id="13"/>
      <w:r w:rsidRPr="009E4518">
        <w:t>1. Rationale and Scope</w:t>
      </w:r>
    </w:p>
    <w:p w14:paraId="702D7958" w14:textId="77777777" w:rsidR="006E4FCD" w:rsidRPr="009E4518" w:rsidRDefault="006E4FCD" w:rsidP="006E4FCD">
      <w:pPr>
        <w:spacing w:after="240"/>
        <w:rPr>
          <w:color w:val="000000"/>
        </w:rPr>
      </w:pPr>
      <w:r w:rsidRPr="009E4518">
        <w:rPr>
          <w:color w:val="000000"/>
        </w:rPr>
        <w:t xml:space="preserve">With the convergence of different networks, the vehicle will change from a transport tool to an infotainment space and smart living platform. As ADAS (Advanced Driver Assistance System) and automatic driving technology is evolving, the vehicle will be </w:t>
      </w:r>
      <w:r w:rsidRPr="009E4518">
        <w:rPr>
          <w:rFonts w:hint="eastAsia"/>
          <w:color w:val="000000"/>
          <w:lang w:eastAsia="zh-CN"/>
        </w:rPr>
        <w:t>the</w:t>
      </w:r>
      <w:r w:rsidRPr="009E4518">
        <w:rPr>
          <w:color w:val="000000"/>
          <w:lang w:eastAsia="zh-CN"/>
        </w:rPr>
        <w:t xml:space="preserve"> </w:t>
      </w:r>
      <w:r w:rsidRPr="009E4518">
        <w:rPr>
          <w:color w:val="000000"/>
        </w:rPr>
        <w:t>3</w:t>
      </w:r>
      <w:r w:rsidRPr="009E4518">
        <w:rPr>
          <w:color w:val="000000"/>
          <w:vertAlign w:val="superscript"/>
        </w:rPr>
        <w:t>rd</w:t>
      </w:r>
      <w:r w:rsidRPr="009E4518">
        <w:rPr>
          <w:color w:val="000000"/>
        </w:rPr>
        <w:t xml:space="preserve"> living and infotainment space besides home and office.</w:t>
      </w:r>
    </w:p>
    <w:p w14:paraId="1B950927" w14:textId="77777777" w:rsidR="006E4FCD" w:rsidRPr="009E4518" w:rsidRDefault="006E4FCD" w:rsidP="006E4FCD">
      <w:pPr>
        <w:spacing w:after="240"/>
      </w:pPr>
      <w:r w:rsidRPr="009E4518">
        <w:rPr>
          <w:color w:val="000000"/>
        </w:rPr>
        <w:t>As for vehicular multimedia contents, satellite broadcasting and satellite communication (for example, mobile broadcasting satellite, low-orbit satellite constellation and high-orbit high-throughput communication satellite) will play an important role due to their advantages of wide coverage, low investment, fast transmission speed and high flexibility. The convergence of networks will provide low cost, wide coverage and good interactivity for vehicular multimedia solution.</w:t>
      </w:r>
    </w:p>
    <w:p w14:paraId="3F8CCB19" w14:textId="77777777" w:rsidR="006E4FCD" w:rsidRPr="009E4518" w:rsidRDefault="006E4FCD" w:rsidP="006E4FCD">
      <w:r w:rsidRPr="009E4518">
        <w:t>Meanwhile, vehicular multimedia terminals are also evolving to support networks integration, contents integration, intelligent display, intelligent voice interaction, high-precision navigation and various applications as well as interconnection between in-vehicle devices and nomadic devices.</w:t>
      </w:r>
    </w:p>
    <w:p w14:paraId="17586530" w14:textId="77777777" w:rsidR="006E4FCD" w:rsidRPr="009E4518" w:rsidRDefault="006E4FCD" w:rsidP="006E4FCD">
      <w:pPr>
        <w:rPr>
          <w:highlight w:val="yellow"/>
        </w:rPr>
      </w:pPr>
      <w:r w:rsidRPr="009E4518">
        <w:t xml:space="preserve">A Focus Group on Vehicular Multimedia (FG-VM) is established to identify the need for new vehicular multimedia standards based on space and terrestrial networks integration. The study will evaluate related software, hardware, and valued-added service to derive use cases. </w:t>
      </w:r>
      <w:r w:rsidRPr="009E4518">
        <w:rPr>
          <w:rFonts w:hint="eastAsia"/>
          <w:lang w:eastAsia="zh-CN"/>
        </w:rPr>
        <w:t>I</w:t>
      </w:r>
      <w:r w:rsidRPr="009E4518">
        <w:rPr>
          <w:lang w:eastAsia="zh-CN"/>
        </w:rPr>
        <w:t xml:space="preserve">t </w:t>
      </w:r>
      <w:r w:rsidRPr="009E4518">
        <w:t>focuses on vehicular multimedia services and infotainment applications, not aiming at changing existing transmission protocols and channels, such as terrestrial broadcasting, satellite broadcasting, and mobile cellular network. The FG-VM will also leverage the work done by ITU in its previous Focus Group on Driver’s Distraction [1], ITU-T SG16 Q27/16 and the ITU-T P.1100-P.1199 series [2] when relevant.</w:t>
      </w:r>
    </w:p>
    <w:p w14:paraId="352E9384" w14:textId="77777777" w:rsidR="006E4FCD" w:rsidRPr="009E4518" w:rsidRDefault="006E4FCD" w:rsidP="006E4FCD">
      <w:pPr>
        <w:pStyle w:val="Heading2"/>
        <w:rPr>
          <w:rFonts w:eastAsia="Microsoft YaHei"/>
          <w:lang w:eastAsia="zh-CN"/>
        </w:rPr>
      </w:pPr>
      <w:r w:rsidRPr="009E4518">
        <w:t>2. Objectives</w:t>
      </w:r>
    </w:p>
    <w:p w14:paraId="56DE07D1" w14:textId="77777777" w:rsidR="006E4FCD" w:rsidRPr="009E4518" w:rsidRDefault="006E4FCD" w:rsidP="006E4FCD">
      <w:r w:rsidRPr="009E4518">
        <w:t xml:space="preserve">The objectives of FG-VM is to conduct an analysis of vehicular multimedia in order to identify relevant gaps and issues in standardization activities related to this topic, to derive use cases, possible requirements and architectures. The group also serves as an open platform for experts representing ITU members and non-members to quickly move forward studies on technology, standard and application relevant to vehicular multimedia. </w:t>
      </w:r>
    </w:p>
    <w:p w14:paraId="1EDEC71A" w14:textId="77777777" w:rsidR="006E4FCD" w:rsidRPr="009E4518" w:rsidRDefault="006E4FCD" w:rsidP="006E4FCD">
      <w:r w:rsidRPr="009E4518">
        <w:t>More precisely, the objectives include:</w:t>
      </w:r>
    </w:p>
    <w:p w14:paraId="6388F2AE" w14:textId="77777777" w:rsidR="006E4FCD" w:rsidRPr="009E4518" w:rsidRDefault="006E4FCD" w:rsidP="006E4FCD">
      <w:pPr>
        <w:numPr>
          <w:ilvl w:val="0"/>
          <w:numId w:val="24"/>
        </w:numPr>
        <w:tabs>
          <w:tab w:val="clear" w:pos="794"/>
          <w:tab w:val="clear" w:pos="1191"/>
          <w:tab w:val="clear" w:pos="1588"/>
          <w:tab w:val="clear" w:pos="1985"/>
        </w:tabs>
        <w:overflowPunct/>
        <w:autoSpaceDE/>
        <w:autoSpaceDN/>
        <w:adjustRightInd/>
        <w:ind w:left="567" w:hanging="567"/>
        <w:textAlignment w:val="auto"/>
      </w:pPr>
      <w:r w:rsidRPr="009E4518">
        <w:t>To study, gather information and develop a standards research orientation and standards research plan related to vehicular multimedia in the fields of intelligent voice interaction, interconnection between vehicular terminal and smart phone, connectivity for high precision navigation and various other applications;</w:t>
      </w:r>
    </w:p>
    <w:p w14:paraId="17D2ECEF" w14:textId="77777777" w:rsidR="006E4FCD" w:rsidRPr="009E4518" w:rsidRDefault="006E4FCD" w:rsidP="006E4FCD">
      <w:pPr>
        <w:numPr>
          <w:ilvl w:val="0"/>
          <w:numId w:val="24"/>
        </w:numPr>
        <w:tabs>
          <w:tab w:val="clear" w:pos="794"/>
          <w:tab w:val="clear" w:pos="1191"/>
          <w:tab w:val="clear" w:pos="1588"/>
          <w:tab w:val="clear" w:pos="1985"/>
        </w:tabs>
        <w:overflowPunct/>
        <w:autoSpaceDE/>
        <w:autoSpaceDN/>
        <w:adjustRightInd/>
        <w:ind w:left="567" w:hanging="567"/>
        <w:textAlignment w:val="auto"/>
      </w:pPr>
      <w:r w:rsidRPr="009E4518">
        <w:t>To develop corresponding use cases and requirements of vehicular multimedia enabled by converged networks;</w:t>
      </w:r>
    </w:p>
    <w:p w14:paraId="11D839A2" w14:textId="77777777" w:rsidR="006E4FCD" w:rsidRPr="009E4518" w:rsidRDefault="006E4FCD" w:rsidP="006E4FCD">
      <w:pPr>
        <w:numPr>
          <w:ilvl w:val="0"/>
          <w:numId w:val="24"/>
        </w:numPr>
        <w:tabs>
          <w:tab w:val="clear" w:pos="794"/>
          <w:tab w:val="clear" w:pos="1191"/>
          <w:tab w:val="clear" w:pos="1588"/>
          <w:tab w:val="clear" w:pos="1985"/>
        </w:tabs>
        <w:overflowPunct/>
        <w:autoSpaceDE/>
        <w:autoSpaceDN/>
        <w:adjustRightInd/>
        <w:ind w:left="567" w:hanging="567"/>
        <w:textAlignment w:val="auto"/>
      </w:pPr>
      <w:r w:rsidRPr="009E4518">
        <w:t>To study architectures, interfaces, protocols, data formats, interoperability, performance evaluation, security and protection of personal information for vehicular multimedia;</w:t>
      </w:r>
    </w:p>
    <w:p w14:paraId="2F27C728" w14:textId="77777777" w:rsidR="006E4FCD" w:rsidRPr="009E4518" w:rsidRDefault="006E4FCD" w:rsidP="006E4FCD">
      <w:pPr>
        <w:numPr>
          <w:ilvl w:val="0"/>
          <w:numId w:val="24"/>
        </w:numPr>
        <w:tabs>
          <w:tab w:val="clear" w:pos="794"/>
          <w:tab w:val="clear" w:pos="1191"/>
          <w:tab w:val="clear" w:pos="1588"/>
          <w:tab w:val="clear" w:pos="1985"/>
        </w:tabs>
        <w:overflowPunct/>
        <w:autoSpaceDE/>
        <w:autoSpaceDN/>
        <w:adjustRightInd/>
        <w:ind w:left="567" w:hanging="567"/>
        <w:textAlignment w:val="auto"/>
      </w:pPr>
      <w:r w:rsidRPr="009E4518">
        <w:lastRenderedPageBreak/>
        <w:t>To produce a gap analysis of vehicular multimedia standardization in order to identify the relevant scope of possible future ITU-T Recommendations on these topics and develop a roadmap for vehicular multimedia;</w:t>
      </w:r>
    </w:p>
    <w:p w14:paraId="24101210" w14:textId="77777777" w:rsidR="006E4FCD" w:rsidRPr="009E4518" w:rsidRDefault="006E4FCD" w:rsidP="006E4FCD">
      <w:pPr>
        <w:numPr>
          <w:ilvl w:val="0"/>
          <w:numId w:val="24"/>
        </w:numPr>
        <w:tabs>
          <w:tab w:val="clear" w:pos="794"/>
          <w:tab w:val="clear" w:pos="1191"/>
          <w:tab w:val="clear" w:pos="1588"/>
          <w:tab w:val="clear" w:pos="1985"/>
        </w:tabs>
        <w:overflowPunct/>
        <w:autoSpaceDE/>
        <w:autoSpaceDN/>
        <w:adjustRightInd/>
        <w:ind w:left="567" w:hanging="567"/>
        <w:textAlignment w:val="auto"/>
      </w:pPr>
      <w:r w:rsidRPr="009E4518">
        <w:t>To establish liaisons and relationships with other organizations which could contribute to the standardization activities for vehicular multimedia.</w:t>
      </w:r>
    </w:p>
    <w:p w14:paraId="1791C310" w14:textId="77777777" w:rsidR="006E4FCD" w:rsidRPr="009E4518" w:rsidRDefault="006E4FCD" w:rsidP="006E4FCD">
      <w:pPr>
        <w:pStyle w:val="Heading2"/>
        <w:rPr>
          <w:highlight w:val="yellow"/>
          <w:lang w:eastAsia="zh-CN"/>
        </w:rPr>
      </w:pPr>
      <w:r w:rsidRPr="009E4518">
        <w:t>3. Structure</w:t>
      </w:r>
    </w:p>
    <w:p w14:paraId="4DF4E8B8" w14:textId="77777777" w:rsidR="006E4FCD" w:rsidRPr="009E4518" w:rsidRDefault="006E4FCD" w:rsidP="006E4FCD">
      <w:pPr>
        <w:jc w:val="both"/>
        <w:rPr>
          <w:rFonts w:eastAsia="MS Mincho"/>
        </w:rPr>
      </w:pPr>
      <w:r w:rsidRPr="009E4518">
        <w:rPr>
          <w:rFonts w:eastAsia="MS Mincho"/>
        </w:rPr>
        <w:t xml:space="preserve">The </w:t>
      </w:r>
      <w:r w:rsidRPr="009E4518">
        <w:t>FG-VM</w:t>
      </w:r>
      <w:r w:rsidRPr="009E4518">
        <w:rPr>
          <w:rFonts w:eastAsia="MS Mincho"/>
        </w:rPr>
        <w:t xml:space="preserve"> will establish working groups as needed.</w:t>
      </w:r>
    </w:p>
    <w:p w14:paraId="4790C59E" w14:textId="77777777" w:rsidR="006E4FCD" w:rsidRPr="009E4518" w:rsidRDefault="006E4FCD" w:rsidP="006E4FCD">
      <w:pPr>
        <w:pStyle w:val="Heading2"/>
        <w:rPr>
          <w:lang w:eastAsia="zh-CN"/>
        </w:rPr>
      </w:pPr>
      <w:r w:rsidRPr="009E4518">
        <w:t>4. Specific Tasks and Deliverables</w:t>
      </w:r>
    </w:p>
    <w:p w14:paraId="17FA1205"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rPr>
          <w:lang w:eastAsia="fr-FR"/>
        </w:rPr>
        <w:t>To provide terminology and taxonomy for VM;</w:t>
      </w:r>
    </w:p>
    <w:p w14:paraId="6F921890"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gather information on initiatives pertaining to VM enabled by converged networks and to identify existing standards, best practises and challenges for the adoption of VM in the context of converged networks;</w:t>
      </w:r>
    </w:p>
    <w:p w14:paraId="52C548D8"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describe the VM ecosystem enabled by converged networks and the roles and activities of the different stakeholders of this ecosystem;</w:t>
      </w:r>
    </w:p>
    <w:p w14:paraId="75885C1C"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define possible requirements on VM;</w:t>
      </w:r>
    </w:p>
    <w:p w14:paraId="0B428F9E"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draft technical reports for VM enabled by converged networks which may include architectures, interfaces, protocols and data formats;</w:t>
      </w:r>
    </w:p>
    <w:p w14:paraId="138C542D"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send the final deliverables to ITU-T Study Group 16 at least four calendar weeks before the parent group’s next meeting in accordance with Recommendation ITU-T A.7;</w:t>
      </w:r>
    </w:p>
    <w:p w14:paraId="09860988"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To analyse the standardization gaps related to VM and develop a future standardization roadmap, taking into consideration the activities currently undertaken by other ITU groups,  various standards developing organizations (SDOs) and forums;</w:t>
      </w:r>
    </w:p>
    <w:p w14:paraId="76286F4F"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rPr>
          <w:lang w:eastAsia="fr-FR"/>
        </w:rPr>
        <w:t xml:space="preserve">To develop a list of SDOs, forums, consortia and other entities dealing with aspects of VM </w:t>
      </w:r>
      <w:r w:rsidRPr="009E4518">
        <w:t>and liaise with the organizations that could contribute to the standardization activities on VM;</w:t>
      </w:r>
    </w:p>
    <w:p w14:paraId="08431FCA" w14:textId="77777777" w:rsidR="006E4FCD" w:rsidRPr="009E4518" w:rsidRDefault="006E4FCD" w:rsidP="006E4FCD">
      <w:pPr>
        <w:numPr>
          <w:ilvl w:val="0"/>
          <w:numId w:val="23"/>
        </w:numPr>
        <w:tabs>
          <w:tab w:val="clear" w:pos="794"/>
          <w:tab w:val="clear" w:pos="1191"/>
          <w:tab w:val="clear" w:pos="1588"/>
          <w:tab w:val="clear" w:pos="1985"/>
        </w:tabs>
        <w:overflowPunct/>
        <w:autoSpaceDE/>
        <w:autoSpaceDN/>
        <w:adjustRightInd/>
        <w:ind w:left="567" w:hanging="567"/>
        <w:textAlignment w:val="auto"/>
      </w:pPr>
      <w:r w:rsidRPr="009E4518">
        <w:t xml:space="preserve">To organise thematic workshops and forums on VM to bring together all stakeholders, and promote the FG-VM activities and encourage both ITU members and non-ITU members to join its work. </w:t>
      </w:r>
    </w:p>
    <w:p w14:paraId="1227460D" w14:textId="77777777" w:rsidR="006E4FCD" w:rsidRPr="009E4518" w:rsidRDefault="006E4FCD" w:rsidP="006E4FCD">
      <w:pPr>
        <w:pStyle w:val="Note"/>
      </w:pPr>
      <w:r w:rsidRPr="009E4518">
        <w:t>NOTE – The needs of persons with disabilities will be taken into account in undertaking the tasks above and preparation of deliverables. It is expected that using vehicular multimedia will improve the user experience and will increase driving safety for persons with disabilities.</w:t>
      </w:r>
    </w:p>
    <w:p w14:paraId="07B72702" w14:textId="77777777" w:rsidR="006E4FCD" w:rsidRPr="009E4518" w:rsidRDefault="006E4FCD" w:rsidP="006E4FCD">
      <w:pPr>
        <w:pStyle w:val="Heading2"/>
        <w:rPr>
          <w:lang w:eastAsia="zh-CN"/>
        </w:rPr>
      </w:pPr>
      <w:r w:rsidRPr="009E4518">
        <w:rPr>
          <w:lang w:eastAsia="zh-CN"/>
        </w:rPr>
        <w:t>5</w:t>
      </w:r>
      <w:r w:rsidRPr="009E4518">
        <w:rPr>
          <w:rFonts w:hint="eastAsia"/>
          <w:lang w:eastAsia="zh-CN"/>
        </w:rPr>
        <w:t>.</w:t>
      </w:r>
      <w:r w:rsidRPr="009E4518">
        <w:rPr>
          <w:lang w:eastAsia="zh-CN"/>
        </w:rPr>
        <w:t xml:space="preserve"> </w:t>
      </w:r>
      <w:r w:rsidRPr="009E4518">
        <w:t>Relationships</w:t>
      </w:r>
    </w:p>
    <w:p w14:paraId="186039BE" w14:textId="77777777" w:rsidR="006E4FCD" w:rsidRPr="009E4518" w:rsidRDefault="006E4FCD" w:rsidP="006E4FCD">
      <w:pPr>
        <w:jc w:val="both"/>
      </w:pPr>
      <w:r w:rsidRPr="009E4518">
        <w:t>This Focus Group will work closely with SG16 through co-located meetings when possible. It will establish and maintain task-appropriate collaboration arrangements with other groups in ITU.</w:t>
      </w:r>
    </w:p>
    <w:p w14:paraId="3E93E279" w14:textId="77777777" w:rsidR="006E4FCD" w:rsidRPr="009E4518" w:rsidRDefault="006E4FCD" w:rsidP="006E4FCD">
      <w:r w:rsidRPr="009E4518">
        <w:t>The FG-VM will collaborate with,</w:t>
      </w:r>
    </w:p>
    <w:p w14:paraId="4A641B7E" w14:textId="77777777" w:rsidR="006E4FCD" w:rsidRPr="009E4518" w:rsidRDefault="006E4FCD" w:rsidP="006E4FCD">
      <w:pPr>
        <w:numPr>
          <w:ilvl w:val="0"/>
          <w:numId w:val="25"/>
        </w:numPr>
        <w:tabs>
          <w:tab w:val="clear" w:pos="794"/>
          <w:tab w:val="clear" w:pos="1191"/>
          <w:tab w:val="clear" w:pos="1588"/>
          <w:tab w:val="clear" w:pos="1985"/>
        </w:tabs>
        <w:overflowPunct/>
        <w:autoSpaceDE/>
        <w:autoSpaceDN/>
        <w:adjustRightInd/>
        <w:ind w:left="567" w:hanging="567"/>
        <w:textAlignment w:val="auto"/>
      </w:pPr>
      <w:r w:rsidRPr="009E4518">
        <w:t xml:space="preserve">ITU-T SG12 to leverage the P.1100-P.1199 </w:t>
      </w:r>
      <w:r w:rsidRPr="009E4518">
        <w:rPr>
          <w:bCs/>
        </w:rPr>
        <w:t>series</w:t>
      </w:r>
      <w:r w:rsidRPr="009E4518">
        <w:t xml:space="preserve"> on communications involving vehicles and the outcomes of the Focus Group on Driver Distraction</w:t>
      </w:r>
    </w:p>
    <w:p w14:paraId="7D7F7AF3" w14:textId="77777777" w:rsidR="006E4FCD" w:rsidRPr="009E4518" w:rsidRDefault="006E4FCD" w:rsidP="006E4FCD">
      <w:pPr>
        <w:numPr>
          <w:ilvl w:val="0"/>
          <w:numId w:val="25"/>
        </w:numPr>
        <w:tabs>
          <w:tab w:val="clear" w:pos="794"/>
          <w:tab w:val="clear" w:pos="1191"/>
          <w:tab w:val="clear" w:pos="1588"/>
          <w:tab w:val="clear" w:pos="1985"/>
        </w:tabs>
        <w:overflowPunct/>
        <w:autoSpaceDE/>
        <w:autoSpaceDN/>
        <w:adjustRightInd/>
        <w:ind w:left="567" w:hanging="567"/>
        <w:textAlignment w:val="auto"/>
      </w:pPr>
      <w:r w:rsidRPr="009E4518">
        <w:t>ITU-R SG4 and SG5 on connectivity for high precision navigation</w:t>
      </w:r>
    </w:p>
    <w:p w14:paraId="1E9CB5BD" w14:textId="77777777" w:rsidR="006E4FCD" w:rsidRPr="009E4518" w:rsidRDefault="006E4FCD" w:rsidP="006E4FCD">
      <w:pPr>
        <w:numPr>
          <w:ilvl w:val="0"/>
          <w:numId w:val="25"/>
        </w:numPr>
        <w:tabs>
          <w:tab w:val="clear" w:pos="794"/>
          <w:tab w:val="clear" w:pos="1191"/>
          <w:tab w:val="clear" w:pos="1588"/>
          <w:tab w:val="clear" w:pos="1985"/>
        </w:tabs>
        <w:overflowPunct/>
        <w:autoSpaceDE/>
        <w:autoSpaceDN/>
        <w:adjustRightInd/>
        <w:ind w:left="567" w:hanging="567"/>
        <w:textAlignment w:val="auto"/>
      </w:pPr>
      <w:r w:rsidRPr="009E4518">
        <w:t>ITU-T SG17 on security and protection of personal information for vehicular multimedia</w:t>
      </w:r>
    </w:p>
    <w:p w14:paraId="7CF4D811" w14:textId="77777777" w:rsidR="006E4FCD" w:rsidRPr="009E4518" w:rsidRDefault="006E4FCD" w:rsidP="006E4FCD">
      <w:pPr>
        <w:numPr>
          <w:ilvl w:val="0"/>
          <w:numId w:val="25"/>
        </w:numPr>
        <w:tabs>
          <w:tab w:val="clear" w:pos="794"/>
          <w:tab w:val="clear" w:pos="1191"/>
          <w:tab w:val="clear" w:pos="1588"/>
          <w:tab w:val="clear" w:pos="1985"/>
        </w:tabs>
        <w:overflowPunct/>
        <w:autoSpaceDE/>
        <w:autoSpaceDN/>
        <w:adjustRightInd/>
        <w:ind w:left="567" w:hanging="567"/>
        <w:textAlignment w:val="auto"/>
      </w:pPr>
      <w:r w:rsidRPr="009E4518">
        <w:t>ITU-T Q27/16 on vehicle gateway platform for telecommunication and ITS services and applications</w:t>
      </w:r>
    </w:p>
    <w:p w14:paraId="5811FE28" w14:textId="77777777" w:rsidR="006E4FCD" w:rsidRPr="009E4518" w:rsidRDefault="006E4FCD" w:rsidP="006E4FCD">
      <w:pPr>
        <w:jc w:val="both"/>
      </w:pPr>
      <w:r w:rsidRPr="009E4518">
        <w:lastRenderedPageBreak/>
        <w:t>Furthermore, the FG-</w:t>
      </w:r>
      <w:r w:rsidRPr="009E4518">
        <w:rPr>
          <w:rFonts w:hint="eastAsia"/>
          <w:lang w:eastAsia="zh-CN"/>
        </w:rPr>
        <w:t>VM</w:t>
      </w:r>
      <w:r w:rsidRPr="009E4518">
        <w:t xml:space="preserve">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p>
    <w:p w14:paraId="455039A5" w14:textId="77777777" w:rsidR="006E4FCD" w:rsidRPr="009E4518" w:rsidRDefault="006E4FCD" w:rsidP="006E4FCD">
      <w:pPr>
        <w:pStyle w:val="Heading2"/>
        <w:rPr>
          <w:lang w:eastAsia="zh-CN"/>
        </w:rPr>
      </w:pPr>
      <w:r w:rsidRPr="009E4518">
        <w:rPr>
          <w:lang w:eastAsia="zh-CN"/>
        </w:rPr>
        <w:t>6</w:t>
      </w:r>
      <w:r w:rsidRPr="009E4518">
        <w:rPr>
          <w:rFonts w:hint="eastAsia"/>
          <w:lang w:eastAsia="zh-CN"/>
        </w:rPr>
        <w:t xml:space="preserve">. </w:t>
      </w:r>
      <w:r w:rsidRPr="009E4518">
        <w:t>Parent group</w:t>
      </w:r>
    </w:p>
    <w:p w14:paraId="31C0451C" w14:textId="77777777" w:rsidR="006E4FCD" w:rsidRPr="009E4518" w:rsidRDefault="006E4FCD" w:rsidP="006E4FCD">
      <w:pPr>
        <w:jc w:val="both"/>
      </w:pPr>
      <w:r w:rsidRPr="009E4518">
        <w:t xml:space="preserve">The parent group of the FG-VM is </w:t>
      </w:r>
      <w:r w:rsidRPr="009E4518">
        <w:rPr>
          <w:b/>
        </w:rPr>
        <w:t>ITU-T Study Group 16</w:t>
      </w:r>
      <w:r w:rsidRPr="009E4518">
        <w:t xml:space="preserve"> "Multimedia coding, systems and applications".</w:t>
      </w:r>
    </w:p>
    <w:p w14:paraId="382818AA" w14:textId="77777777" w:rsidR="006E4FCD" w:rsidRPr="009E4518" w:rsidRDefault="006E4FCD" w:rsidP="006E4FCD">
      <w:pPr>
        <w:pStyle w:val="Heading2"/>
      </w:pPr>
      <w:r w:rsidRPr="009E4518">
        <w:rPr>
          <w:lang w:eastAsia="zh-CN"/>
        </w:rPr>
        <w:t>7</w:t>
      </w:r>
      <w:r w:rsidRPr="009E4518">
        <w:rPr>
          <w:rFonts w:hint="eastAsia"/>
          <w:lang w:eastAsia="zh-CN"/>
        </w:rPr>
        <w:t>.</w:t>
      </w:r>
      <w:r w:rsidRPr="009E4518">
        <w:t xml:space="preserve"> Leadership </w:t>
      </w:r>
    </w:p>
    <w:p w14:paraId="75471542" w14:textId="77777777" w:rsidR="006E4FCD" w:rsidRPr="009E4518" w:rsidRDefault="006E4FCD" w:rsidP="006E4FCD">
      <w:pPr>
        <w:jc w:val="both"/>
        <w:rPr>
          <w:lang w:eastAsia="zh-CN"/>
        </w:rPr>
      </w:pPr>
      <w:r w:rsidRPr="009E4518">
        <w:t>See clause 2.3 of Recommendation ITU-T A.7.</w:t>
      </w:r>
    </w:p>
    <w:p w14:paraId="43078D92" w14:textId="77777777" w:rsidR="006E4FCD" w:rsidRPr="009E4518" w:rsidRDefault="006E4FCD" w:rsidP="006E4FCD">
      <w:pPr>
        <w:pStyle w:val="Heading2"/>
      </w:pPr>
      <w:r w:rsidRPr="009E4518">
        <w:rPr>
          <w:lang w:eastAsia="zh-CN"/>
        </w:rPr>
        <w:t>8</w:t>
      </w:r>
      <w:r w:rsidRPr="009E4518">
        <w:rPr>
          <w:rFonts w:hint="eastAsia"/>
          <w:lang w:eastAsia="zh-CN"/>
        </w:rPr>
        <w:t xml:space="preserve">. </w:t>
      </w:r>
      <w:r w:rsidRPr="009E4518">
        <w:t>Participation</w:t>
      </w:r>
    </w:p>
    <w:p w14:paraId="13CEF8FA" w14:textId="77777777" w:rsidR="006E4FCD" w:rsidRPr="009E4518" w:rsidRDefault="006E4FCD" w:rsidP="006E4FCD">
      <w:pPr>
        <w:jc w:val="both"/>
      </w:pPr>
      <w:r w:rsidRPr="009E4518">
        <w:t xml:space="preserve">See clause 3 of Recommendation ITU-T A.7. A list of participants will be maintained for reference purposes and reported to the parent group. </w:t>
      </w:r>
    </w:p>
    <w:p w14:paraId="0632479F" w14:textId="77777777" w:rsidR="006E4FCD" w:rsidRPr="009E4518" w:rsidRDefault="006E4FCD" w:rsidP="006E4FCD">
      <w:pPr>
        <w:jc w:val="both"/>
        <w:rPr>
          <w:lang w:eastAsia="zh-CN"/>
        </w:rPr>
      </w:pPr>
      <w:r w:rsidRPr="009E4518">
        <w:t>It is important to mention that the participation in this Focus Group has to be based on contributions and active participations.</w:t>
      </w:r>
    </w:p>
    <w:p w14:paraId="51F24619" w14:textId="77777777" w:rsidR="006E4FCD" w:rsidRPr="009E4518" w:rsidRDefault="006E4FCD" w:rsidP="006E4FCD">
      <w:pPr>
        <w:pStyle w:val="Heading2"/>
      </w:pPr>
      <w:r w:rsidRPr="009E4518">
        <w:rPr>
          <w:lang w:eastAsia="zh-CN"/>
        </w:rPr>
        <w:t>9</w:t>
      </w:r>
      <w:r w:rsidRPr="009E4518">
        <w:rPr>
          <w:rFonts w:hint="eastAsia"/>
          <w:lang w:eastAsia="zh-CN"/>
        </w:rPr>
        <w:t xml:space="preserve">. </w:t>
      </w:r>
      <w:r w:rsidRPr="009E4518">
        <w:t xml:space="preserve">Administrative support </w:t>
      </w:r>
    </w:p>
    <w:p w14:paraId="567814C8" w14:textId="77777777" w:rsidR="006E4FCD" w:rsidRPr="009E4518" w:rsidRDefault="006E4FCD" w:rsidP="006E4FCD">
      <w:pPr>
        <w:jc w:val="both"/>
        <w:rPr>
          <w:lang w:eastAsia="zh-CN"/>
        </w:rPr>
      </w:pPr>
      <w:r w:rsidRPr="009E4518">
        <w:t>See clause 5 of Recommendation ITU-T A.7.</w:t>
      </w:r>
    </w:p>
    <w:p w14:paraId="57C2257B" w14:textId="77777777" w:rsidR="006E4FCD" w:rsidRPr="009E4518" w:rsidRDefault="006E4FCD" w:rsidP="006E4FCD">
      <w:pPr>
        <w:pStyle w:val="Heading2"/>
      </w:pPr>
      <w:r w:rsidRPr="009E4518">
        <w:rPr>
          <w:rFonts w:hint="eastAsia"/>
          <w:lang w:eastAsia="zh-CN"/>
        </w:rPr>
        <w:t>1</w:t>
      </w:r>
      <w:r w:rsidRPr="009E4518">
        <w:rPr>
          <w:lang w:eastAsia="zh-CN"/>
        </w:rPr>
        <w:t>0</w:t>
      </w:r>
      <w:r w:rsidRPr="009E4518">
        <w:rPr>
          <w:rFonts w:hint="eastAsia"/>
          <w:lang w:eastAsia="zh-CN"/>
        </w:rPr>
        <w:t xml:space="preserve">. </w:t>
      </w:r>
      <w:r w:rsidRPr="009E4518">
        <w:t xml:space="preserve">General financing </w:t>
      </w:r>
    </w:p>
    <w:p w14:paraId="4E24BDF1" w14:textId="77777777" w:rsidR="006E4FCD" w:rsidRPr="009E4518" w:rsidRDefault="006E4FCD" w:rsidP="006E4FCD">
      <w:pPr>
        <w:jc w:val="both"/>
        <w:rPr>
          <w:lang w:eastAsia="zh-CN"/>
        </w:rPr>
      </w:pPr>
      <w:r w:rsidRPr="009E4518">
        <w:t>See clauses 4 and 10.2 of Recommendation ITU-T A.7.</w:t>
      </w:r>
    </w:p>
    <w:p w14:paraId="7297B3B8" w14:textId="77777777" w:rsidR="006E4FCD" w:rsidRPr="009E4518" w:rsidRDefault="006E4FCD" w:rsidP="006E4FCD">
      <w:pPr>
        <w:pStyle w:val="Heading2"/>
      </w:pPr>
      <w:r w:rsidRPr="009E4518">
        <w:rPr>
          <w:rFonts w:hint="eastAsia"/>
          <w:lang w:eastAsia="zh-CN"/>
        </w:rPr>
        <w:t>1</w:t>
      </w:r>
      <w:r w:rsidRPr="009E4518">
        <w:rPr>
          <w:lang w:eastAsia="zh-CN"/>
        </w:rPr>
        <w:t>1</w:t>
      </w:r>
      <w:r w:rsidRPr="009E4518">
        <w:rPr>
          <w:rFonts w:hint="eastAsia"/>
          <w:lang w:eastAsia="zh-CN"/>
        </w:rPr>
        <w:t xml:space="preserve">. </w:t>
      </w:r>
      <w:r w:rsidRPr="009E4518">
        <w:t xml:space="preserve">Meetings </w:t>
      </w:r>
    </w:p>
    <w:p w14:paraId="40D68CA2" w14:textId="77777777" w:rsidR="006E4FCD" w:rsidRPr="009E4518" w:rsidRDefault="006E4FCD" w:rsidP="006E4FCD">
      <w:pPr>
        <w:jc w:val="both"/>
      </w:pPr>
      <w:r w:rsidRPr="009E4518">
        <w:rPr>
          <w:sz w:val="23"/>
          <w:szCs w:val="23"/>
        </w:rPr>
        <w:t xml:space="preserve">The Focus Group will conduct regular meetings. </w:t>
      </w:r>
      <w:r w:rsidRPr="009E4518">
        <w:t xml:space="preserve">The frequency and locations of meetings will be determined by the Focus Group management. The overall meetings plan will be announced after the approval of the terms of reference. The Focus Group will use remote collaboration tools to the maximum extent, and collocation with existing SG16 meetings is encouraged. </w:t>
      </w:r>
    </w:p>
    <w:p w14:paraId="01DE072F" w14:textId="77777777" w:rsidR="006E4FCD" w:rsidRPr="009E4518" w:rsidRDefault="006E4FCD" w:rsidP="006E4FCD">
      <w:pPr>
        <w:jc w:val="both"/>
      </w:pPr>
      <w:r w:rsidRPr="009E4518">
        <w:t xml:space="preserve">The meeting dates will be announced by electronic means (e.g., e-mail and website, etc.) at least four weeks in advance. </w:t>
      </w:r>
    </w:p>
    <w:p w14:paraId="3DC651DE" w14:textId="77777777" w:rsidR="006E4FCD" w:rsidRPr="009E4518" w:rsidRDefault="006E4FCD" w:rsidP="006E4FCD">
      <w:pPr>
        <w:pStyle w:val="Heading2"/>
        <w:tabs>
          <w:tab w:val="left" w:pos="6120"/>
        </w:tabs>
      </w:pPr>
      <w:r w:rsidRPr="009E4518">
        <w:t>1</w:t>
      </w:r>
      <w:r w:rsidRPr="009E4518">
        <w:rPr>
          <w:lang w:eastAsia="zh-CN"/>
        </w:rPr>
        <w:t>2</w:t>
      </w:r>
      <w:proofErr w:type="gramStart"/>
      <w:r w:rsidRPr="009E4518">
        <w:t>.Technical</w:t>
      </w:r>
      <w:proofErr w:type="gramEnd"/>
      <w:r w:rsidRPr="009E4518">
        <w:t xml:space="preserve"> contributions</w:t>
      </w:r>
    </w:p>
    <w:p w14:paraId="7C3F898A" w14:textId="77777777" w:rsidR="006E4FCD" w:rsidRPr="009E4518" w:rsidRDefault="006E4FCD" w:rsidP="006E4FCD">
      <w:pPr>
        <w:jc w:val="both"/>
      </w:pPr>
      <w:r w:rsidRPr="009E4518">
        <w:t xml:space="preserve">See clause 8 of Recommendation ITU-T A.7. </w:t>
      </w:r>
    </w:p>
    <w:p w14:paraId="2C8C6673" w14:textId="77777777" w:rsidR="006E4FCD" w:rsidRPr="009E4518" w:rsidRDefault="006E4FCD" w:rsidP="006E4FCD">
      <w:pPr>
        <w:pStyle w:val="Heading2"/>
      </w:pPr>
      <w:r w:rsidRPr="009E4518">
        <w:t>1</w:t>
      </w:r>
      <w:r w:rsidRPr="009E4518">
        <w:rPr>
          <w:lang w:eastAsia="zh-CN"/>
        </w:rPr>
        <w:t>3</w:t>
      </w:r>
      <w:r w:rsidRPr="009E4518">
        <w:rPr>
          <w:rFonts w:hint="eastAsia"/>
          <w:lang w:eastAsia="zh-CN"/>
        </w:rPr>
        <w:t xml:space="preserve">. </w:t>
      </w:r>
      <w:r w:rsidRPr="009E4518">
        <w:t xml:space="preserve">Working language </w:t>
      </w:r>
    </w:p>
    <w:p w14:paraId="2143123C" w14:textId="77777777" w:rsidR="006E4FCD" w:rsidRPr="009E4518" w:rsidRDefault="006E4FCD" w:rsidP="006E4FCD">
      <w:pPr>
        <w:jc w:val="both"/>
      </w:pPr>
      <w:r w:rsidRPr="009E4518">
        <w:t xml:space="preserve">The working language is English. </w:t>
      </w:r>
    </w:p>
    <w:p w14:paraId="251F5413" w14:textId="77777777" w:rsidR="006E4FCD" w:rsidRPr="009E4518" w:rsidRDefault="006E4FCD" w:rsidP="006E4FCD">
      <w:pPr>
        <w:pStyle w:val="Heading2"/>
      </w:pPr>
      <w:r w:rsidRPr="009E4518">
        <w:t>1</w:t>
      </w:r>
      <w:r w:rsidRPr="009E4518">
        <w:rPr>
          <w:lang w:eastAsia="zh-CN"/>
        </w:rPr>
        <w:t>4</w:t>
      </w:r>
      <w:r w:rsidRPr="009E4518">
        <w:t xml:space="preserve">. Approval of deliverables </w:t>
      </w:r>
    </w:p>
    <w:p w14:paraId="3DE9334C" w14:textId="77777777" w:rsidR="006E4FCD" w:rsidRPr="009E4518" w:rsidRDefault="006E4FCD" w:rsidP="006E4FCD">
      <w:pPr>
        <w:jc w:val="both"/>
      </w:pPr>
      <w:r w:rsidRPr="009E4518">
        <w:t xml:space="preserve">Approval of deliverables shall be taken by consensus. </w:t>
      </w:r>
    </w:p>
    <w:p w14:paraId="3661AEA5" w14:textId="77777777" w:rsidR="006E4FCD" w:rsidRPr="009E4518" w:rsidRDefault="006E4FCD" w:rsidP="006E4FCD">
      <w:pPr>
        <w:pStyle w:val="Heading2"/>
      </w:pPr>
      <w:r w:rsidRPr="009E4518">
        <w:t>1</w:t>
      </w:r>
      <w:r w:rsidRPr="009E4518">
        <w:rPr>
          <w:lang w:eastAsia="zh-CN"/>
        </w:rPr>
        <w:t>5</w:t>
      </w:r>
      <w:r w:rsidRPr="009E4518">
        <w:t xml:space="preserve">. Working guidelines </w:t>
      </w:r>
    </w:p>
    <w:p w14:paraId="5C75C715" w14:textId="77777777" w:rsidR="006E4FCD" w:rsidRPr="009E4518" w:rsidRDefault="006E4FCD" w:rsidP="006E4FCD">
      <w:pPr>
        <w:jc w:val="both"/>
      </w:pPr>
      <w:r w:rsidRPr="009E4518">
        <w:t>Working procedures shall follow the procedures of Rapporteur meetings. No additional working guidelines are defined.</w:t>
      </w:r>
    </w:p>
    <w:p w14:paraId="2D6353FC" w14:textId="77777777" w:rsidR="006E4FCD" w:rsidRPr="009E4518" w:rsidRDefault="006E4FCD" w:rsidP="006E4FCD">
      <w:pPr>
        <w:pStyle w:val="Heading2"/>
      </w:pPr>
      <w:r w:rsidRPr="009E4518">
        <w:t>1</w:t>
      </w:r>
      <w:r w:rsidRPr="009E4518">
        <w:rPr>
          <w:lang w:eastAsia="zh-CN"/>
        </w:rPr>
        <w:t>6</w:t>
      </w:r>
      <w:r w:rsidRPr="009E4518">
        <w:t xml:space="preserve">. Progress reports </w:t>
      </w:r>
    </w:p>
    <w:p w14:paraId="5699BED7" w14:textId="77777777" w:rsidR="006E4FCD" w:rsidRPr="009E4518" w:rsidRDefault="006E4FCD" w:rsidP="006E4FCD">
      <w:pPr>
        <w:jc w:val="both"/>
      </w:pPr>
      <w:r w:rsidRPr="009E4518">
        <w:t>See clause 11 of Recommendation ITU-T A.7.</w:t>
      </w:r>
    </w:p>
    <w:p w14:paraId="633B2534" w14:textId="77777777" w:rsidR="006E4FCD" w:rsidRPr="009E4518" w:rsidRDefault="006E4FCD" w:rsidP="006E4FCD">
      <w:pPr>
        <w:pStyle w:val="Heading2"/>
      </w:pPr>
      <w:r w:rsidRPr="009E4518">
        <w:lastRenderedPageBreak/>
        <w:t>1</w:t>
      </w:r>
      <w:r w:rsidRPr="009E4518">
        <w:rPr>
          <w:lang w:eastAsia="zh-CN"/>
        </w:rPr>
        <w:t>7</w:t>
      </w:r>
      <w:r w:rsidRPr="009E4518">
        <w:t xml:space="preserve">. Announcement of Focus Group formation </w:t>
      </w:r>
    </w:p>
    <w:p w14:paraId="6F0F39B1" w14:textId="77777777" w:rsidR="006E4FCD" w:rsidRPr="009E4518" w:rsidRDefault="006E4FCD" w:rsidP="006E4FCD">
      <w:pPr>
        <w:jc w:val="both"/>
      </w:pPr>
      <w:r w:rsidRPr="009E4518">
        <w:t xml:space="preserve">The formation of the Focus Group will be announced via TSB Circular to all ITU membership, via the ITU-T </w:t>
      </w:r>
      <w:proofErr w:type="spellStart"/>
      <w:r w:rsidRPr="009E4518">
        <w:t>Newslog</w:t>
      </w:r>
      <w:proofErr w:type="spellEnd"/>
      <w:r w:rsidRPr="009E4518">
        <w:t xml:space="preserve">, press releases and other means, including communication with the other involved organizations. </w:t>
      </w:r>
    </w:p>
    <w:p w14:paraId="36253A88" w14:textId="77777777" w:rsidR="006E4FCD" w:rsidRPr="009E4518" w:rsidRDefault="006E4FCD" w:rsidP="006E4FCD">
      <w:pPr>
        <w:pStyle w:val="Heading2"/>
      </w:pPr>
      <w:r w:rsidRPr="009E4518">
        <w:t>1</w:t>
      </w:r>
      <w:r w:rsidRPr="009E4518">
        <w:rPr>
          <w:lang w:eastAsia="zh-CN"/>
        </w:rPr>
        <w:t>8</w:t>
      </w:r>
      <w:r w:rsidRPr="009E4518">
        <w:t xml:space="preserve">. Milestones and duration of the Focus Group </w:t>
      </w:r>
    </w:p>
    <w:p w14:paraId="4D43375E" w14:textId="77777777" w:rsidR="006E4FCD" w:rsidRPr="009E4518" w:rsidRDefault="006E4FCD" w:rsidP="006E4FCD">
      <w:pPr>
        <w:jc w:val="both"/>
      </w:pPr>
      <w:r w:rsidRPr="009E4518">
        <w:t xml:space="preserve">The Focus Group lifetime is set for two years from the first meeting but extensible if necessary by decision of the parent group (see ITU-T A.7, clause 2.2). </w:t>
      </w:r>
    </w:p>
    <w:p w14:paraId="26AFE153" w14:textId="77777777" w:rsidR="006E4FCD" w:rsidRPr="009E4518" w:rsidRDefault="006E4FCD" w:rsidP="006E4FCD">
      <w:pPr>
        <w:pStyle w:val="Heading2"/>
      </w:pPr>
      <w:r w:rsidRPr="009E4518">
        <w:rPr>
          <w:lang w:eastAsia="zh-CN"/>
        </w:rPr>
        <w:t>19</w:t>
      </w:r>
      <w:r w:rsidRPr="009E4518">
        <w:t xml:space="preserve">. Patent policy </w:t>
      </w:r>
    </w:p>
    <w:p w14:paraId="4463EE44" w14:textId="77777777" w:rsidR="006E4FCD" w:rsidRPr="009E4518" w:rsidRDefault="006E4FCD" w:rsidP="006E4FCD">
      <w:pPr>
        <w:jc w:val="both"/>
      </w:pPr>
      <w:r w:rsidRPr="009E4518">
        <w:t>See clause 9 of Recommendation ITU-T A.7.</w:t>
      </w:r>
    </w:p>
    <w:p w14:paraId="48B87A9F" w14:textId="77777777" w:rsidR="006E4FCD" w:rsidRPr="009E4518" w:rsidRDefault="006E4FCD" w:rsidP="006E4FCD">
      <w:pPr>
        <w:pStyle w:val="Heading2"/>
      </w:pPr>
      <w:r w:rsidRPr="009E4518">
        <w:rPr>
          <w:bCs/>
          <w:lang w:eastAsia="zh-CN"/>
        </w:rPr>
        <w:t xml:space="preserve">20. </w:t>
      </w:r>
      <w:r w:rsidRPr="009E4518">
        <w:t>References</w:t>
      </w:r>
    </w:p>
    <w:p w14:paraId="68451062" w14:textId="77777777" w:rsidR="006E4FCD" w:rsidRPr="009E4518" w:rsidRDefault="006E4FCD" w:rsidP="006E4FCD">
      <w:pPr>
        <w:pStyle w:val="Reftext"/>
        <w:tabs>
          <w:tab w:val="left" w:pos="851"/>
        </w:tabs>
        <w:ind w:left="851" w:hanging="851"/>
      </w:pPr>
      <w:r w:rsidRPr="009E4518">
        <w:t>[1]</w:t>
      </w:r>
      <w:r w:rsidRPr="009E4518">
        <w:tab/>
        <w:t xml:space="preserve">ITU-T Focus Group on Driver Distraction, </w:t>
      </w:r>
      <w:hyperlink r:id="rId17" w:history="1">
        <w:r w:rsidRPr="009E4518">
          <w:rPr>
            <w:rStyle w:val="Hyperlink"/>
          </w:rPr>
          <w:t>https://itu.int/en/ITU-T/focusgroups/distraction</w:t>
        </w:r>
      </w:hyperlink>
      <w:r w:rsidRPr="009E4518">
        <w:t xml:space="preserve"> </w:t>
      </w:r>
    </w:p>
    <w:p w14:paraId="3C926BA6" w14:textId="77777777" w:rsidR="006E4FCD" w:rsidRPr="009E4518" w:rsidRDefault="006E4FCD" w:rsidP="006E4FCD">
      <w:pPr>
        <w:pStyle w:val="Reftext"/>
        <w:tabs>
          <w:tab w:val="left" w:pos="851"/>
        </w:tabs>
        <w:ind w:left="851" w:hanging="851"/>
      </w:pPr>
      <w:r w:rsidRPr="009E4518">
        <w:t>[2]</w:t>
      </w:r>
      <w:r w:rsidRPr="009E4518">
        <w:tab/>
        <w:t>ITU-</w:t>
      </w:r>
      <w:r w:rsidRPr="009E4518">
        <w:rPr>
          <w:lang w:eastAsia="ja-JP"/>
        </w:rPr>
        <w:t xml:space="preserve">T P.1100-P.1199 on Communications involving vehicles, </w:t>
      </w:r>
      <w:hyperlink r:id="rId18" w:history="1">
        <w:r w:rsidRPr="009E4518">
          <w:rPr>
            <w:rStyle w:val="Hyperlink"/>
            <w:lang w:eastAsia="ja-JP"/>
          </w:rPr>
          <w:t>https://itu.int/rec/T-REC-P</w:t>
        </w:r>
      </w:hyperlink>
      <w:r w:rsidRPr="009E4518">
        <w:rPr>
          <w:lang w:eastAsia="ja-JP"/>
        </w:rPr>
        <w:t xml:space="preserve"> </w:t>
      </w:r>
    </w:p>
    <w:p w14:paraId="576067DA" w14:textId="5838964C" w:rsidR="006E4FCD" w:rsidRDefault="006E4FCD" w:rsidP="006E4FCD">
      <w:pPr>
        <w:spacing w:before="0"/>
      </w:pPr>
      <w:r w:rsidRPr="009E4518">
        <w:t>_______________________</w:t>
      </w:r>
    </w:p>
    <w:p w14:paraId="1A0CA5F0" w14:textId="77777777" w:rsidR="0042686A" w:rsidRDefault="0042686A" w:rsidP="0042686A">
      <w:pPr>
        <w:spacing w:before="0"/>
        <w:jc w:val="center"/>
      </w:pPr>
      <w:r>
        <w:t>_____________________</w:t>
      </w:r>
    </w:p>
    <w:sectPr w:rsidR="0042686A" w:rsidSect="0042686A">
      <w:headerReference w:type="default" r:id="rId19"/>
      <w:pgSz w:w="11907" w:h="16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5B71E" w14:textId="77777777" w:rsidR="008619AE" w:rsidRDefault="008619AE">
      <w:r>
        <w:separator/>
      </w:r>
    </w:p>
  </w:endnote>
  <w:endnote w:type="continuationSeparator" w:id="0">
    <w:p w14:paraId="46899BAF" w14:textId="77777777" w:rsidR="008619AE" w:rsidRDefault="008619AE">
      <w:r>
        <w:continuationSeparator/>
      </w:r>
    </w:p>
  </w:endnote>
  <w:endnote w:type="continuationNotice" w:id="1">
    <w:p w14:paraId="638BFA4A" w14:textId="77777777" w:rsidR="008619AE" w:rsidRDefault="008619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1AA46" w14:textId="77777777" w:rsidR="008619AE" w:rsidRDefault="008619AE">
      <w:r>
        <w:separator/>
      </w:r>
    </w:p>
  </w:footnote>
  <w:footnote w:type="continuationSeparator" w:id="0">
    <w:p w14:paraId="676AD301" w14:textId="77777777" w:rsidR="008619AE" w:rsidRDefault="008619AE">
      <w:r>
        <w:continuationSeparator/>
      </w:r>
    </w:p>
  </w:footnote>
  <w:footnote w:type="continuationNotice" w:id="1">
    <w:p w14:paraId="5ADEA2C7" w14:textId="77777777" w:rsidR="008619AE" w:rsidRDefault="008619A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826D" w14:textId="0500866E" w:rsidR="00762E0E" w:rsidRPr="00BF6DCA" w:rsidRDefault="00BF6DCA" w:rsidP="00BF6DCA">
    <w:pPr>
      <w:pStyle w:val="Header"/>
    </w:pPr>
    <w:r w:rsidRPr="00BF6DCA">
      <w:t xml:space="preserve">- </w:t>
    </w:r>
    <w:r w:rsidRPr="00BF6DCA">
      <w:fldChar w:fldCharType="begin"/>
    </w:r>
    <w:r w:rsidRPr="00BF6DCA">
      <w:instrText xml:space="preserve"> PAGE  \* MERGEFORMAT </w:instrText>
    </w:r>
    <w:r w:rsidRPr="00BF6DCA">
      <w:fldChar w:fldCharType="separate"/>
    </w:r>
    <w:r w:rsidR="006E4FCD">
      <w:rPr>
        <w:noProof/>
      </w:rPr>
      <w:t>2</w:t>
    </w:r>
    <w:r w:rsidRPr="00BF6DCA">
      <w:fldChar w:fldCharType="end"/>
    </w:r>
    <w:r w:rsidRPr="00BF6DCA">
      <w:t xml:space="preserve"> -</w:t>
    </w:r>
  </w:p>
  <w:p w14:paraId="2360826E" w14:textId="13CF65F3" w:rsidR="00BF6DCA" w:rsidRDefault="00BF6DCA" w:rsidP="00BF6DCA">
    <w:pPr>
      <w:pStyle w:val="Header"/>
      <w:spacing w:after="240"/>
    </w:pPr>
    <w:r w:rsidRPr="00BF6DCA">
      <w:fldChar w:fldCharType="begin"/>
    </w:r>
    <w:r w:rsidRPr="00BF6DCA">
      <w:instrText xml:space="preserve"> STYLEREF  Docnumber  </w:instrText>
    </w:r>
    <w:r w:rsidRPr="00BF6DCA">
      <w:fldChar w:fldCharType="separate"/>
    </w:r>
    <w:r w:rsidR="006E4FCD">
      <w:rPr>
        <w:noProof/>
      </w:rPr>
      <w:t>DOC 9</w:t>
    </w:r>
    <w:r w:rsidRPr="00BF6DC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582D4B"/>
    <w:multiLevelType w:val="hybridMultilevel"/>
    <w:tmpl w:val="C290AC2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9203DF0"/>
    <w:multiLevelType w:val="hybridMultilevel"/>
    <w:tmpl w:val="BB089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A3C84"/>
    <w:multiLevelType w:val="hybridMultilevel"/>
    <w:tmpl w:val="B568E1CC"/>
    <w:lvl w:ilvl="0" w:tplc="8E5025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 w15:restartNumberingAfterBreak="0">
    <w:nsid w:val="0EC4398C"/>
    <w:multiLevelType w:val="hybridMultilevel"/>
    <w:tmpl w:val="EA5EC82C"/>
    <w:lvl w:ilvl="0" w:tplc="BB4609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1CD132B6"/>
    <w:multiLevelType w:val="hybridMultilevel"/>
    <w:tmpl w:val="639E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1135B"/>
    <w:multiLevelType w:val="multilevel"/>
    <w:tmpl w:val="08563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D76CC"/>
    <w:multiLevelType w:val="hybridMultilevel"/>
    <w:tmpl w:val="11A2D684"/>
    <w:lvl w:ilvl="0" w:tplc="A8F2DD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95872"/>
    <w:multiLevelType w:val="hybridMultilevel"/>
    <w:tmpl w:val="90A0C5B8"/>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18B53A6"/>
    <w:multiLevelType w:val="hybridMultilevel"/>
    <w:tmpl w:val="DD94F706"/>
    <w:lvl w:ilvl="0" w:tplc="92E4AF40">
      <w:start w:val="2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5458B"/>
    <w:multiLevelType w:val="hybridMultilevel"/>
    <w:tmpl w:val="3F4A77DE"/>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39EE2AB5"/>
    <w:multiLevelType w:val="multilevel"/>
    <w:tmpl w:val="3C00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E5B35"/>
    <w:multiLevelType w:val="hybridMultilevel"/>
    <w:tmpl w:val="A3FEC980"/>
    <w:lvl w:ilvl="0" w:tplc="B5924E4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43A73073"/>
    <w:multiLevelType w:val="hybridMultilevel"/>
    <w:tmpl w:val="D318E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C22CC"/>
    <w:multiLevelType w:val="hybridMultilevel"/>
    <w:tmpl w:val="5AD64254"/>
    <w:lvl w:ilvl="0" w:tplc="79F634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6BAC0619"/>
    <w:multiLevelType w:val="hybridMultilevel"/>
    <w:tmpl w:val="55DEAA36"/>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74890EAC"/>
    <w:multiLevelType w:val="hybridMultilevel"/>
    <w:tmpl w:val="247C3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4921DF"/>
    <w:multiLevelType w:val="hybridMultilevel"/>
    <w:tmpl w:val="5778FFC0"/>
    <w:lvl w:ilvl="0" w:tplc="A6CA1DD4">
      <w:start w:val="9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20"/>
  </w:num>
  <w:num w:numId="8">
    <w:abstractNumId w:val="12"/>
  </w:num>
  <w:num w:numId="9">
    <w:abstractNumId w:val="7"/>
  </w:num>
  <w:num w:numId="10">
    <w:abstractNumId w:val="2"/>
  </w:num>
  <w:num w:numId="11">
    <w:abstractNumId w:val="10"/>
  </w:num>
  <w:num w:numId="12">
    <w:abstractNumId w:val="8"/>
  </w:num>
  <w:num w:numId="13">
    <w:abstractNumId w:val="18"/>
  </w:num>
  <w:num w:numId="14">
    <w:abstractNumId w:val="16"/>
  </w:num>
  <w:num w:numId="15">
    <w:abstractNumId w:val="3"/>
  </w:num>
  <w:num w:numId="16">
    <w:abstractNumId w:val="13"/>
  </w:num>
  <w:num w:numId="17">
    <w:abstractNumId w:val="5"/>
  </w:num>
  <w:num w:numId="18">
    <w:abstractNumId w:val="1"/>
  </w:num>
  <w:num w:numId="19">
    <w:abstractNumId w:val="14"/>
  </w:num>
  <w:num w:numId="20">
    <w:abstractNumId w:val="6"/>
  </w:num>
  <w:num w:numId="21">
    <w:abstractNumId w:val="19"/>
  </w:num>
  <w:num w:numId="22">
    <w:abstractNumId w:val="4"/>
  </w:num>
  <w:num w:numId="23">
    <w:abstractNumId w:val="11"/>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hideGrammaticalError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1972"/>
    <w:rsid w:val="000036C6"/>
    <w:rsid w:val="00006AB6"/>
    <w:rsid w:val="00010281"/>
    <w:rsid w:val="00036B02"/>
    <w:rsid w:val="000477D1"/>
    <w:rsid w:val="00055C59"/>
    <w:rsid w:val="00075029"/>
    <w:rsid w:val="000D059C"/>
    <w:rsid w:val="0011799E"/>
    <w:rsid w:val="00126F9C"/>
    <w:rsid w:val="00136BB3"/>
    <w:rsid w:val="00174AAA"/>
    <w:rsid w:val="001C2BA6"/>
    <w:rsid w:val="001C6DD4"/>
    <w:rsid w:val="001D6019"/>
    <w:rsid w:val="00230CCC"/>
    <w:rsid w:val="00233500"/>
    <w:rsid w:val="00241E4F"/>
    <w:rsid w:val="002851B4"/>
    <w:rsid w:val="0030405C"/>
    <w:rsid w:val="003503CF"/>
    <w:rsid w:val="00353B00"/>
    <w:rsid w:val="0037799C"/>
    <w:rsid w:val="003C5F4D"/>
    <w:rsid w:val="00415D46"/>
    <w:rsid w:val="00416D81"/>
    <w:rsid w:val="0042686A"/>
    <w:rsid w:val="0045094D"/>
    <w:rsid w:val="00492807"/>
    <w:rsid w:val="00493918"/>
    <w:rsid w:val="00493C10"/>
    <w:rsid w:val="004C4F2A"/>
    <w:rsid w:val="00550C68"/>
    <w:rsid w:val="00550F4B"/>
    <w:rsid w:val="00552754"/>
    <w:rsid w:val="005D02FE"/>
    <w:rsid w:val="005E2C78"/>
    <w:rsid w:val="005E4C4A"/>
    <w:rsid w:val="005E6DD7"/>
    <w:rsid w:val="006067B8"/>
    <w:rsid w:val="00613AAE"/>
    <w:rsid w:val="006A57D7"/>
    <w:rsid w:val="006E4FCD"/>
    <w:rsid w:val="006F16F3"/>
    <w:rsid w:val="007418CA"/>
    <w:rsid w:val="00741C8B"/>
    <w:rsid w:val="00762E0E"/>
    <w:rsid w:val="007715DB"/>
    <w:rsid w:val="008063FE"/>
    <w:rsid w:val="00830DC5"/>
    <w:rsid w:val="008619AE"/>
    <w:rsid w:val="008C2579"/>
    <w:rsid w:val="008C5FF7"/>
    <w:rsid w:val="008C6CB6"/>
    <w:rsid w:val="008F5BDC"/>
    <w:rsid w:val="009276C3"/>
    <w:rsid w:val="009C5695"/>
    <w:rsid w:val="009F2C14"/>
    <w:rsid w:val="00A04375"/>
    <w:rsid w:val="00A0723C"/>
    <w:rsid w:val="00A16E7A"/>
    <w:rsid w:val="00A2535E"/>
    <w:rsid w:val="00AC417E"/>
    <w:rsid w:val="00AE00F6"/>
    <w:rsid w:val="00AF5509"/>
    <w:rsid w:val="00B1697E"/>
    <w:rsid w:val="00B441E9"/>
    <w:rsid w:val="00B50159"/>
    <w:rsid w:val="00BB41E2"/>
    <w:rsid w:val="00BC647D"/>
    <w:rsid w:val="00BD5121"/>
    <w:rsid w:val="00BF6DCA"/>
    <w:rsid w:val="00C07F2B"/>
    <w:rsid w:val="00C46D61"/>
    <w:rsid w:val="00C518A1"/>
    <w:rsid w:val="00C51AEE"/>
    <w:rsid w:val="00C55933"/>
    <w:rsid w:val="00C602C7"/>
    <w:rsid w:val="00CB4E48"/>
    <w:rsid w:val="00CC516D"/>
    <w:rsid w:val="00CE681E"/>
    <w:rsid w:val="00D15739"/>
    <w:rsid w:val="00D3418E"/>
    <w:rsid w:val="00D37E4B"/>
    <w:rsid w:val="00D469C5"/>
    <w:rsid w:val="00D50B3F"/>
    <w:rsid w:val="00D75F26"/>
    <w:rsid w:val="00D83A31"/>
    <w:rsid w:val="00D95221"/>
    <w:rsid w:val="00DC6D41"/>
    <w:rsid w:val="00DE0D25"/>
    <w:rsid w:val="00DE4CBB"/>
    <w:rsid w:val="00E70BE3"/>
    <w:rsid w:val="00EC6AB8"/>
    <w:rsid w:val="00F011CF"/>
    <w:rsid w:val="00F3189A"/>
    <w:rsid w:val="00F327D0"/>
    <w:rsid w:val="00FB32EA"/>
    <w:rsid w:val="00FE1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08203"/>
  <w15:docId w15:val="{AFF87772-B808-45DB-B200-A2D3EB1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Docnumber">
    <w:name w:val="Docnumber"/>
    <w:basedOn w:val="Normal"/>
    <w:link w:val="DocnumberChar"/>
    <w:qFormat/>
    <w:rsid w:val="00BF6DCA"/>
    <w:pPr>
      <w:jc w:val="right"/>
    </w:pPr>
    <w:rPr>
      <w:b/>
      <w:bCs/>
      <w:sz w:val="40"/>
    </w:rPr>
  </w:style>
  <w:style w:type="character" w:customStyle="1" w:styleId="DocnumberChar">
    <w:name w:val="Docnumber Char"/>
    <w:basedOn w:val="DefaultParagraphFont"/>
    <w:link w:val="Docnumber"/>
    <w:rsid w:val="00BF6DCA"/>
    <w:rPr>
      <w:b/>
      <w:bCs/>
      <w:sz w:val="40"/>
      <w:lang w:val="en-GB" w:eastAsia="en-US"/>
    </w:rPr>
  </w:style>
  <w:style w:type="character" w:styleId="Hyperlink">
    <w:name w:val="Hyperlink"/>
    <w:aliases w:val="超级链接"/>
    <w:basedOn w:val="DefaultParagraphFont"/>
    <w:rsid w:val="00BF6DCA"/>
    <w:rPr>
      <w:color w:val="0000FF" w:themeColor="hyperlink"/>
      <w:u w:val="single"/>
    </w:rPr>
  </w:style>
  <w:style w:type="paragraph" w:styleId="ListParagraph">
    <w:name w:val="List Paragraph"/>
    <w:basedOn w:val="Normal"/>
    <w:uiPriority w:val="34"/>
    <w:qFormat/>
    <w:rsid w:val="00BF6DCA"/>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cs="Calibri"/>
      <w:sz w:val="22"/>
      <w:szCs w:val="22"/>
      <w:lang w:val="en-US" w:eastAsia="zh-CN"/>
    </w:rPr>
  </w:style>
  <w:style w:type="table" w:styleId="TableGrid">
    <w:name w:val="Table Grid"/>
    <w:basedOn w:val="TableNormal"/>
    <w:uiPriority w:val="39"/>
    <w:rsid w:val="00BF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75F26"/>
    <w:rPr>
      <w:color w:val="800080" w:themeColor="followedHyperlink"/>
      <w:u w:val="single"/>
    </w:rPr>
  </w:style>
  <w:style w:type="paragraph" w:styleId="BalloonText">
    <w:name w:val="Balloon Text"/>
    <w:basedOn w:val="Normal"/>
    <w:link w:val="BalloonTextChar"/>
    <w:semiHidden/>
    <w:unhideWhenUsed/>
    <w:rsid w:val="008C25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2579"/>
    <w:rPr>
      <w:rFonts w:ascii="Segoe UI" w:hAnsi="Segoe UI" w:cs="Segoe UI"/>
      <w:sz w:val="18"/>
      <w:szCs w:val="18"/>
      <w:lang w:val="en-GB" w:eastAsia="en-US"/>
    </w:rPr>
  </w:style>
  <w:style w:type="character" w:customStyle="1" w:styleId="FootnoteTextChar">
    <w:name w:val="Footnote Text Char"/>
    <w:basedOn w:val="DefaultParagraphFont"/>
    <w:link w:val="FootnoteText"/>
    <w:semiHidden/>
    <w:rsid w:val="00CC516D"/>
    <w:rPr>
      <w:sz w:val="24"/>
      <w:lang w:val="en-GB" w:eastAsia="en-US"/>
    </w:rPr>
  </w:style>
  <w:style w:type="paragraph" w:customStyle="1" w:styleId="LSDeadline">
    <w:name w:val="LSDeadline"/>
    <w:basedOn w:val="Normal"/>
    <w:rsid w:val="009F2C14"/>
    <w:pPr>
      <w:tabs>
        <w:tab w:val="clear" w:pos="794"/>
        <w:tab w:val="clear" w:pos="1191"/>
        <w:tab w:val="clear" w:pos="1588"/>
        <w:tab w:val="clear" w:pos="1985"/>
      </w:tabs>
      <w:overflowPunct/>
      <w:autoSpaceDE/>
      <w:autoSpaceDN/>
      <w:adjustRightInd/>
      <w:textAlignment w:val="auto"/>
    </w:pPr>
    <w:rPr>
      <w:rFonts w:eastAsia="Calibri"/>
      <w:bCs/>
      <w:szCs w:val="24"/>
      <w:lang w:eastAsia="ja-JP"/>
    </w:rPr>
  </w:style>
  <w:style w:type="paragraph" w:customStyle="1" w:styleId="LSForAction">
    <w:name w:val="LSForAction"/>
    <w:basedOn w:val="Normal"/>
    <w:rsid w:val="009F2C14"/>
    <w:pPr>
      <w:tabs>
        <w:tab w:val="clear" w:pos="794"/>
        <w:tab w:val="clear" w:pos="1191"/>
        <w:tab w:val="clear" w:pos="1588"/>
        <w:tab w:val="clear" w:pos="1985"/>
      </w:tabs>
      <w:overflowPunct/>
      <w:autoSpaceDE/>
      <w:autoSpaceDN/>
      <w:adjustRightInd/>
      <w:textAlignment w:val="auto"/>
    </w:pPr>
    <w:rPr>
      <w:rFonts w:eastAsia="Calibri"/>
      <w:bCs/>
      <w:szCs w:val="24"/>
      <w:lang w:eastAsia="ja-JP"/>
    </w:rPr>
  </w:style>
  <w:style w:type="paragraph" w:customStyle="1" w:styleId="LSForInfo">
    <w:name w:val="LSForInfo"/>
    <w:basedOn w:val="LSForAction"/>
    <w:rsid w:val="009F2C14"/>
  </w:style>
  <w:style w:type="paragraph" w:customStyle="1" w:styleId="LSForComment">
    <w:name w:val="LSForComment"/>
    <w:basedOn w:val="LSForAction"/>
    <w:rsid w:val="009F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0998">
      <w:bodyDiv w:val="1"/>
      <w:marLeft w:val="0"/>
      <w:marRight w:val="0"/>
      <w:marTop w:val="0"/>
      <w:marBottom w:val="0"/>
      <w:divBdr>
        <w:top w:val="none" w:sz="0" w:space="0" w:color="auto"/>
        <w:left w:val="none" w:sz="0" w:space="0" w:color="auto"/>
        <w:bottom w:val="none" w:sz="0" w:space="0" w:color="auto"/>
        <w:right w:val="none" w:sz="0" w:space="0" w:color="auto"/>
      </w:divBdr>
    </w:div>
    <w:div w:id="355083890">
      <w:bodyDiv w:val="1"/>
      <w:marLeft w:val="0"/>
      <w:marRight w:val="0"/>
      <w:marTop w:val="0"/>
      <w:marBottom w:val="0"/>
      <w:divBdr>
        <w:top w:val="none" w:sz="0" w:space="0" w:color="auto"/>
        <w:left w:val="none" w:sz="0" w:space="0" w:color="auto"/>
        <w:bottom w:val="none" w:sz="0" w:space="0" w:color="auto"/>
        <w:right w:val="none" w:sz="0" w:space="0" w:color="auto"/>
      </w:divBdr>
    </w:div>
    <w:div w:id="1041831484">
      <w:bodyDiv w:val="1"/>
      <w:marLeft w:val="0"/>
      <w:marRight w:val="0"/>
      <w:marTop w:val="0"/>
      <w:marBottom w:val="0"/>
      <w:divBdr>
        <w:top w:val="none" w:sz="0" w:space="0" w:color="auto"/>
        <w:left w:val="none" w:sz="0" w:space="0" w:color="auto"/>
        <w:bottom w:val="none" w:sz="0" w:space="0" w:color="auto"/>
        <w:right w:val="none" w:sz="0" w:space="0" w:color="auto"/>
      </w:divBdr>
    </w:div>
    <w:div w:id="1182746028">
      <w:bodyDiv w:val="1"/>
      <w:marLeft w:val="0"/>
      <w:marRight w:val="0"/>
      <w:marTop w:val="0"/>
      <w:marBottom w:val="0"/>
      <w:divBdr>
        <w:top w:val="none" w:sz="0" w:space="0" w:color="auto"/>
        <w:left w:val="none" w:sz="0" w:space="0" w:color="auto"/>
        <w:bottom w:val="none" w:sz="0" w:space="0" w:color="auto"/>
        <w:right w:val="none" w:sz="0" w:space="0" w:color="auto"/>
      </w:divBdr>
    </w:div>
    <w:div w:id="1370649009">
      <w:bodyDiv w:val="1"/>
      <w:marLeft w:val="0"/>
      <w:marRight w:val="0"/>
      <w:marTop w:val="0"/>
      <w:marBottom w:val="0"/>
      <w:divBdr>
        <w:top w:val="none" w:sz="0" w:space="0" w:color="auto"/>
        <w:left w:val="none" w:sz="0" w:space="0" w:color="auto"/>
        <w:bottom w:val="none" w:sz="0" w:space="0" w:color="auto"/>
        <w:right w:val="none" w:sz="0" w:space="0" w:color="auto"/>
      </w:divBdr>
    </w:div>
    <w:div w:id="1606963931">
      <w:bodyDiv w:val="1"/>
      <w:marLeft w:val="0"/>
      <w:marRight w:val="0"/>
      <w:marTop w:val="0"/>
      <w:marBottom w:val="0"/>
      <w:divBdr>
        <w:top w:val="none" w:sz="0" w:space="0" w:color="auto"/>
        <w:left w:val="none" w:sz="0" w:space="0" w:color="auto"/>
        <w:bottom w:val="none" w:sz="0" w:space="0" w:color="auto"/>
        <w:right w:val="none" w:sz="0" w:space="0" w:color="auto"/>
      </w:divBdr>
    </w:div>
    <w:div w:id="17986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vm@itu.int" TargetMode="External"/><Relationship Id="rId18" Type="http://schemas.openxmlformats.org/officeDocument/2006/relationships/hyperlink" Target="https://itu.int/rec/T-REC-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arry.li@gvmedia.com.cn" TargetMode="External"/><Relationship Id="rId17" Type="http://schemas.openxmlformats.org/officeDocument/2006/relationships/hyperlink" Target="https://itu.int/en/ITU-T/focusgroups/distraction" TargetMode="External"/><Relationship Id="rId2" Type="http://schemas.openxmlformats.org/officeDocument/2006/relationships/customXml" Target="../customXml/item2.xml"/><Relationship Id="rId16" Type="http://schemas.openxmlformats.org/officeDocument/2006/relationships/hyperlink" Target="mailto:tsbfgvm@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ah@huawei.com" TargetMode="External"/><Relationship Id="rId5" Type="http://schemas.openxmlformats.org/officeDocument/2006/relationships/styles" Target="styles.xml"/><Relationship Id="rId15" Type="http://schemas.openxmlformats.org/officeDocument/2006/relationships/hyperlink" Target="https://itu.int/go/fgvm"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vm/Documents/FG-VM-To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PublishingStartDate xmlns="http://schemas.microsoft.com/sharepoint/v3" xsi:nil="true"/>
    <PublishingExpirationDate xmlns="http://schemas.microsoft.com/sharepoint/v3" xsi:nil="true"/>
    <u39c xmlns="12c98d68-ac85-44e7-bf24-1eee02f47aef" xsi:nil="true"/>
    <Source xmlns="12c98d68-ac85-44e7-bf24-1eee02f47aef">ITU-T SG16</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6020B-5713-4557-BA65-DD8537835289}"/>
</file>

<file path=customXml/itemProps2.xml><?xml version="1.0" encoding="utf-8"?>
<ds:datastoreItem xmlns:ds="http://schemas.openxmlformats.org/officeDocument/2006/customXml" ds:itemID="{748162A1-36A4-4BBA-B684-C88625F22639}"/>
</file>

<file path=customXml/itemProps3.xml><?xml version="1.0" encoding="utf-8"?>
<ds:datastoreItem xmlns:ds="http://schemas.openxmlformats.org/officeDocument/2006/customXml" ds:itemID="{889C6C34-F087-416E-82DC-76482B09373E}"/>
</file>

<file path=docProps/app.xml><?xml version="1.0" encoding="utf-8"?>
<Properties xmlns="http://schemas.openxmlformats.org/officeDocument/2006/extended-properties" xmlns:vt="http://schemas.openxmlformats.org/officeDocument/2006/docPropsVTypes">
  <Template>ItutBasic-Template.dot</Template>
  <TotalTime>3</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LS-Establishment of SAE Cellular</vt:lpstr>
    </vt:vector>
  </TitlesOfParts>
  <Manager>ITU-T</Manager>
  <Company>International Telecommunication Union (ITU)</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LS-Establishment of SAE Cellular</dc:title>
  <dc:creator>Chairman, Collaboration on ITS Communication Standards</dc:creator>
  <dc:description>TD 1  For: Geneva, 10 March 2017_x000d_Document date: _x000d_Saved by ITU51011775 at 10:41:31 on 28/02/2017</dc:description>
  <cp:lastModifiedBy>TSB</cp:lastModifiedBy>
  <cp:revision>3</cp:revision>
  <cp:lastPrinted>2018-02-16T14:05:00Z</cp:lastPrinted>
  <dcterms:created xsi:type="dcterms:W3CDTF">2018-08-24T13:59:00Z</dcterms:created>
  <dcterms:modified xsi:type="dcterms:W3CDTF">2018-08-24T14:02:00Z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March 2017</vt:lpwstr>
  </property>
  <property fmtid="{D5CDD505-2E9C-101B-9397-08002B2CF9AE}" pid="7" name="Docauthor">
    <vt:lpwstr>Chairman, Collaboration on ITS Communication Standards</vt:lpwstr>
  </property>
  <property fmtid="{D5CDD505-2E9C-101B-9397-08002B2CF9AE}" pid="8" name="ContentTypeId">
    <vt:lpwstr>0x0101000B2FE5DF7E4F1D4ABEF6D9BF0222E8B9</vt:lpwstr>
  </property>
</Properties>
</file>