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91670" w14:textId="77777777" w:rsidR="009F7546" w:rsidRPr="00AD4C57" w:rsidRDefault="009F7546" w:rsidP="00450A65">
      <w:pPr>
        <w:pStyle w:val="Heading1"/>
        <w:spacing w:before="0" w:line="240" w:lineRule="auto"/>
        <w:rPr>
          <w:rFonts w:ascii="Calibri" w:hAnsi="Calibri" w:cs="Calibri"/>
          <w:lang w:val="en-GB"/>
        </w:rPr>
      </w:pPr>
      <w:r w:rsidRPr="00AD4C57">
        <w:rPr>
          <w:rFonts w:ascii="Calibri" w:hAnsi="Calibri" w:cs="Calibri"/>
          <w:lang w:val="en-GB"/>
        </w:rPr>
        <w:t xml:space="preserve">Collaboration on ITS Communication Standards </w:t>
      </w:r>
    </w:p>
    <w:p w14:paraId="029E8DCC" w14:textId="77777777" w:rsidR="009F7546" w:rsidRPr="00AD4C57" w:rsidRDefault="00CD588B" w:rsidP="00CD588B">
      <w:pPr>
        <w:pStyle w:val="Heading2"/>
        <w:spacing w:line="240" w:lineRule="auto"/>
        <w:rPr>
          <w:rFonts w:ascii="Calibri" w:hAnsi="Calibri" w:cs="Calibri"/>
          <w:lang w:val="en-GB"/>
        </w:rPr>
      </w:pPr>
      <w:r>
        <w:rPr>
          <w:rFonts w:ascii="Calibri" w:hAnsi="Calibri" w:cs="Calibri"/>
          <w:lang w:val="en-GB"/>
        </w:rPr>
        <w:t xml:space="preserve">4 July </w:t>
      </w:r>
      <w:r w:rsidR="00F27C2D">
        <w:rPr>
          <w:rFonts w:ascii="Calibri" w:hAnsi="Calibri" w:cs="Calibri"/>
          <w:lang w:val="en-GB"/>
        </w:rPr>
        <w:t xml:space="preserve">2014, </w:t>
      </w:r>
      <w:r>
        <w:rPr>
          <w:rFonts w:ascii="Calibri" w:hAnsi="Calibri" w:cs="Calibri"/>
          <w:lang w:val="en-GB"/>
        </w:rPr>
        <w:t>Sapporo, Japan</w:t>
      </w:r>
    </w:p>
    <w:p w14:paraId="17B28D0D" w14:textId="77777777" w:rsidR="009F7546" w:rsidRPr="00AD4C57" w:rsidRDefault="009F7546" w:rsidP="00450A65">
      <w:pPr>
        <w:pStyle w:val="Heading3"/>
        <w:spacing w:line="240" w:lineRule="auto"/>
        <w:rPr>
          <w:rFonts w:ascii="Calibri" w:hAnsi="Calibri" w:cs="Calibri"/>
          <w:lang w:val="en-GB"/>
        </w:rPr>
      </w:pPr>
      <w:r>
        <w:rPr>
          <w:rFonts w:ascii="Calibri" w:hAnsi="Calibri" w:cs="Calibri"/>
          <w:lang w:val="en-GB"/>
        </w:rPr>
        <w:t>M</w:t>
      </w:r>
      <w:r w:rsidRPr="00AD4C57">
        <w:rPr>
          <w:rFonts w:ascii="Calibri" w:hAnsi="Calibri" w:cs="Calibri"/>
          <w:lang w:val="en-GB"/>
        </w:rPr>
        <w:t>eeting report</w:t>
      </w:r>
    </w:p>
    <w:p w14:paraId="37D9D935"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Introduction</w:t>
      </w:r>
    </w:p>
    <w:p w14:paraId="3B6E9A8D" w14:textId="77777777" w:rsidR="009F7546" w:rsidRDefault="009F7546" w:rsidP="00CD588B">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 xml:space="preserve">on </w:t>
      </w:r>
      <w:r w:rsidR="00CD588B">
        <w:rPr>
          <w:rFonts w:cs="Calibri"/>
          <w:lang w:val="en-GB"/>
        </w:rPr>
        <w:t>4</w:t>
      </w:r>
      <w:r w:rsidR="00EE7015">
        <w:rPr>
          <w:rFonts w:cs="Calibri"/>
          <w:lang w:val="en-GB"/>
        </w:rPr>
        <w:t> </w:t>
      </w:r>
      <w:r w:rsidR="00CD588B">
        <w:rPr>
          <w:rFonts w:cs="Calibri"/>
          <w:lang w:val="en-GB"/>
        </w:rPr>
        <w:t xml:space="preserve">July </w:t>
      </w:r>
      <w:r w:rsidR="00F27C2D">
        <w:rPr>
          <w:rFonts w:cs="Calibri"/>
          <w:lang w:val="en-GB"/>
        </w:rPr>
        <w:t xml:space="preserve">2014 </w:t>
      </w:r>
      <w:r w:rsidR="00CD588B">
        <w:rPr>
          <w:rFonts w:cs="Calibri"/>
          <w:lang w:val="en-GB"/>
        </w:rPr>
        <w:t>in Sapporo, Japan</w:t>
      </w:r>
      <w:r>
        <w:rPr>
          <w:rFonts w:cs="Calibri"/>
          <w:lang w:val="en-GB"/>
        </w:rPr>
        <w:t xml:space="preserve">. </w:t>
      </w:r>
    </w:p>
    <w:p w14:paraId="1D2BD3F7" w14:textId="77777777" w:rsidR="009F7546" w:rsidRPr="00AD4C57" w:rsidRDefault="009F7546" w:rsidP="00450A65">
      <w:pPr>
        <w:suppressAutoHyphens/>
        <w:adjustRightInd w:val="0"/>
        <w:spacing w:before="240" w:after="0" w:line="240" w:lineRule="auto"/>
        <w:rPr>
          <w:rFonts w:cs="Calibri"/>
          <w:lang w:val="en-GB"/>
        </w:rPr>
      </w:pPr>
      <w:r w:rsidRPr="00AD4C57">
        <w:rPr>
          <w:rFonts w:cs="Calibri"/>
          <w:lang w:val="en-GB"/>
        </w:rPr>
        <w:t xml:space="preserve">Russell Shields </w:t>
      </w:r>
      <w:r>
        <w:rPr>
          <w:rFonts w:cs="Calibri"/>
          <w:lang w:val="en-GB"/>
        </w:rPr>
        <w:t xml:space="preserve">of </w:t>
      </w:r>
      <w:r w:rsidRPr="00AD4C57">
        <w:rPr>
          <w:rFonts w:cs="Calibri"/>
          <w:lang w:val="en-GB"/>
        </w:rPr>
        <w:t>Ygomi LLC</w:t>
      </w:r>
      <w:r>
        <w:rPr>
          <w:rFonts w:cs="Calibri"/>
          <w:lang w:val="en-GB"/>
        </w:rPr>
        <w:t xml:space="preserve"> chaired the meeting</w:t>
      </w:r>
      <w:r w:rsidRPr="00AD4C57">
        <w:rPr>
          <w:rFonts w:cs="Calibri"/>
          <w:lang w:val="en-GB"/>
        </w:rPr>
        <w:t xml:space="preserve">. </w:t>
      </w:r>
    </w:p>
    <w:p w14:paraId="356F5BCF" w14:textId="77777777" w:rsidR="009F7546" w:rsidRDefault="009F7546" w:rsidP="003B7260">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14:paraId="0C21ED11"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14:paraId="0C9068FD" w14:textId="77777777" w:rsidR="009F7546" w:rsidRDefault="00CE4E83" w:rsidP="00B649D9">
      <w:pPr>
        <w:suppressAutoHyphens/>
        <w:adjustRightInd w:val="0"/>
        <w:spacing w:before="240"/>
        <w:rPr>
          <w:rFonts w:cs="Calibri"/>
          <w:lang w:val="en-GB"/>
        </w:rPr>
      </w:pPr>
      <w:r>
        <w:rPr>
          <w:rFonts w:cs="Calibri"/>
          <w:lang w:val="en-GB"/>
        </w:rPr>
        <w:t>Russ Shields</w:t>
      </w:r>
      <w:r w:rsidR="009F7546" w:rsidRPr="00AD4C57">
        <w:rPr>
          <w:rFonts w:cs="Calibri"/>
          <w:lang w:val="en-GB"/>
        </w:rPr>
        <w:t xml:space="preserve"> welcomed the participants (</w:t>
      </w:r>
      <w:r w:rsidR="00F27C2D">
        <w:rPr>
          <w:rFonts w:cs="Calibri"/>
          <w:lang w:val="en-GB"/>
        </w:rPr>
        <w:t>1</w:t>
      </w:r>
      <w:r w:rsidR="00FE3039">
        <w:rPr>
          <w:rFonts w:cs="Calibri"/>
          <w:lang w:val="en-GB"/>
        </w:rPr>
        <w:t>8</w:t>
      </w:r>
      <w:r w:rsidR="009F7546">
        <w:rPr>
          <w:rFonts w:cs="Calibri"/>
          <w:lang w:val="en-GB"/>
        </w:rPr>
        <w:t xml:space="preserve"> </w:t>
      </w:r>
      <w:r w:rsidR="009F7546" w:rsidRPr="00AD4C57">
        <w:rPr>
          <w:rFonts w:cs="Calibri"/>
          <w:lang w:val="en-GB"/>
        </w:rPr>
        <w:t>on-site</w:t>
      </w:r>
      <w:r w:rsidR="009F7546">
        <w:rPr>
          <w:rFonts w:cs="Calibri"/>
          <w:lang w:val="en-GB"/>
        </w:rPr>
        <w:t xml:space="preserve">, </w:t>
      </w:r>
      <w:r w:rsidR="00FE3039">
        <w:rPr>
          <w:rFonts w:cs="Calibri"/>
          <w:lang w:val="en-GB"/>
        </w:rPr>
        <w:t>3</w:t>
      </w:r>
      <w:r w:rsidR="009F7546">
        <w:rPr>
          <w:rFonts w:cs="Calibri"/>
          <w:lang w:val="en-GB"/>
        </w:rPr>
        <w:t xml:space="preserve"> </w:t>
      </w:r>
      <w:r w:rsidR="009F7546" w:rsidRPr="00AD4C57">
        <w:rPr>
          <w:rFonts w:cs="Calibri"/>
          <w:lang w:val="en-GB"/>
        </w:rPr>
        <w:t>remote</w:t>
      </w:r>
      <w:r w:rsidR="009F7546">
        <w:rPr>
          <w:rFonts w:cs="Calibri"/>
          <w:lang w:val="en-GB"/>
        </w:rPr>
        <w:t>;</w:t>
      </w:r>
      <w:r w:rsidR="009F7546" w:rsidRPr="003103EA">
        <w:rPr>
          <w:rFonts w:cs="Calibri"/>
          <w:lang w:val="en-GB"/>
        </w:rPr>
        <w:t xml:space="preserve"> </w:t>
      </w:r>
      <w:r w:rsidR="009F7546">
        <w:rPr>
          <w:rFonts w:cs="Calibri"/>
          <w:lang w:val="en-GB"/>
        </w:rPr>
        <w:t>t</w:t>
      </w:r>
      <w:r w:rsidR="009F7546" w:rsidRPr="00AD4C57">
        <w:rPr>
          <w:rFonts w:cs="Calibri"/>
          <w:lang w:val="en-GB"/>
        </w:rPr>
        <w:t xml:space="preserve">he final list of participants is reproduced in </w:t>
      </w:r>
      <w:hyperlink r:id="rId8" w:history="1">
        <w:r w:rsidR="009F7546" w:rsidRPr="00F4035C">
          <w:rPr>
            <w:rStyle w:val="Hyperlink"/>
            <w:rFonts w:cs="Arial"/>
          </w:rPr>
          <w:t>Doc 0</w:t>
        </w:r>
        <w:r w:rsidR="00B649D9">
          <w:rPr>
            <w:rStyle w:val="Hyperlink"/>
            <w:rFonts w:cs="Arial"/>
          </w:rPr>
          <w:t>09</w:t>
        </w:r>
      </w:hyperlink>
      <w:r w:rsidR="009F7546">
        <w:rPr>
          <w:rFonts w:cs="Calibri"/>
          <w:lang w:val="en-GB"/>
        </w:rPr>
        <w:t>)</w:t>
      </w:r>
      <w:r w:rsidR="00DF57F9">
        <w:rPr>
          <w:rFonts w:cs="Calibri"/>
          <w:lang w:val="en-GB"/>
        </w:rPr>
        <w:t xml:space="preserve"> and gave introduction to the objectives of the Collaboration (see </w:t>
      </w:r>
      <w:hyperlink r:id="rId9" w:history="1">
        <w:r w:rsidR="00DF57F9" w:rsidRPr="00DF57F9">
          <w:rPr>
            <w:rStyle w:val="Hyperlink"/>
            <w:rFonts w:cs="Calibri"/>
            <w:lang w:val="en-GB"/>
          </w:rPr>
          <w:t>website</w:t>
        </w:r>
      </w:hyperlink>
      <w:r w:rsidR="00DF57F9">
        <w:rPr>
          <w:rFonts w:cs="Calibri"/>
          <w:lang w:val="en-GB"/>
        </w:rPr>
        <w:t>)</w:t>
      </w:r>
      <w:r w:rsidR="009F7546">
        <w:rPr>
          <w:rFonts w:cs="Calibri"/>
          <w:lang w:val="en-GB"/>
        </w:rPr>
        <w:t xml:space="preserve">. </w:t>
      </w:r>
    </w:p>
    <w:p w14:paraId="1B187426" w14:textId="77777777" w:rsidR="009F7546" w:rsidRDefault="009F7546" w:rsidP="00A122CE">
      <w:pPr>
        <w:suppressAutoHyphens/>
        <w:adjustRightInd w:val="0"/>
        <w:spacing w:before="240" w:after="0" w:line="240" w:lineRule="auto"/>
        <w:rPr>
          <w:rFonts w:cs="Calibri"/>
          <w:lang w:val="en-GB"/>
        </w:rPr>
      </w:pPr>
      <w:r w:rsidRPr="00AD4C57">
        <w:rPr>
          <w:rFonts w:cs="Calibri"/>
          <w:lang w:val="en-GB"/>
        </w:rPr>
        <w:t xml:space="preserve">The </w:t>
      </w:r>
      <w:r w:rsidR="006821BC" w:rsidRPr="00AD4C57">
        <w:rPr>
          <w:rFonts w:cs="Calibri"/>
          <w:lang w:val="en-GB"/>
        </w:rPr>
        <w:t>agenda approved</w:t>
      </w:r>
      <w:r w:rsidRPr="00AD4C57">
        <w:rPr>
          <w:rFonts w:cs="Calibri"/>
          <w:lang w:val="en-GB"/>
        </w:rPr>
        <w:t xml:space="preserve"> by the meeting is reproduced in </w:t>
      </w:r>
      <w:hyperlink r:id="rId10" w:history="1">
        <w:r w:rsidRPr="00F4035C">
          <w:rPr>
            <w:rStyle w:val="Hyperlink"/>
            <w:rFonts w:cs="Calibri"/>
            <w:lang w:val="en-GB"/>
          </w:rPr>
          <w:t>Doc 001</w:t>
        </w:r>
      </w:hyperlink>
      <w:r w:rsidRPr="00A157D7">
        <w:rPr>
          <w:rFonts w:cs="Calibri"/>
          <w:lang w:val="en-GB"/>
        </w:rPr>
        <w:t>.</w:t>
      </w:r>
    </w:p>
    <w:p w14:paraId="142C9F2A" w14:textId="77777777" w:rsidR="009F7546" w:rsidRPr="00A122CE" w:rsidRDefault="00DF57F9" w:rsidP="00DF57F9">
      <w:pPr>
        <w:pStyle w:val="ListParagraph"/>
        <w:numPr>
          <w:ilvl w:val="0"/>
          <w:numId w:val="1"/>
        </w:numPr>
        <w:suppressAutoHyphens/>
        <w:adjustRightInd w:val="0"/>
        <w:spacing w:before="240"/>
        <w:rPr>
          <w:b/>
          <w:bCs/>
          <w:lang w:val="en-GB"/>
        </w:rPr>
      </w:pPr>
      <w:r>
        <w:rPr>
          <w:b/>
          <w:bCs/>
          <w:lang w:val="en-GB"/>
        </w:rPr>
        <w:t>Review of past actions</w:t>
      </w:r>
    </w:p>
    <w:p w14:paraId="0EE2BB11" w14:textId="0C3638BF" w:rsidR="00DF57F9" w:rsidRDefault="00DF57F9" w:rsidP="00F27C2D">
      <w:pPr>
        <w:suppressAutoHyphens/>
        <w:adjustRightInd w:val="0"/>
        <w:spacing w:before="240"/>
        <w:rPr>
          <w:rFonts w:cs="Calibri"/>
        </w:rPr>
      </w:pPr>
      <w:r>
        <w:rPr>
          <w:rFonts w:cs="Calibri"/>
        </w:rPr>
        <w:t>The list of open actions (</w:t>
      </w:r>
      <w:hyperlink r:id="rId11" w:history="1">
        <w:r w:rsidRPr="00F4035C">
          <w:rPr>
            <w:rStyle w:val="Hyperlink"/>
            <w:rFonts w:cs="Calibri"/>
          </w:rPr>
          <w:t>Doc 00</w:t>
        </w:r>
        <w:r w:rsidR="00F27C2D" w:rsidRPr="00F4035C">
          <w:rPr>
            <w:rStyle w:val="Hyperlink"/>
            <w:rFonts w:cs="Calibri"/>
          </w:rPr>
          <w:t>2</w:t>
        </w:r>
      </w:hyperlink>
      <w:r>
        <w:rPr>
          <w:rFonts w:cs="Calibri"/>
        </w:rPr>
        <w:t xml:space="preserve">) was reviewed. </w:t>
      </w:r>
      <w:r w:rsidR="009E3BB1">
        <w:rPr>
          <w:rFonts w:cs="Calibri"/>
        </w:rPr>
        <w:t>A number of action items have been completed since the last meeting (</w:t>
      </w:r>
      <w:r w:rsidR="009E3BB1">
        <w:t>Geneva</w:t>
      </w:r>
      <w:r w:rsidR="00451154">
        <w:t xml:space="preserve"> </w:t>
      </w:r>
      <w:r w:rsidR="009E3BB1">
        <w:t>2014</w:t>
      </w:r>
      <w:r w:rsidR="00451154">
        <w:t xml:space="preserve"> </w:t>
      </w:r>
      <w:r w:rsidR="009E3BB1">
        <w:t>#5</w:t>
      </w:r>
      <w:r w:rsidR="009E3BB1">
        <w:rPr>
          <w:rFonts w:cs="Calibri"/>
        </w:rPr>
        <w:t>) and others were on the agenda of the meeting (</w:t>
      </w:r>
      <w:r w:rsidR="009E3BB1">
        <w:t>Geneva</w:t>
      </w:r>
      <w:r w:rsidR="00451154">
        <w:t xml:space="preserve"> </w:t>
      </w:r>
      <w:r w:rsidR="009E3BB1">
        <w:t>2014</w:t>
      </w:r>
      <w:r w:rsidR="00451154">
        <w:t xml:space="preserve"> </w:t>
      </w:r>
      <w:r w:rsidR="009E3BB1">
        <w:t>#3, #4</w:t>
      </w:r>
      <w:r w:rsidR="009E3BB1">
        <w:rPr>
          <w:rFonts w:cs="Calibri"/>
        </w:rPr>
        <w:t xml:space="preserve">). </w:t>
      </w:r>
      <w:r>
        <w:rPr>
          <w:rFonts w:cs="Calibri"/>
        </w:rPr>
        <w:t>The following updates and comments were made:</w:t>
      </w:r>
    </w:p>
    <w:p w14:paraId="2B2F467B" w14:textId="043AAFF3" w:rsidR="009E3BB1" w:rsidRDefault="009E3BB1" w:rsidP="009E3BB1">
      <w:pPr>
        <w:suppressAutoHyphens/>
        <w:adjustRightInd w:val="0"/>
        <w:spacing w:before="240"/>
      </w:pPr>
      <w:r>
        <w:t>Geneva</w:t>
      </w:r>
      <w:r w:rsidR="00451154">
        <w:t xml:space="preserve"> </w:t>
      </w:r>
      <w:r>
        <w:t>2014</w:t>
      </w:r>
      <w:r w:rsidR="00451154">
        <w:t xml:space="preserve"> </w:t>
      </w:r>
      <w:r>
        <w:t>#1:</w:t>
      </w:r>
    </w:p>
    <w:p w14:paraId="4FAFA537" w14:textId="173383F9" w:rsidR="009E3BB1" w:rsidRDefault="009E3BB1" w:rsidP="008A51D8">
      <w:pPr>
        <w:pStyle w:val="ListParagraph"/>
        <w:numPr>
          <w:ilvl w:val="0"/>
          <w:numId w:val="10"/>
        </w:numPr>
        <w:suppressAutoHyphens/>
        <w:adjustRightInd w:val="0"/>
        <w:spacing w:before="240"/>
      </w:pPr>
      <w:r>
        <w:rPr>
          <w:lang w:val="en-GB"/>
        </w:rPr>
        <w:t xml:space="preserve">ITU/TSB will discuss internally how to exchange information </w:t>
      </w:r>
      <w:r w:rsidR="008A51D8">
        <w:rPr>
          <w:lang w:val="en-GB"/>
        </w:rPr>
        <w:t>at</w:t>
      </w:r>
      <w:r>
        <w:rPr>
          <w:lang w:val="en-GB"/>
        </w:rPr>
        <w:t xml:space="preserve"> secretariat level</w:t>
      </w:r>
      <w:r>
        <w:t>.</w:t>
      </w:r>
    </w:p>
    <w:p w14:paraId="2062023A" w14:textId="7B119F3E" w:rsidR="009E3BB1" w:rsidRDefault="009E3BB1" w:rsidP="009E3BB1">
      <w:pPr>
        <w:suppressAutoHyphens/>
        <w:adjustRightInd w:val="0"/>
        <w:spacing w:before="240"/>
      </w:pPr>
      <w:r>
        <w:t>Geneva</w:t>
      </w:r>
      <w:r w:rsidR="00451154">
        <w:t xml:space="preserve"> 2014 </w:t>
      </w:r>
      <w:r>
        <w:t>#2:</w:t>
      </w:r>
    </w:p>
    <w:p w14:paraId="6AFC3D57" w14:textId="77777777" w:rsidR="009E3BB1" w:rsidRDefault="009E3BB1" w:rsidP="009E3BB1">
      <w:pPr>
        <w:pStyle w:val="ListParagraph"/>
        <w:numPr>
          <w:ilvl w:val="0"/>
          <w:numId w:val="10"/>
        </w:numPr>
        <w:suppressAutoHyphens/>
        <w:adjustRightInd w:val="0"/>
        <w:spacing w:before="240"/>
      </w:pPr>
      <w:r>
        <w:rPr>
          <w:lang w:val="en-GB"/>
        </w:rPr>
        <w:t>ITU/TSB will invite Qualcomm and John Frazer to participate in the next meeting</w:t>
      </w:r>
      <w:r>
        <w:t>.</w:t>
      </w:r>
    </w:p>
    <w:p w14:paraId="69CA1D60" w14:textId="3D127044" w:rsidR="00B53D04" w:rsidRDefault="00B53D04" w:rsidP="00B53D04">
      <w:pPr>
        <w:suppressAutoHyphens/>
        <w:adjustRightInd w:val="0"/>
        <w:spacing w:before="240"/>
      </w:pPr>
      <w:r>
        <w:t>Geneva</w:t>
      </w:r>
      <w:r w:rsidR="00451154">
        <w:t xml:space="preserve"> </w:t>
      </w:r>
      <w:r w:rsidR="0026599B">
        <w:t>2013</w:t>
      </w:r>
      <w:r w:rsidR="00451154">
        <w:t xml:space="preserve"> </w:t>
      </w:r>
      <w:r>
        <w:t>#10:</w:t>
      </w:r>
    </w:p>
    <w:p w14:paraId="09D5E5F0" w14:textId="77777777" w:rsidR="00B53D04" w:rsidRDefault="009E3BB1" w:rsidP="00B649D9">
      <w:pPr>
        <w:pStyle w:val="ListParagraph"/>
        <w:numPr>
          <w:ilvl w:val="0"/>
          <w:numId w:val="10"/>
        </w:numPr>
        <w:suppressAutoHyphens/>
        <w:adjustRightInd w:val="0"/>
        <w:spacing w:before="240"/>
      </w:pPr>
      <w:r>
        <w:rPr>
          <w:lang w:val="en-GB"/>
        </w:rPr>
        <w:t>The item can be removed from the list</w:t>
      </w:r>
      <w:r>
        <w:t xml:space="preserve"> </w:t>
      </w:r>
      <w:r w:rsidR="00B649D9">
        <w:t xml:space="preserve">as no additional comments were </w:t>
      </w:r>
      <w:r>
        <w:t>received.</w:t>
      </w:r>
    </w:p>
    <w:p w14:paraId="6DE2D78A" w14:textId="77777777" w:rsidR="00E50751" w:rsidRDefault="00E50751" w:rsidP="009E3BB1">
      <w:pPr>
        <w:pStyle w:val="ListParagraph"/>
        <w:numPr>
          <w:ilvl w:val="0"/>
          <w:numId w:val="1"/>
        </w:numPr>
        <w:suppressAutoHyphens/>
        <w:adjustRightInd w:val="0"/>
        <w:spacing w:before="240"/>
        <w:rPr>
          <w:b/>
          <w:bCs/>
        </w:rPr>
      </w:pPr>
      <w:r>
        <w:rPr>
          <w:b/>
          <w:bCs/>
        </w:rPr>
        <w:t xml:space="preserve">Review of </w:t>
      </w:r>
      <w:r w:rsidR="009E3BB1">
        <w:rPr>
          <w:b/>
          <w:bCs/>
        </w:rPr>
        <w:t>UNECE WP.29 meeting, 24-27 June 2014</w:t>
      </w:r>
    </w:p>
    <w:p w14:paraId="3273C18B" w14:textId="77777777" w:rsidR="00E50751" w:rsidRDefault="00E50751" w:rsidP="0017265E">
      <w:pPr>
        <w:suppressAutoHyphens/>
        <w:adjustRightInd w:val="0"/>
        <w:spacing w:before="240"/>
      </w:pPr>
      <w:r w:rsidRPr="00E50751">
        <w:lastRenderedPageBreak/>
        <w:t>R</w:t>
      </w:r>
      <w:r w:rsidR="000E3F0B">
        <w:t xml:space="preserve">uss Shields gave an overview of the </w:t>
      </w:r>
      <w:r w:rsidR="0017265E">
        <w:t xml:space="preserve">June </w:t>
      </w:r>
      <w:r w:rsidR="000E3F0B" w:rsidRPr="0017265E">
        <w:t>meeting</w:t>
      </w:r>
      <w:r w:rsidR="000E3F0B">
        <w:t xml:space="preserve"> of UNECE’s </w:t>
      </w:r>
      <w:hyperlink r:id="rId12" w:history="1">
        <w:r w:rsidR="000E3F0B" w:rsidRPr="000E3F0B">
          <w:rPr>
            <w:rStyle w:val="Hyperlink"/>
            <w:rFonts w:cs="Arial"/>
          </w:rPr>
          <w:t>World Forum for Harmonization of Vehicle Regulations (WP.29)</w:t>
        </w:r>
      </w:hyperlink>
      <w:r w:rsidR="00EA48AC">
        <w:t>.</w:t>
      </w:r>
    </w:p>
    <w:p w14:paraId="1DD4C771" w14:textId="77777777" w:rsidR="00EA48AC" w:rsidRDefault="00EA48AC" w:rsidP="00EA48AC">
      <w:pPr>
        <w:suppressAutoHyphens/>
        <w:adjustRightInd w:val="0"/>
        <w:spacing w:before="240"/>
      </w:pPr>
      <w:r>
        <w:t>Key areas of common interest include:</w:t>
      </w:r>
    </w:p>
    <w:p w14:paraId="06F3FAA5" w14:textId="77777777" w:rsidR="00EA48AC" w:rsidRDefault="00EA48AC" w:rsidP="00EA48AC">
      <w:pPr>
        <w:pStyle w:val="ListParagraph"/>
        <w:numPr>
          <w:ilvl w:val="0"/>
          <w:numId w:val="10"/>
        </w:numPr>
        <w:suppressAutoHyphens/>
        <w:adjustRightInd w:val="0"/>
        <w:spacing w:before="240"/>
      </w:pPr>
      <w:r>
        <w:t>Automated in-vehicle emergency call systems (e.g., eCall);</w:t>
      </w:r>
    </w:p>
    <w:p w14:paraId="58E32F15" w14:textId="77777777" w:rsidR="00EA48AC" w:rsidRDefault="00EA48AC" w:rsidP="00EA48AC">
      <w:pPr>
        <w:pStyle w:val="ListParagraph"/>
        <w:numPr>
          <w:ilvl w:val="0"/>
          <w:numId w:val="10"/>
        </w:numPr>
        <w:suppressAutoHyphens/>
        <w:adjustRightInd w:val="0"/>
        <w:spacing w:before="240"/>
      </w:pPr>
      <w:r>
        <w:t>V2V communications;</w:t>
      </w:r>
    </w:p>
    <w:p w14:paraId="1E9219BD" w14:textId="77777777" w:rsidR="00EA48AC" w:rsidRDefault="00EA48AC" w:rsidP="00EA48AC">
      <w:pPr>
        <w:pStyle w:val="ListParagraph"/>
        <w:numPr>
          <w:ilvl w:val="0"/>
          <w:numId w:val="10"/>
        </w:numPr>
        <w:suppressAutoHyphens/>
        <w:adjustRightInd w:val="0"/>
        <w:spacing w:before="240"/>
      </w:pPr>
      <w:r>
        <w:t xml:space="preserve">Automated </w:t>
      </w:r>
      <w:r w:rsidR="0017265E">
        <w:t>driving;</w:t>
      </w:r>
    </w:p>
    <w:p w14:paraId="65F22AB8" w14:textId="77777777" w:rsidR="00EA48AC" w:rsidRDefault="00EA48AC" w:rsidP="00EA48AC">
      <w:pPr>
        <w:pStyle w:val="ListParagraph"/>
        <w:numPr>
          <w:ilvl w:val="0"/>
          <w:numId w:val="10"/>
        </w:numPr>
        <w:suppressAutoHyphens/>
        <w:adjustRightInd w:val="0"/>
        <w:spacing w:before="240"/>
      </w:pPr>
      <w:r>
        <w:t>Driver distraction.</w:t>
      </w:r>
    </w:p>
    <w:p w14:paraId="165DC47D" w14:textId="77777777" w:rsidR="0017265E" w:rsidRDefault="0017265E" w:rsidP="005F5511">
      <w:pPr>
        <w:suppressAutoHyphens/>
        <w:adjustRightInd w:val="0"/>
        <w:spacing w:before="240"/>
      </w:pPr>
      <w:r>
        <w:t xml:space="preserve">The </w:t>
      </w:r>
      <w:r w:rsidR="005F5511">
        <w:t>official</w:t>
      </w:r>
      <w:r>
        <w:t xml:space="preserve"> meeting report is available </w:t>
      </w:r>
      <w:hyperlink r:id="rId13" w:history="1">
        <w:r w:rsidRPr="0017265E">
          <w:rPr>
            <w:rStyle w:val="Hyperlink"/>
            <w:rFonts w:cs="Arial"/>
          </w:rPr>
          <w:t>here</w:t>
        </w:r>
      </w:hyperlink>
      <w:r>
        <w:t>.</w:t>
      </w:r>
    </w:p>
    <w:p w14:paraId="2647BB9D" w14:textId="77777777" w:rsidR="00E80158" w:rsidRDefault="00E80158" w:rsidP="00E80158">
      <w:pPr>
        <w:suppressAutoHyphens/>
        <w:adjustRightInd w:val="0"/>
        <w:spacing w:before="240"/>
      </w:pPr>
      <w:r>
        <w:t xml:space="preserve">The next WP.29 meeting will take place from </w:t>
      </w:r>
      <w:hyperlink r:id="rId14" w:history="1">
        <w:r w:rsidRPr="00E80158">
          <w:rPr>
            <w:rStyle w:val="Hyperlink"/>
            <w:rFonts w:cs="Arial"/>
          </w:rPr>
          <w:t>11 to 14 November 2014</w:t>
        </w:r>
      </w:hyperlink>
      <w:r>
        <w:t xml:space="preserve"> in Geneva, Switzerland. Delegates interested in participating in this meeting are advised to contact Martin Adolph (</w:t>
      </w:r>
      <w:hyperlink r:id="rId15" w:history="1">
        <w:r w:rsidRPr="00930BDE">
          <w:rPr>
            <w:rStyle w:val="Hyperlink"/>
            <w:rFonts w:cs="Arial"/>
          </w:rPr>
          <w:t>martin.adolph@itu.int</w:t>
        </w:r>
      </w:hyperlink>
      <w:r>
        <w:t xml:space="preserve">). </w:t>
      </w:r>
    </w:p>
    <w:p w14:paraId="28F54576" w14:textId="0769BEF8" w:rsidR="000E3F0B" w:rsidRDefault="00EA48AC" w:rsidP="00E80158">
      <w:pPr>
        <w:suppressAutoHyphens/>
        <w:adjustRightInd w:val="0"/>
        <w:spacing w:before="240"/>
      </w:pPr>
      <w:r>
        <w:t xml:space="preserve">It was </w:t>
      </w:r>
      <w:r w:rsidR="00E80158">
        <w:t xml:space="preserve">also </w:t>
      </w:r>
      <w:r>
        <w:t>announced that a</w:t>
      </w:r>
      <w:r w:rsidR="000E3F0B">
        <w:t xml:space="preserve">n </w:t>
      </w:r>
      <w:r w:rsidR="0017265E">
        <w:t xml:space="preserve">UNECE </w:t>
      </w:r>
      <w:r w:rsidR="000E3F0B">
        <w:t xml:space="preserve">round table </w:t>
      </w:r>
      <w:r w:rsidR="0017265E">
        <w:t xml:space="preserve">on ITS </w:t>
      </w:r>
      <w:r w:rsidR="00451154">
        <w:t>i</w:t>
      </w:r>
      <w:r w:rsidR="000E3F0B">
        <w:t>s scheduled to take place on 17-18 November 2014 in Brussels, Belgium.</w:t>
      </w:r>
      <w:r w:rsidR="00E80158">
        <w:t xml:space="preserve"> </w:t>
      </w:r>
    </w:p>
    <w:p w14:paraId="64768805" w14:textId="77777777" w:rsidR="0017265E" w:rsidRPr="00A3366A" w:rsidRDefault="0017265E" w:rsidP="0017265E">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(1</w:t>
      </w:r>
      <w:r w:rsidRPr="00ED7DF5">
        <w:rPr>
          <w:u w:val="single"/>
        </w:rPr>
        <w:t xml:space="preserve">) </w:t>
      </w:r>
      <w:r>
        <w:rPr>
          <w:u w:val="single"/>
        </w:rPr>
        <w:t>ITU/TSB</w:t>
      </w:r>
      <w:r w:rsidRPr="00ED7DF5">
        <w:rPr>
          <w:u w:val="single"/>
        </w:rPr>
        <w:t>:</w:t>
      </w:r>
      <w:r w:rsidRPr="00ED7DF5">
        <w:t xml:space="preserve"> </w:t>
      </w:r>
      <w:r w:rsidRPr="00ED7DF5">
        <w:tab/>
      </w:r>
      <w:r>
        <w:t>Propose way to formalize Collaboration input into WP.29</w:t>
      </w:r>
      <w:r w:rsidR="008145D4">
        <w:t>.</w:t>
      </w:r>
    </w:p>
    <w:p w14:paraId="324D24F3" w14:textId="77777777" w:rsidR="00A556AC" w:rsidRPr="00A93BD8" w:rsidRDefault="00A93BD8" w:rsidP="00A93BD8">
      <w:pPr>
        <w:pStyle w:val="ListParagraph"/>
        <w:numPr>
          <w:ilvl w:val="0"/>
          <w:numId w:val="1"/>
        </w:numPr>
        <w:suppressAutoHyphens/>
        <w:adjustRightInd w:val="0"/>
        <w:spacing w:before="240"/>
        <w:rPr>
          <w:b/>
          <w:bCs/>
        </w:rPr>
      </w:pPr>
      <w:r>
        <w:rPr>
          <w:b/>
          <w:bCs/>
        </w:rPr>
        <w:t xml:space="preserve">ITS communications requirements – Work </w:t>
      </w:r>
      <w:r w:rsidR="00A556AC" w:rsidRPr="00A93BD8">
        <w:rPr>
          <w:b/>
          <w:bCs/>
        </w:rPr>
        <w:t>Item 1</w:t>
      </w:r>
    </w:p>
    <w:p w14:paraId="548F3ECA" w14:textId="65D47D85" w:rsidR="008145D4" w:rsidRDefault="008145D4" w:rsidP="006B7D7F">
      <w:pPr>
        <w:suppressAutoHyphens/>
        <w:adjustRightInd w:val="0"/>
        <w:spacing w:before="240"/>
        <w:rPr>
          <w:rFonts w:cs="Calibri"/>
        </w:rPr>
      </w:pPr>
      <w:r w:rsidRPr="008145D4">
        <w:rPr>
          <w:rFonts w:cs="Calibri"/>
        </w:rPr>
        <w:t>Yuanyuan Liu</w:t>
      </w:r>
      <w:r>
        <w:rPr>
          <w:rFonts w:cs="Calibri"/>
        </w:rPr>
        <w:t xml:space="preserve"> of</w:t>
      </w:r>
      <w:r w:rsidRPr="008145D4">
        <w:rPr>
          <w:rFonts w:cs="Calibri"/>
        </w:rPr>
        <w:t xml:space="preserve"> China Unicom </w:t>
      </w:r>
      <w:r w:rsidR="00B70952" w:rsidRPr="00B70952">
        <w:rPr>
          <w:rFonts w:cs="Calibri"/>
        </w:rPr>
        <w:t xml:space="preserve">gave </w:t>
      </w:r>
      <w:r>
        <w:rPr>
          <w:rFonts w:cs="Calibri"/>
        </w:rPr>
        <w:t xml:space="preserve">a comprehensive overview of </w:t>
      </w:r>
      <w:r w:rsidR="00B70952" w:rsidRPr="00B70952">
        <w:rPr>
          <w:rFonts w:cs="Calibri"/>
        </w:rPr>
        <w:t xml:space="preserve">ITS </w:t>
      </w:r>
      <w:r w:rsidR="00B70952">
        <w:rPr>
          <w:rFonts w:cs="Calibri"/>
        </w:rPr>
        <w:t xml:space="preserve">activities </w:t>
      </w:r>
      <w:r w:rsidR="00B70952" w:rsidRPr="00B70952">
        <w:rPr>
          <w:rFonts w:cs="Calibri"/>
        </w:rPr>
        <w:t>in China</w:t>
      </w:r>
      <w:r>
        <w:rPr>
          <w:rFonts w:cs="Calibri"/>
        </w:rPr>
        <w:t>’s SDOs (</w:t>
      </w:r>
      <w:hyperlink r:id="rId16" w:history="1">
        <w:r w:rsidRPr="001C74F7">
          <w:rPr>
            <w:rStyle w:val="Hyperlink"/>
            <w:rFonts w:cs="Calibri"/>
          </w:rPr>
          <w:t>Doc 003</w:t>
        </w:r>
      </w:hyperlink>
      <w:r>
        <w:rPr>
          <w:rFonts w:cs="Calibri"/>
        </w:rPr>
        <w:t>) and industry groups (</w:t>
      </w:r>
      <w:hyperlink r:id="rId17" w:history="1">
        <w:r w:rsidRPr="001C74F7">
          <w:rPr>
            <w:rStyle w:val="Hyperlink"/>
            <w:rFonts w:cs="Calibri"/>
          </w:rPr>
          <w:t>Doc 004</w:t>
        </w:r>
      </w:hyperlink>
      <w:r>
        <w:rPr>
          <w:rFonts w:cs="Calibri"/>
        </w:rPr>
        <w:t>)</w:t>
      </w:r>
      <w:r w:rsidR="00B70952">
        <w:rPr>
          <w:rFonts w:cs="Calibri"/>
        </w:rPr>
        <w:t xml:space="preserve">. </w:t>
      </w:r>
      <w:r w:rsidR="00451154">
        <w:rPr>
          <w:rFonts w:cs="Calibri"/>
        </w:rPr>
        <w:t xml:space="preserve"> </w:t>
      </w:r>
      <w:r w:rsidR="006B7D7F">
        <w:rPr>
          <w:rFonts w:cs="Calibri"/>
        </w:rPr>
        <w:t xml:space="preserve">Kevin Li (Strategy Analytics) highlighted the work undertaken in </w:t>
      </w:r>
      <w:hyperlink r:id="rId18" w:history="1">
        <w:r w:rsidR="006B7D7F" w:rsidRPr="006B7D7F">
          <w:rPr>
            <w:rStyle w:val="Hyperlink"/>
            <w:rFonts w:cs="Calibri"/>
          </w:rPr>
          <w:t>TIAA</w:t>
        </w:r>
      </w:hyperlink>
      <w:r w:rsidR="006B7D7F">
        <w:rPr>
          <w:rFonts w:cs="Calibri"/>
        </w:rPr>
        <w:t xml:space="preserve"> and its working groups on eCall, autonomous driving, V2X communications and vehicle IQ (a scale of measuring and comparing the intelligence of cars). </w:t>
      </w:r>
      <w:r w:rsidR="00451154">
        <w:rPr>
          <w:rFonts w:cs="Calibri"/>
        </w:rPr>
        <w:t xml:space="preserve"> </w:t>
      </w:r>
      <w:r>
        <w:rPr>
          <w:rFonts w:cs="Calibri"/>
        </w:rPr>
        <w:t xml:space="preserve">Participants noted the progress made since the last Collaboration meeting in China (March 2013). </w:t>
      </w:r>
    </w:p>
    <w:p w14:paraId="1668B449" w14:textId="7ECFE78A" w:rsidR="008145D4" w:rsidRPr="00A3366A" w:rsidRDefault="008145D4" w:rsidP="006B7D7F">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(2</w:t>
      </w:r>
      <w:r w:rsidRPr="00ED7DF5">
        <w:rPr>
          <w:u w:val="single"/>
        </w:rPr>
        <w:t xml:space="preserve">) </w:t>
      </w:r>
      <w:r>
        <w:rPr>
          <w:u w:val="single"/>
        </w:rPr>
        <w:t>ITU/TSB and Kevin Li</w:t>
      </w:r>
      <w:r w:rsidRPr="00ED7DF5">
        <w:rPr>
          <w:u w:val="single"/>
        </w:rPr>
        <w:t>:</w:t>
      </w:r>
      <w:r w:rsidR="00451154">
        <w:rPr>
          <w:u w:val="single"/>
        </w:rPr>
        <w:t xml:space="preserve"> </w:t>
      </w:r>
      <w:r w:rsidRPr="00ED7DF5">
        <w:tab/>
      </w:r>
      <w:r w:rsidR="00451154">
        <w:t xml:space="preserve"> </w:t>
      </w:r>
      <w:r>
        <w:t xml:space="preserve">Explore the possibility of hosting </w:t>
      </w:r>
      <w:r w:rsidR="006B7D7F">
        <w:t>the</w:t>
      </w:r>
      <w:r>
        <w:t xml:space="preserve"> Collaboration </w:t>
      </w:r>
      <w:r w:rsidR="006B7D7F">
        <w:t xml:space="preserve">on ITS Communication Standards alongside a </w:t>
      </w:r>
      <w:r>
        <w:t xml:space="preserve">TIAA </w:t>
      </w:r>
      <w:r w:rsidR="006B7D7F">
        <w:t xml:space="preserve">meeting </w:t>
      </w:r>
      <w:r>
        <w:t>in July 2015.</w:t>
      </w:r>
    </w:p>
    <w:p w14:paraId="49D91362" w14:textId="2499357A" w:rsidR="00B63B77" w:rsidRDefault="006B7D7F" w:rsidP="006B7D7F">
      <w:pPr>
        <w:suppressAutoHyphens/>
        <w:adjustRightInd w:val="0"/>
        <w:spacing w:before="240"/>
      </w:pPr>
      <w:r w:rsidRPr="006B7D7F">
        <w:t>Yas</w:t>
      </w:r>
      <w:r>
        <w:t>ubumi Chimura of OKI, Japan gave an update on TTC Japan’s priorities concerning ITS communications</w:t>
      </w:r>
      <w:r w:rsidR="00B63B77">
        <w:t xml:space="preserve"> (</w:t>
      </w:r>
      <w:hyperlink r:id="rId19" w:history="1">
        <w:r w:rsidR="00B63B77" w:rsidRPr="001C74F7">
          <w:rPr>
            <w:rStyle w:val="Hyperlink"/>
            <w:rFonts w:cs="Arial"/>
          </w:rPr>
          <w:t>Doc 005</w:t>
        </w:r>
      </w:hyperlink>
      <w:r w:rsidR="00B63B77">
        <w:t>)</w:t>
      </w:r>
      <w:r w:rsidR="007E4B10">
        <w:t xml:space="preserve"> and the gap analysis document (</w:t>
      </w:r>
      <w:hyperlink r:id="rId20" w:history="1">
        <w:r w:rsidR="007E4B10" w:rsidRPr="001C74F7">
          <w:rPr>
            <w:rStyle w:val="Hyperlink"/>
            <w:rFonts w:cs="Arial"/>
          </w:rPr>
          <w:t>Doc 006</w:t>
        </w:r>
      </w:hyperlink>
      <w:r w:rsidR="007E4B10">
        <w:t>)</w:t>
      </w:r>
      <w:r>
        <w:t xml:space="preserve">. </w:t>
      </w:r>
    </w:p>
    <w:p w14:paraId="27C97FA7" w14:textId="3F4C9270" w:rsidR="00283CEC" w:rsidRDefault="00283CEC" w:rsidP="00DC391D">
      <w:pPr>
        <w:suppressAutoHyphens/>
        <w:adjustRightInd w:val="0"/>
        <w:spacing w:before="240"/>
      </w:pPr>
      <w:r>
        <w:t xml:space="preserve">Concerning the area of </w:t>
      </w:r>
      <w:r w:rsidRPr="00283CEC">
        <w:t xml:space="preserve">ITS </w:t>
      </w:r>
      <w:r>
        <w:t>communications</w:t>
      </w:r>
      <w:r w:rsidRPr="00283CEC">
        <w:t xml:space="preserve"> for </w:t>
      </w:r>
      <w:r>
        <w:t>d</w:t>
      </w:r>
      <w:r w:rsidRPr="00283CEC">
        <w:t xml:space="preserve">isaster </w:t>
      </w:r>
      <w:r>
        <w:t>r</w:t>
      </w:r>
      <w:r w:rsidRPr="00283CEC">
        <w:t>elief</w:t>
      </w:r>
      <w:r>
        <w:t xml:space="preserve"> applications, participants </w:t>
      </w:r>
      <w:r w:rsidR="00AD04B8">
        <w:t>pointed out</w:t>
      </w:r>
      <w:r>
        <w:t xml:space="preserve"> that a related ITU-T Focus Group on </w:t>
      </w:r>
      <w:r w:rsidRPr="00283CEC">
        <w:t xml:space="preserve">Disaster Relief Systems, Network Resilience and Recovery </w:t>
      </w:r>
      <w:r>
        <w:t xml:space="preserve">has </w:t>
      </w:r>
      <w:r w:rsidR="00DC391D">
        <w:t xml:space="preserve">recently </w:t>
      </w:r>
      <w:r>
        <w:t xml:space="preserve">completed its activities, </w:t>
      </w:r>
      <w:hyperlink r:id="rId21" w:history="1">
        <w:r w:rsidRPr="00283CEC">
          <w:rPr>
            <w:rStyle w:val="Hyperlink"/>
            <w:rFonts w:cs="Arial"/>
          </w:rPr>
          <w:t>published its deliverables</w:t>
        </w:r>
      </w:hyperlink>
      <w:r>
        <w:t xml:space="preserve"> and submitted them for review </w:t>
      </w:r>
      <w:r w:rsidR="00DC391D">
        <w:t>to</w:t>
      </w:r>
      <w:r>
        <w:t xml:space="preserve"> related ITU-T Study Groups.</w:t>
      </w:r>
    </w:p>
    <w:p w14:paraId="139B4EF9" w14:textId="217C40C6" w:rsidR="00B63B77" w:rsidRDefault="00283CEC" w:rsidP="00570E4F">
      <w:pPr>
        <w:suppressAutoHyphens/>
        <w:adjustRightInd w:val="0"/>
        <w:spacing w:before="240"/>
      </w:pPr>
      <w:r w:rsidRPr="00451154">
        <w:t xml:space="preserve">ITS Japan </w:t>
      </w:r>
      <w:r w:rsidR="00451154">
        <w:t xml:space="preserve">will host an </w:t>
      </w:r>
      <w:r w:rsidRPr="00451154">
        <w:t xml:space="preserve">event on international cooperation for automated driving, </w:t>
      </w:r>
      <w:r w:rsidR="00451154">
        <w:t xml:space="preserve">tentatively scheduled for </w:t>
      </w:r>
      <w:r w:rsidR="00382FF0">
        <w:t xml:space="preserve">17-18 </w:t>
      </w:r>
      <w:r w:rsidRPr="00451154">
        <w:t>November</w:t>
      </w:r>
      <w:r w:rsidR="00382FF0">
        <w:t xml:space="preserve"> </w:t>
      </w:r>
      <w:r w:rsidRPr="00451154">
        <w:t xml:space="preserve">2014, </w:t>
      </w:r>
      <w:r w:rsidR="00382FF0">
        <w:t>that will include communications as a topic.</w:t>
      </w:r>
    </w:p>
    <w:p w14:paraId="5FAF484E" w14:textId="3411573E" w:rsidR="007E4B10" w:rsidRDefault="007E4B10" w:rsidP="007E4B10">
      <w:pPr>
        <w:suppressAutoHyphens/>
        <w:adjustRightInd w:val="0"/>
        <w:spacing w:before="240"/>
        <w:rPr>
          <w:lang w:val="en-GB"/>
        </w:rPr>
      </w:pPr>
      <w:r>
        <w:rPr>
          <w:lang w:val="en-GB"/>
        </w:rPr>
        <w:lastRenderedPageBreak/>
        <w:t xml:space="preserve">The meeting then discussed the status of the report on communications requirements of high-priority ITS applications and agreed to submit it to SG16 for review and adoption as an ITU-T Technical Paper. The corresponding liaison statement is in </w:t>
      </w:r>
      <w:hyperlink r:id="rId22" w:history="1">
        <w:r w:rsidRPr="007E4B10">
          <w:rPr>
            <w:rStyle w:val="Hyperlink"/>
            <w:rFonts w:cs="Arial"/>
            <w:lang w:val="en-GB"/>
          </w:rPr>
          <w:t>CITS–LS3</w:t>
        </w:r>
      </w:hyperlink>
      <w:r>
        <w:rPr>
          <w:lang w:val="en-GB"/>
        </w:rPr>
        <w:t>.</w:t>
      </w:r>
    </w:p>
    <w:p w14:paraId="0F9CAE1E" w14:textId="54C8E7A8" w:rsidR="001A3133" w:rsidRDefault="001A3133" w:rsidP="001A3133">
      <w:pPr>
        <w:suppressAutoHyphens/>
        <w:adjustRightInd w:val="0"/>
        <w:spacing w:before="240"/>
        <w:rPr>
          <w:rFonts w:cs="Calibri"/>
        </w:rPr>
      </w:pPr>
      <w:r>
        <w:t xml:space="preserve">Regarding the document on gap analysis (Doc 006), participants asked TTC to propose a way forward for the area of standards for </w:t>
      </w:r>
      <w:r>
        <w:rPr>
          <w:rFonts w:cs="Calibri"/>
        </w:rPr>
        <w:t>ITS communications for vulnerable road users (e.g., pedestrians, bicycles).</w:t>
      </w:r>
    </w:p>
    <w:p w14:paraId="08D05D83" w14:textId="2DE6989A" w:rsidR="001A3133" w:rsidRPr="00A3366A" w:rsidRDefault="001A3133" w:rsidP="001A3133">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w:t>
      </w:r>
      <w:r w:rsidR="00382FF0">
        <w:rPr>
          <w:u w:val="single"/>
        </w:rPr>
        <w:t>3</w:t>
      </w:r>
      <w:r w:rsidRPr="00ED7DF5">
        <w:rPr>
          <w:u w:val="single"/>
        </w:rPr>
        <w:t xml:space="preserve">) </w:t>
      </w:r>
      <w:r>
        <w:rPr>
          <w:u w:val="single"/>
        </w:rPr>
        <w:t>TTC</w:t>
      </w:r>
      <w:r w:rsidRPr="00ED7DF5">
        <w:rPr>
          <w:u w:val="single"/>
        </w:rPr>
        <w:t>:</w:t>
      </w:r>
      <w:r w:rsidRPr="00ED7DF5">
        <w:t xml:space="preserve"> </w:t>
      </w:r>
      <w:r w:rsidRPr="00ED7DF5">
        <w:tab/>
      </w:r>
      <w:r>
        <w:t>Propose a way forward for ITS communications for vulnerable road users.</w:t>
      </w:r>
    </w:p>
    <w:p w14:paraId="028D0C74" w14:textId="77777777" w:rsidR="00415D43" w:rsidRPr="00A93BD8" w:rsidRDefault="00A93BD8" w:rsidP="00A93BD8">
      <w:pPr>
        <w:pStyle w:val="ListParagraph"/>
        <w:numPr>
          <w:ilvl w:val="0"/>
          <w:numId w:val="1"/>
        </w:numPr>
        <w:suppressAutoHyphens/>
        <w:adjustRightInd w:val="0"/>
        <w:spacing w:before="240"/>
        <w:rPr>
          <w:b/>
          <w:bCs/>
          <w:lang w:val="en-GB"/>
        </w:rPr>
      </w:pPr>
      <w:r>
        <w:rPr>
          <w:b/>
          <w:bCs/>
          <w:lang w:val="en-GB"/>
        </w:rPr>
        <w:t xml:space="preserve">ITS communications security – Work </w:t>
      </w:r>
      <w:r w:rsidR="00415D43" w:rsidRPr="00A93BD8">
        <w:rPr>
          <w:b/>
          <w:bCs/>
          <w:lang w:val="en-GB"/>
        </w:rPr>
        <w:t>Item 4</w:t>
      </w:r>
    </w:p>
    <w:p w14:paraId="0DE42FB1" w14:textId="32DC367A" w:rsidR="00D87DD2" w:rsidRDefault="00D87DD2" w:rsidP="00F0504C">
      <w:pPr>
        <w:suppressAutoHyphens/>
        <w:adjustRightInd w:val="0"/>
        <w:spacing w:before="240"/>
        <w:rPr>
          <w:rFonts w:cs="Calibri"/>
          <w:lang w:val="en-GB"/>
        </w:rPr>
      </w:pPr>
      <w:r>
        <w:rPr>
          <w:rFonts w:cs="Calibri"/>
          <w:lang w:val="en-GB"/>
        </w:rPr>
        <w:t xml:space="preserve">Masashi Eto of NICT Japan introduced </w:t>
      </w:r>
      <w:hyperlink r:id="rId23" w:history="1">
        <w:r w:rsidRPr="001C74F7">
          <w:rPr>
            <w:rStyle w:val="Hyperlink"/>
            <w:rFonts w:cs="Calibri"/>
            <w:lang w:val="en-GB"/>
          </w:rPr>
          <w:t>Doc 007</w:t>
        </w:r>
      </w:hyperlink>
      <w:r>
        <w:rPr>
          <w:rFonts w:cs="Calibri"/>
          <w:lang w:val="en-GB"/>
        </w:rPr>
        <w:t xml:space="preserve">, a liaison statement on ITS communications security from </w:t>
      </w:r>
      <w:hyperlink r:id="rId24" w:history="1">
        <w:r w:rsidRPr="00F0504C">
          <w:rPr>
            <w:rStyle w:val="Hyperlink"/>
            <w:rFonts w:cs="Calibri"/>
            <w:lang w:val="en-GB"/>
          </w:rPr>
          <w:t>ITU-T Study Group 17</w:t>
        </w:r>
      </w:hyperlink>
      <w:r>
        <w:rPr>
          <w:rFonts w:cs="Calibri"/>
          <w:lang w:val="en-GB"/>
        </w:rPr>
        <w:t xml:space="preserve">. </w:t>
      </w:r>
      <w:r w:rsidR="00382FF0">
        <w:rPr>
          <w:rFonts w:cs="Calibri"/>
          <w:lang w:val="en-GB"/>
        </w:rPr>
        <w:t xml:space="preserve"> </w:t>
      </w:r>
      <w:r>
        <w:rPr>
          <w:rFonts w:cs="Calibri"/>
          <w:lang w:val="en-GB"/>
        </w:rPr>
        <w:t xml:space="preserve">Participants took particular note of the proposed new work item </w:t>
      </w:r>
      <w:r w:rsidR="00F0504C">
        <w:rPr>
          <w:rFonts w:cs="Calibri"/>
          <w:lang w:val="en-GB"/>
        </w:rPr>
        <w:t xml:space="preserve">on </w:t>
      </w:r>
      <w:r>
        <w:rPr>
          <w:rFonts w:cs="Calibri"/>
          <w:lang w:val="en-GB"/>
        </w:rPr>
        <w:t>“</w:t>
      </w:r>
      <w:r w:rsidRPr="00D87DD2">
        <w:rPr>
          <w:rFonts w:cs="Calibri"/>
          <w:lang w:val="en-GB"/>
        </w:rPr>
        <w:t>Security for remote updates of car software/systems”</w:t>
      </w:r>
      <w:r w:rsidR="00F0504C">
        <w:rPr>
          <w:rFonts w:cs="Calibri"/>
          <w:lang w:val="en-GB"/>
        </w:rPr>
        <w:t xml:space="preserve">, an area </w:t>
      </w:r>
      <w:r>
        <w:rPr>
          <w:rFonts w:cs="Calibri"/>
          <w:lang w:val="en-GB"/>
        </w:rPr>
        <w:t>which will be further discussed by SG17 in its September 2014 meeting.</w:t>
      </w:r>
    </w:p>
    <w:p w14:paraId="19256E1B" w14:textId="4D58F2D4" w:rsidR="00415D43" w:rsidRPr="00A93BD8" w:rsidRDefault="004F3C08" w:rsidP="004F3C08">
      <w:pPr>
        <w:pStyle w:val="ListParagraph"/>
        <w:numPr>
          <w:ilvl w:val="0"/>
          <w:numId w:val="1"/>
        </w:numPr>
        <w:suppressAutoHyphens/>
        <w:adjustRightInd w:val="0"/>
        <w:spacing w:before="240"/>
        <w:rPr>
          <w:b/>
          <w:bCs/>
          <w:lang w:val="en-GB"/>
        </w:rPr>
      </w:pPr>
      <w:r>
        <w:rPr>
          <w:b/>
          <w:bCs/>
          <w:lang w:val="en-GB"/>
        </w:rPr>
        <w:t>Any other business</w:t>
      </w:r>
    </w:p>
    <w:p w14:paraId="77097D71" w14:textId="4522AE2D" w:rsidR="004F3C08" w:rsidRDefault="00BE7465" w:rsidP="004F3C08">
      <w:pPr>
        <w:suppressAutoHyphens/>
        <w:adjustRightInd w:val="0"/>
        <w:spacing w:before="240"/>
        <w:rPr>
          <w:rFonts w:cs="Calibri"/>
          <w:lang w:val="en-GB"/>
        </w:rPr>
      </w:pPr>
      <w:r>
        <w:rPr>
          <w:rFonts w:cs="Calibri"/>
          <w:lang w:val="en-GB"/>
        </w:rPr>
        <w:t xml:space="preserve">Yushi Naito </w:t>
      </w:r>
      <w:r w:rsidR="004F3C08">
        <w:rPr>
          <w:rFonts w:cs="Calibri"/>
          <w:lang w:val="en-GB"/>
        </w:rPr>
        <w:t xml:space="preserve">informed participants that Scott Pennock will no longer be the Rapporteur of </w:t>
      </w:r>
      <w:hyperlink r:id="rId25" w:history="1">
        <w:r w:rsidR="004F3C08" w:rsidRPr="004F3C08">
          <w:rPr>
            <w:rStyle w:val="Hyperlink"/>
            <w:rFonts w:cs="Calibri"/>
            <w:lang w:val="en-GB"/>
          </w:rPr>
          <w:t>Q27/16</w:t>
        </w:r>
      </w:hyperlink>
      <w:r w:rsidR="004F3C08">
        <w:rPr>
          <w:rFonts w:cs="Calibri"/>
          <w:lang w:val="en-GB"/>
        </w:rPr>
        <w:t xml:space="preserve">. </w:t>
      </w:r>
      <w:r w:rsidR="00382FF0">
        <w:rPr>
          <w:rFonts w:cs="Calibri"/>
          <w:lang w:val="en-GB"/>
        </w:rPr>
        <w:t xml:space="preserve"> </w:t>
      </w:r>
      <w:r w:rsidR="004F3C08">
        <w:rPr>
          <w:rFonts w:cs="Calibri"/>
          <w:lang w:val="en-GB"/>
        </w:rPr>
        <w:t>Participants asked Yushi to provide updates on Q27/16 activities in the next Collaboration meeting and to invite the new Rapporteur to regularly report to the Collaboration on ITS Communication Standards.</w:t>
      </w:r>
    </w:p>
    <w:p w14:paraId="760A60D0" w14:textId="02791082" w:rsidR="004F3C08" w:rsidRPr="00A3366A" w:rsidRDefault="004F3C08" w:rsidP="004F3C08">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w:t>
      </w:r>
      <w:r w:rsidR="00382FF0">
        <w:rPr>
          <w:u w:val="single"/>
        </w:rPr>
        <w:t>4</w:t>
      </w:r>
      <w:r w:rsidRPr="00ED7DF5">
        <w:rPr>
          <w:u w:val="single"/>
        </w:rPr>
        <w:t xml:space="preserve">) </w:t>
      </w:r>
      <w:r>
        <w:rPr>
          <w:u w:val="single"/>
        </w:rPr>
        <w:t>Yushi Naito</w:t>
      </w:r>
      <w:r w:rsidRPr="00ED7DF5">
        <w:rPr>
          <w:u w:val="single"/>
        </w:rPr>
        <w:t>:</w:t>
      </w:r>
      <w:r w:rsidRPr="00ED7DF5">
        <w:t xml:space="preserve"> </w:t>
      </w:r>
      <w:r w:rsidRPr="00ED7DF5">
        <w:tab/>
      </w:r>
      <w:r>
        <w:t>Provide updates on Q27/16 activities.</w:t>
      </w:r>
    </w:p>
    <w:p w14:paraId="3E0B0002" w14:textId="7BF61391" w:rsidR="00A508D5" w:rsidRDefault="009F7546" w:rsidP="004F3C08">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 xml:space="preserve">Next </w:t>
      </w:r>
      <w:r w:rsidR="004F3C08">
        <w:rPr>
          <w:rFonts w:cs="Calibri"/>
          <w:b/>
          <w:bCs/>
          <w:szCs w:val="24"/>
        </w:rPr>
        <w:t>meetings</w:t>
      </w:r>
    </w:p>
    <w:p w14:paraId="3DD1233C" w14:textId="4DA4CF1D" w:rsidR="009F7546" w:rsidRDefault="004F3C08" w:rsidP="004F3C08">
      <w:p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4F3C08">
        <w:rPr>
          <w:rFonts w:cs="Calibri"/>
          <w:szCs w:val="24"/>
        </w:rPr>
        <w:t xml:space="preserve">The next meeting of the Collaboration on ITS Communication Standards will take place on </w:t>
      </w:r>
      <w:r w:rsidRPr="004F3C08">
        <w:rPr>
          <w:rFonts w:cs="Calibri"/>
          <w:b/>
          <w:bCs/>
          <w:szCs w:val="24"/>
        </w:rPr>
        <w:t>23 October 2014 at SAE International offices in Troy, Michigan, United States</w:t>
      </w:r>
      <w:r w:rsidRPr="004F3C08">
        <w:rPr>
          <w:rFonts w:cs="Calibri"/>
          <w:szCs w:val="24"/>
        </w:rPr>
        <w:t>, with remote participation capabilities.</w:t>
      </w:r>
      <w:r w:rsidRPr="004F3C08">
        <w:rPr>
          <w:rFonts w:cs="Calibri"/>
          <w:b/>
          <w:bCs/>
          <w:szCs w:val="24"/>
        </w:rPr>
        <w:t xml:space="preserve"> </w:t>
      </w:r>
      <w:r w:rsidRPr="004F3C08">
        <w:rPr>
          <w:rFonts w:cs="Calibri"/>
          <w:szCs w:val="24"/>
        </w:rPr>
        <w:t>The meeting will be held in conjunction with SAE Convergence Conference &amp; Exhibition, 21-22 October 2014, Detroit.</w:t>
      </w:r>
      <w:r w:rsidR="00BE7465" w:rsidRPr="00BE7465">
        <w:rPr>
          <w:rFonts w:cs="Calibri"/>
          <w:szCs w:val="24"/>
        </w:rPr>
        <w:t xml:space="preserve"> </w:t>
      </w:r>
      <w:r w:rsidR="00A93BD8">
        <w:t>Meeting announcement</w:t>
      </w:r>
      <w:r w:rsidR="00BE7465">
        <w:t>,</w:t>
      </w:r>
      <w:r w:rsidR="00A93BD8">
        <w:t xml:space="preserve"> </w:t>
      </w:r>
      <w:r w:rsidR="00BE7465">
        <w:t>logistical information and registration form</w:t>
      </w:r>
      <w:r w:rsidR="00A93BD8">
        <w:t xml:space="preserve"> </w:t>
      </w:r>
      <w:r w:rsidR="00BE7465">
        <w:t xml:space="preserve">are available </w:t>
      </w:r>
      <w:r w:rsidR="00A93BD8">
        <w:t xml:space="preserve">at </w:t>
      </w:r>
      <w:hyperlink r:id="rId26" w:history="1">
        <w:r w:rsidR="00A93BD8" w:rsidRPr="002C2E2C">
          <w:rPr>
            <w:rStyle w:val="Hyperlink"/>
            <w:rFonts w:cs="Arial"/>
          </w:rPr>
          <w:t>http://itu.int/go/ITScomms</w:t>
        </w:r>
      </w:hyperlink>
      <w:r w:rsidR="009F7546">
        <w:t>.</w:t>
      </w:r>
    </w:p>
    <w:p w14:paraId="1B418C04" w14:textId="70121DF1" w:rsidR="00BE7465" w:rsidRDefault="004F3C08" w:rsidP="00157E61">
      <w:pPr>
        <w:tabs>
          <w:tab w:val="left" w:pos="794"/>
          <w:tab w:val="left" w:pos="1191"/>
          <w:tab w:val="left" w:pos="1588"/>
          <w:tab w:val="left" w:pos="1985"/>
        </w:tabs>
        <w:overflowPunct w:val="0"/>
        <w:autoSpaceDE w:val="0"/>
        <w:autoSpaceDN w:val="0"/>
        <w:adjustRightInd w:val="0"/>
        <w:spacing w:before="120" w:line="240" w:lineRule="auto"/>
      </w:pPr>
      <w:r>
        <w:t>Future</w:t>
      </w:r>
      <w:r w:rsidR="00BE7465">
        <w:t xml:space="preserve"> meeting</w:t>
      </w:r>
      <w:r>
        <w:t>s</w:t>
      </w:r>
      <w:r w:rsidR="00BE7465">
        <w:t xml:space="preserve"> </w:t>
      </w:r>
      <w:r>
        <w:t xml:space="preserve">are planned to take place at </w:t>
      </w:r>
      <w:r w:rsidR="00157E61">
        <w:t xml:space="preserve">ITU in conjunction with </w:t>
      </w:r>
      <w:r>
        <w:t xml:space="preserve">Geneva Motor Show and the ITU Symposium on The Future Networked Car </w:t>
      </w:r>
      <w:r w:rsidR="00382FF0">
        <w:t>6</w:t>
      </w:r>
      <w:r>
        <w:t xml:space="preserve"> March</w:t>
      </w:r>
      <w:r w:rsidR="00382FF0">
        <w:t>,</w:t>
      </w:r>
      <w:r>
        <w:t xml:space="preserve"> 2015; and in conjunction with a</w:t>
      </w:r>
      <w:r w:rsidR="00DA5A32">
        <w:t>n</w:t>
      </w:r>
      <w:r>
        <w:t xml:space="preserve"> event in China in July 2015 (date and location tbc).</w:t>
      </w:r>
    </w:p>
    <w:p w14:paraId="3CA5396A" w14:textId="77777777" w:rsidR="009F7546" w:rsidRPr="00AD4C57" w:rsidRDefault="009F7546" w:rsidP="00CF48FB">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14:paraId="299867AF" w14:textId="191DFF1F" w:rsidR="009F7546" w:rsidRDefault="00CE4E83" w:rsidP="00157E6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pPr>
      <w:r>
        <w:rPr>
          <w:rFonts w:cs="Calibri"/>
          <w:lang w:val="en-GB"/>
        </w:rPr>
        <w:t>Russ Shields</w:t>
      </w:r>
      <w:r w:rsidR="009F7546" w:rsidRPr="00AD4C57">
        <w:rPr>
          <w:rFonts w:cs="Calibri"/>
          <w:lang w:val="en-GB"/>
        </w:rPr>
        <w:t xml:space="preserve"> thanked the parti</w:t>
      </w:r>
      <w:r w:rsidR="009F7546">
        <w:rPr>
          <w:rFonts w:cs="Calibri"/>
          <w:lang w:val="en-GB"/>
        </w:rPr>
        <w:t>cipants for all the discussions</w:t>
      </w:r>
      <w:r w:rsidR="009F7546" w:rsidRPr="00AD4C57">
        <w:rPr>
          <w:rFonts w:cs="Calibri"/>
          <w:lang w:val="en-GB"/>
        </w:rPr>
        <w:t xml:space="preserve">. </w:t>
      </w:r>
      <w:r w:rsidR="00BE7465">
        <w:rPr>
          <w:rFonts w:cs="Calibri"/>
          <w:lang w:val="en-GB"/>
        </w:rPr>
        <w:t>The meeting closed at 1</w:t>
      </w:r>
      <w:r w:rsidR="004F3C08">
        <w:rPr>
          <w:rFonts w:cs="Calibri"/>
          <w:lang w:val="en-GB"/>
        </w:rPr>
        <w:t>64</w:t>
      </w:r>
      <w:r w:rsidR="00157E61">
        <w:rPr>
          <w:rFonts w:cs="Calibri"/>
          <w:lang w:val="en-GB"/>
        </w:rPr>
        <w:t>5</w:t>
      </w:r>
      <w:r w:rsidR="00BE7465">
        <w:rPr>
          <w:rFonts w:cs="Calibri"/>
          <w:lang w:val="en-GB"/>
        </w:rPr>
        <w:t>.</w:t>
      </w:r>
    </w:p>
    <w:p w14:paraId="56CE65B0" w14:textId="77777777" w:rsidR="0056611F" w:rsidRDefault="0056611F">
      <w:pPr>
        <w:spacing w:after="0" w:line="240" w:lineRule="auto"/>
        <w:rPr>
          <w:lang w:val="en-GB"/>
        </w:rPr>
        <w:sectPr w:rsidR="0056611F" w:rsidSect="004A1E3E">
          <w:footerReference w:type="default" r:id="rId27"/>
          <w:pgSz w:w="12240" w:h="15840"/>
          <w:pgMar w:top="1440" w:right="1440" w:bottom="1440" w:left="1440" w:header="709" w:footer="709" w:gutter="0"/>
          <w:cols w:space="708"/>
          <w:docGrid w:linePitch="360"/>
        </w:sectPr>
      </w:pPr>
    </w:p>
    <w:tbl>
      <w:tblPr>
        <w:tblStyle w:val="LightShading-Accent1"/>
        <w:tblW w:w="0" w:type="auto"/>
        <w:tblLook w:val="04A0" w:firstRow="1" w:lastRow="0" w:firstColumn="1" w:lastColumn="0" w:noHBand="0" w:noVBand="1"/>
      </w:tblPr>
      <w:tblGrid>
        <w:gridCol w:w="1563"/>
        <w:gridCol w:w="806"/>
        <w:gridCol w:w="1710"/>
        <w:gridCol w:w="4731"/>
        <w:gridCol w:w="1549"/>
        <w:gridCol w:w="1412"/>
        <w:gridCol w:w="1189"/>
      </w:tblGrid>
      <w:tr w:rsidR="00E45E9C" w14:paraId="21AB7BCF" w14:textId="77777777" w:rsidTr="00157E61">
        <w:trPr>
          <w:cnfStyle w:val="100000000000" w:firstRow="1" w:lastRow="0" w:firstColumn="0" w:lastColumn="0" w:oddVBand="0" w:evenVBand="0" w:oddHBand="0"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563" w:type="dxa"/>
            <w:hideMark/>
          </w:tcPr>
          <w:p w14:paraId="471FE4DB" w14:textId="77777777" w:rsidR="0056611F" w:rsidRDefault="0056611F" w:rsidP="006A1F8D">
            <w:r>
              <w:lastRenderedPageBreak/>
              <w:t>Meeting</w:t>
            </w:r>
          </w:p>
        </w:tc>
        <w:tc>
          <w:tcPr>
            <w:tcW w:w="806" w:type="dxa"/>
            <w:hideMark/>
          </w:tcPr>
          <w:p w14:paraId="2D9B902F" w14:textId="77777777" w:rsidR="0056611F" w:rsidRDefault="00D64F41" w:rsidP="006A1F8D">
            <w:pPr>
              <w:cnfStyle w:val="100000000000" w:firstRow="1" w:lastRow="0" w:firstColumn="0" w:lastColumn="0" w:oddVBand="0" w:evenVBand="0" w:oddHBand="0" w:evenHBand="0" w:firstRowFirstColumn="0" w:firstRowLastColumn="0" w:lastRowFirstColumn="0" w:lastRowLastColumn="0"/>
            </w:pPr>
            <w:r>
              <w:t>N</w:t>
            </w:r>
            <w:r w:rsidR="0056611F">
              <w:t>o.</w:t>
            </w:r>
          </w:p>
        </w:tc>
        <w:tc>
          <w:tcPr>
            <w:tcW w:w="1710" w:type="dxa"/>
            <w:hideMark/>
          </w:tcPr>
          <w:p w14:paraId="43F720C2" w14:textId="77777777" w:rsidR="0056611F" w:rsidRDefault="0056611F" w:rsidP="006A1F8D">
            <w:pPr>
              <w:cnfStyle w:val="100000000000" w:firstRow="1" w:lastRow="0" w:firstColumn="0" w:lastColumn="0" w:oddVBand="0" w:evenVBand="0" w:oddHBand="0" w:evenHBand="0" w:firstRowFirstColumn="0" w:firstRowLastColumn="0" w:lastRowFirstColumn="0" w:lastRowLastColumn="0"/>
            </w:pPr>
            <w:r>
              <w:t>Who</w:t>
            </w:r>
          </w:p>
        </w:tc>
        <w:tc>
          <w:tcPr>
            <w:tcW w:w="4731" w:type="dxa"/>
            <w:hideMark/>
          </w:tcPr>
          <w:p w14:paraId="7AB08977" w14:textId="77777777" w:rsidR="0056611F" w:rsidRDefault="0056611F" w:rsidP="006A1F8D">
            <w:pPr>
              <w:cnfStyle w:val="100000000000" w:firstRow="1" w:lastRow="0" w:firstColumn="0" w:lastColumn="0" w:oddVBand="0" w:evenVBand="0" w:oddHBand="0" w:evenHBand="0" w:firstRowFirstColumn="0" w:firstRowLastColumn="0" w:lastRowFirstColumn="0" w:lastRowLastColumn="0"/>
            </w:pPr>
            <w:r>
              <w:t>What</w:t>
            </w:r>
          </w:p>
        </w:tc>
        <w:tc>
          <w:tcPr>
            <w:tcW w:w="1549" w:type="dxa"/>
            <w:hideMark/>
          </w:tcPr>
          <w:p w14:paraId="61969603" w14:textId="77777777" w:rsidR="0056611F" w:rsidRDefault="0056611F" w:rsidP="006A1F8D">
            <w:pPr>
              <w:cnfStyle w:val="100000000000" w:firstRow="1" w:lastRow="0" w:firstColumn="0" w:lastColumn="0" w:oddVBand="0" w:evenVBand="0" w:oddHBand="0" w:evenHBand="0" w:firstRowFirstColumn="0" w:firstRowLastColumn="0" w:lastRowFirstColumn="0" w:lastRowLastColumn="0"/>
            </w:pPr>
            <w:r>
              <w:t>Work Item</w:t>
            </w:r>
          </w:p>
        </w:tc>
        <w:tc>
          <w:tcPr>
            <w:tcW w:w="1412" w:type="dxa"/>
            <w:hideMark/>
          </w:tcPr>
          <w:p w14:paraId="6905CDA0" w14:textId="77777777" w:rsidR="0056611F" w:rsidRDefault="0056611F" w:rsidP="006A1F8D">
            <w:pPr>
              <w:cnfStyle w:val="100000000000" w:firstRow="1" w:lastRow="0" w:firstColumn="0" w:lastColumn="0" w:oddVBand="0" w:evenVBand="0" w:oddHBand="0" w:evenHBand="0" w:firstRowFirstColumn="0" w:firstRowLastColumn="0" w:lastRowFirstColumn="0" w:lastRowLastColumn="0"/>
            </w:pPr>
            <w:r>
              <w:t>By when</w:t>
            </w:r>
          </w:p>
        </w:tc>
        <w:tc>
          <w:tcPr>
            <w:tcW w:w="1189" w:type="dxa"/>
            <w:hideMark/>
          </w:tcPr>
          <w:p w14:paraId="1EAE597B" w14:textId="77777777" w:rsidR="0056611F" w:rsidRDefault="0056611F" w:rsidP="006A1F8D">
            <w:pPr>
              <w:cnfStyle w:val="100000000000" w:firstRow="1" w:lastRow="0" w:firstColumn="0" w:lastColumn="0" w:oddVBand="0" w:evenVBand="0" w:oddHBand="0" w:evenHBand="0" w:firstRowFirstColumn="0" w:firstRowLastColumn="0" w:lastRowFirstColumn="0" w:lastRowLastColumn="0"/>
            </w:pPr>
            <w:r>
              <w:t>Status</w:t>
            </w:r>
          </w:p>
        </w:tc>
      </w:tr>
      <w:tr w:rsidR="00157E61" w14:paraId="46696FFB" w14:textId="77777777" w:rsidTr="005C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6304B38F" w14:textId="6E40C849" w:rsidR="00157E61" w:rsidRDefault="00157E61" w:rsidP="00157E61">
            <w:pPr>
              <w:rPr>
                <w:sz w:val="28"/>
                <w:szCs w:val="28"/>
              </w:rPr>
            </w:pPr>
            <w:r>
              <w:rPr>
                <w:sz w:val="28"/>
                <w:szCs w:val="28"/>
              </w:rPr>
              <w:t>Sapporo, July 2014</w:t>
            </w:r>
          </w:p>
        </w:tc>
      </w:tr>
      <w:tr w:rsidR="00157E61" w14:paraId="6BE4D4F5" w14:textId="77777777" w:rsidTr="00157E61">
        <w:trPr>
          <w:trHeight w:val="831"/>
          <w:tblHeader/>
        </w:trPr>
        <w:tc>
          <w:tcPr>
            <w:cnfStyle w:val="001000000000" w:firstRow="0" w:lastRow="0" w:firstColumn="1" w:lastColumn="0" w:oddVBand="0" w:evenVBand="0" w:oddHBand="0" w:evenHBand="0" w:firstRowFirstColumn="0" w:firstRowLastColumn="0" w:lastRowFirstColumn="0" w:lastRowLastColumn="0"/>
            <w:tcW w:w="1563" w:type="dxa"/>
          </w:tcPr>
          <w:p w14:paraId="05DF6267" w14:textId="0CD856AC" w:rsidR="00157E61" w:rsidRDefault="00157E61" w:rsidP="006A1F8D">
            <w:r>
              <w:t>Sapporo(</w:t>
            </w:r>
            <w:bookmarkStart w:id="0" w:name="_GoBack"/>
            <w:bookmarkEnd w:id="0"/>
            <w:r>
              <w:t>2014)</w:t>
            </w:r>
          </w:p>
        </w:tc>
        <w:tc>
          <w:tcPr>
            <w:tcW w:w="806" w:type="dxa"/>
          </w:tcPr>
          <w:p w14:paraId="65CEC1E9" w14:textId="3D0F3E5D" w:rsidR="00157E61" w:rsidRDefault="00157E61" w:rsidP="006A1F8D">
            <w:pPr>
              <w:cnfStyle w:val="000000000000" w:firstRow="0" w:lastRow="0" w:firstColumn="0" w:lastColumn="0" w:oddVBand="0" w:evenVBand="0" w:oddHBand="0" w:evenHBand="0" w:firstRowFirstColumn="0" w:firstRowLastColumn="0" w:lastRowFirstColumn="0" w:lastRowLastColumn="0"/>
            </w:pPr>
            <w:r>
              <w:t>1</w:t>
            </w:r>
          </w:p>
        </w:tc>
        <w:tc>
          <w:tcPr>
            <w:tcW w:w="1710" w:type="dxa"/>
          </w:tcPr>
          <w:p w14:paraId="47F20633" w14:textId="4B19EFBF" w:rsidR="00157E61" w:rsidRDefault="00157E61" w:rsidP="006A1F8D">
            <w:pPr>
              <w:cnfStyle w:val="000000000000" w:firstRow="0" w:lastRow="0" w:firstColumn="0" w:lastColumn="0" w:oddVBand="0" w:evenVBand="0" w:oddHBand="0" w:evenHBand="0" w:firstRowFirstColumn="0" w:firstRowLastColumn="0" w:lastRowFirstColumn="0" w:lastRowLastColumn="0"/>
            </w:pPr>
            <w:r>
              <w:t>ITU/TSB</w:t>
            </w:r>
          </w:p>
        </w:tc>
        <w:tc>
          <w:tcPr>
            <w:tcW w:w="4731" w:type="dxa"/>
          </w:tcPr>
          <w:p w14:paraId="2AE4A45A" w14:textId="50E3B815" w:rsidR="00157E61" w:rsidRDefault="00157E61" w:rsidP="006A1F8D">
            <w:pPr>
              <w:cnfStyle w:val="000000000000" w:firstRow="0" w:lastRow="0" w:firstColumn="0" w:lastColumn="0" w:oddVBand="0" w:evenVBand="0" w:oddHBand="0" w:evenHBand="0" w:firstRowFirstColumn="0" w:firstRowLastColumn="0" w:lastRowFirstColumn="0" w:lastRowLastColumn="0"/>
            </w:pPr>
            <w:r w:rsidRPr="00157E61">
              <w:t>Propose way to formalize Collaboration input into WP.29</w:t>
            </w:r>
          </w:p>
        </w:tc>
        <w:tc>
          <w:tcPr>
            <w:tcW w:w="1549" w:type="dxa"/>
          </w:tcPr>
          <w:p w14:paraId="2081D1A9" w14:textId="77777777" w:rsidR="00157E61" w:rsidRDefault="00157E61" w:rsidP="006A1F8D">
            <w:pPr>
              <w:cnfStyle w:val="000000000000" w:firstRow="0" w:lastRow="0" w:firstColumn="0" w:lastColumn="0" w:oddVBand="0" w:evenVBand="0" w:oddHBand="0" w:evenHBand="0" w:firstRowFirstColumn="0" w:firstRowLastColumn="0" w:lastRowFirstColumn="0" w:lastRowLastColumn="0"/>
            </w:pPr>
          </w:p>
        </w:tc>
        <w:tc>
          <w:tcPr>
            <w:tcW w:w="1412" w:type="dxa"/>
          </w:tcPr>
          <w:p w14:paraId="2F550661" w14:textId="6281B2A3" w:rsidR="00157E61" w:rsidRDefault="00157E61" w:rsidP="006A1F8D">
            <w:pPr>
              <w:cnfStyle w:val="000000000000" w:firstRow="0" w:lastRow="0" w:firstColumn="0" w:lastColumn="0" w:oddVBand="0" w:evenVBand="0" w:oddHBand="0" w:evenHBand="0" w:firstRowFirstColumn="0" w:firstRowLastColumn="0" w:lastRowFirstColumn="0" w:lastRowLastColumn="0"/>
            </w:pPr>
            <w:r>
              <w:t>October 2014</w:t>
            </w:r>
          </w:p>
        </w:tc>
        <w:tc>
          <w:tcPr>
            <w:tcW w:w="1189" w:type="dxa"/>
          </w:tcPr>
          <w:p w14:paraId="6BE283BD" w14:textId="77777777" w:rsidR="00157E61" w:rsidRDefault="00157E61" w:rsidP="006A1F8D">
            <w:pPr>
              <w:cnfStyle w:val="000000000000" w:firstRow="0" w:lastRow="0" w:firstColumn="0" w:lastColumn="0" w:oddVBand="0" w:evenVBand="0" w:oddHBand="0" w:evenHBand="0" w:firstRowFirstColumn="0" w:firstRowLastColumn="0" w:lastRowFirstColumn="0" w:lastRowLastColumn="0"/>
            </w:pPr>
          </w:p>
        </w:tc>
      </w:tr>
      <w:tr w:rsidR="00157E61" w14:paraId="0B00A2EA" w14:textId="77777777" w:rsidTr="00157E61">
        <w:trPr>
          <w:cnfStyle w:val="000000100000" w:firstRow="0" w:lastRow="0" w:firstColumn="0" w:lastColumn="0" w:oddVBand="0" w:evenVBand="0" w:oddHBand="1"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563" w:type="dxa"/>
          </w:tcPr>
          <w:p w14:paraId="6CFF9EF8" w14:textId="3D663D43" w:rsidR="00157E61" w:rsidRDefault="00157E61" w:rsidP="006A1F8D">
            <w:r>
              <w:t>Sapporo(2014)</w:t>
            </w:r>
          </w:p>
        </w:tc>
        <w:tc>
          <w:tcPr>
            <w:tcW w:w="806" w:type="dxa"/>
          </w:tcPr>
          <w:p w14:paraId="258291DF" w14:textId="1648FE32" w:rsidR="00157E61" w:rsidRDefault="00157E61" w:rsidP="006A1F8D">
            <w:pP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1D22E291" w14:textId="7063BD68" w:rsidR="00157E61" w:rsidRDefault="00157E61" w:rsidP="006A1F8D">
            <w:pPr>
              <w:cnfStyle w:val="000000100000" w:firstRow="0" w:lastRow="0" w:firstColumn="0" w:lastColumn="0" w:oddVBand="0" w:evenVBand="0" w:oddHBand="1" w:evenHBand="0" w:firstRowFirstColumn="0" w:firstRowLastColumn="0" w:lastRowFirstColumn="0" w:lastRowLastColumn="0"/>
            </w:pPr>
            <w:r>
              <w:t>ITU/TSB and Kevin Li</w:t>
            </w:r>
          </w:p>
        </w:tc>
        <w:tc>
          <w:tcPr>
            <w:tcW w:w="4731" w:type="dxa"/>
          </w:tcPr>
          <w:p w14:paraId="5E5AA440" w14:textId="4B4F2E26" w:rsidR="00157E61" w:rsidRDefault="00157E61" w:rsidP="00570E4F">
            <w:pPr>
              <w:cnfStyle w:val="000000100000" w:firstRow="0" w:lastRow="0" w:firstColumn="0" w:lastColumn="0" w:oddVBand="0" w:evenVBand="0" w:oddHBand="1" w:evenHBand="0" w:firstRowFirstColumn="0" w:firstRowLastColumn="0" w:lastRowFirstColumn="0" w:lastRowLastColumn="0"/>
            </w:pPr>
            <w:r>
              <w:t>Explore the possibility of hosting the Collaboration on ITS Communication Standards alongside a TIAA meeting in July 2015</w:t>
            </w:r>
          </w:p>
        </w:tc>
        <w:tc>
          <w:tcPr>
            <w:tcW w:w="1549" w:type="dxa"/>
          </w:tcPr>
          <w:p w14:paraId="565C0157" w14:textId="77777777" w:rsidR="00157E61" w:rsidRDefault="00157E61" w:rsidP="006A1F8D">
            <w:pPr>
              <w:cnfStyle w:val="000000100000" w:firstRow="0" w:lastRow="0" w:firstColumn="0" w:lastColumn="0" w:oddVBand="0" w:evenVBand="0" w:oddHBand="1" w:evenHBand="0" w:firstRowFirstColumn="0" w:firstRowLastColumn="0" w:lastRowFirstColumn="0" w:lastRowLastColumn="0"/>
            </w:pPr>
          </w:p>
        </w:tc>
        <w:tc>
          <w:tcPr>
            <w:tcW w:w="1412" w:type="dxa"/>
          </w:tcPr>
          <w:p w14:paraId="22AC5B7F" w14:textId="155D5175" w:rsidR="00157E61" w:rsidRDefault="00157E61" w:rsidP="00157E61">
            <w:pPr>
              <w:cnfStyle w:val="000000100000" w:firstRow="0" w:lastRow="0" w:firstColumn="0" w:lastColumn="0" w:oddVBand="0" w:evenVBand="0" w:oddHBand="1" w:evenHBand="0" w:firstRowFirstColumn="0" w:firstRowLastColumn="0" w:lastRowFirstColumn="0" w:lastRowLastColumn="0"/>
            </w:pPr>
            <w:r>
              <w:t>October 2014</w:t>
            </w:r>
          </w:p>
        </w:tc>
        <w:tc>
          <w:tcPr>
            <w:tcW w:w="1189" w:type="dxa"/>
          </w:tcPr>
          <w:p w14:paraId="493ED866" w14:textId="77777777" w:rsidR="00157E61" w:rsidRDefault="00157E61" w:rsidP="006A1F8D">
            <w:pPr>
              <w:cnfStyle w:val="000000100000" w:firstRow="0" w:lastRow="0" w:firstColumn="0" w:lastColumn="0" w:oddVBand="0" w:evenVBand="0" w:oddHBand="1" w:evenHBand="0" w:firstRowFirstColumn="0" w:firstRowLastColumn="0" w:lastRowFirstColumn="0" w:lastRowLastColumn="0"/>
            </w:pPr>
          </w:p>
        </w:tc>
      </w:tr>
      <w:tr w:rsidR="00157E61" w14:paraId="3E673AC1" w14:textId="77777777" w:rsidTr="00157E61">
        <w:trPr>
          <w:trHeight w:val="831"/>
          <w:tblHeader/>
        </w:trPr>
        <w:tc>
          <w:tcPr>
            <w:cnfStyle w:val="001000000000" w:firstRow="0" w:lastRow="0" w:firstColumn="1" w:lastColumn="0" w:oddVBand="0" w:evenVBand="0" w:oddHBand="0" w:evenHBand="0" w:firstRowFirstColumn="0" w:firstRowLastColumn="0" w:lastRowFirstColumn="0" w:lastRowLastColumn="0"/>
            <w:tcW w:w="1563" w:type="dxa"/>
          </w:tcPr>
          <w:p w14:paraId="0300030C" w14:textId="256C8362" w:rsidR="00157E61" w:rsidRDefault="00157E61" w:rsidP="006A1F8D">
            <w:r>
              <w:t>Sapporo(2014)</w:t>
            </w:r>
          </w:p>
        </w:tc>
        <w:tc>
          <w:tcPr>
            <w:tcW w:w="806" w:type="dxa"/>
          </w:tcPr>
          <w:p w14:paraId="32818AD9" w14:textId="42173BEA" w:rsidR="00157E61" w:rsidRDefault="00570E4F" w:rsidP="006A1F8D">
            <w:pPr>
              <w:cnfStyle w:val="000000000000" w:firstRow="0" w:lastRow="0" w:firstColumn="0" w:lastColumn="0" w:oddVBand="0" w:evenVBand="0" w:oddHBand="0" w:evenHBand="0" w:firstRowFirstColumn="0" w:firstRowLastColumn="0" w:lastRowFirstColumn="0" w:lastRowLastColumn="0"/>
            </w:pPr>
            <w:r>
              <w:t>3</w:t>
            </w:r>
          </w:p>
        </w:tc>
        <w:tc>
          <w:tcPr>
            <w:tcW w:w="1710" w:type="dxa"/>
          </w:tcPr>
          <w:p w14:paraId="2EB8761C" w14:textId="43E3C46A" w:rsidR="00157E61" w:rsidRDefault="00157E61" w:rsidP="006A1F8D">
            <w:pPr>
              <w:cnfStyle w:val="000000000000" w:firstRow="0" w:lastRow="0" w:firstColumn="0" w:lastColumn="0" w:oddVBand="0" w:evenVBand="0" w:oddHBand="0" w:evenHBand="0" w:firstRowFirstColumn="0" w:firstRowLastColumn="0" w:lastRowFirstColumn="0" w:lastRowLastColumn="0"/>
            </w:pPr>
            <w:r>
              <w:t>TTC Japan</w:t>
            </w:r>
          </w:p>
        </w:tc>
        <w:tc>
          <w:tcPr>
            <w:tcW w:w="4731" w:type="dxa"/>
          </w:tcPr>
          <w:p w14:paraId="7597E164" w14:textId="69CBA0C6" w:rsidR="00157E61" w:rsidRDefault="00157E61" w:rsidP="006A1F8D">
            <w:pPr>
              <w:cnfStyle w:val="000000000000" w:firstRow="0" w:lastRow="0" w:firstColumn="0" w:lastColumn="0" w:oddVBand="0" w:evenVBand="0" w:oddHBand="0" w:evenHBand="0" w:firstRowFirstColumn="0" w:firstRowLastColumn="0" w:lastRowFirstColumn="0" w:lastRowLastColumn="0"/>
            </w:pPr>
            <w:r>
              <w:t xml:space="preserve">Propose a way forward for </w:t>
            </w:r>
            <w:r>
              <w:rPr>
                <w:rFonts w:cs="Calibri"/>
              </w:rPr>
              <w:t>ITS communications for vulnerable road users.</w:t>
            </w:r>
          </w:p>
        </w:tc>
        <w:tc>
          <w:tcPr>
            <w:tcW w:w="1549" w:type="dxa"/>
          </w:tcPr>
          <w:p w14:paraId="5EAEB5A2" w14:textId="77777777" w:rsidR="00157E61" w:rsidRDefault="00157E61" w:rsidP="006A1F8D">
            <w:pPr>
              <w:cnfStyle w:val="000000000000" w:firstRow="0" w:lastRow="0" w:firstColumn="0" w:lastColumn="0" w:oddVBand="0" w:evenVBand="0" w:oddHBand="0" w:evenHBand="0" w:firstRowFirstColumn="0" w:firstRowLastColumn="0" w:lastRowFirstColumn="0" w:lastRowLastColumn="0"/>
            </w:pPr>
          </w:p>
        </w:tc>
        <w:tc>
          <w:tcPr>
            <w:tcW w:w="1412" w:type="dxa"/>
          </w:tcPr>
          <w:p w14:paraId="6F7AEEE0" w14:textId="033E47A9" w:rsidR="00157E61" w:rsidRDefault="00157E61" w:rsidP="006A1F8D">
            <w:pPr>
              <w:cnfStyle w:val="000000000000" w:firstRow="0" w:lastRow="0" w:firstColumn="0" w:lastColumn="0" w:oddVBand="0" w:evenVBand="0" w:oddHBand="0" w:evenHBand="0" w:firstRowFirstColumn="0" w:firstRowLastColumn="0" w:lastRowFirstColumn="0" w:lastRowLastColumn="0"/>
            </w:pPr>
            <w:r>
              <w:t>October 2014</w:t>
            </w:r>
          </w:p>
        </w:tc>
        <w:tc>
          <w:tcPr>
            <w:tcW w:w="1189" w:type="dxa"/>
          </w:tcPr>
          <w:p w14:paraId="5A2AFE36" w14:textId="77777777" w:rsidR="00157E61" w:rsidRDefault="00157E61" w:rsidP="006A1F8D">
            <w:pPr>
              <w:cnfStyle w:val="000000000000" w:firstRow="0" w:lastRow="0" w:firstColumn="0" w:lastColumn="0" w:oddVBand="0" w:evenVBand="0" w:oddHBand="0" w:evenHBand="0" w:firstRowFirstColumn="0" w:firstRowLastColumn="0" w:lastRowFirstColumn="0" w:lastRowLastColumn="0"/>
            </w:pPr>
          </w:p>
        </w:tc>
      </w:tr>
      <w:tr w:rsidR="00157E61" w14:paraId="25EC65D0" w14:textId="77777777" w:rsidTr="00157E61">
        <w:trPr>
          <w:cnfStyle w:val="000000100000" w:firstRow="0" w:lastRow="0" w:firstColumn="0" w:lastColumn="0" w:oddVBand="0" w:evenVBand="0" w:oddHBand="1"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563" w:type="dxa"/>
          </w:tcPr>
          <w:p w14:paraId="69B02C50" w14:textId="1914034E" w:rsidR="00157E61" w:rsidRDefault="00157E61" w:rsidP="006A1F8D">
            <w:r>
              <w:t>Sapporo(2014)</w:t>
            </w:r>
          </w:p>
        </w:tc>
        <w:tc>
          <w:tcPr>
            <w:tcW w:w="806" w:type="dxa"/>
          </w:tcPr>
          <w:p w14:paraId="26A0DD18" w14:textId="27BECFC6" w:rsidR="00157E61" w:rsidRDefault="00570E4F" w:rsidP="006A1F8D">
            <w:pPr>
              <w:cnfStyle w:val="000000100000" w:firstRow="0" w:lastRow="0" w:firstColumn="0" w:lastColumn="0" w:oddVBand="0" w:evenVBand="0" w:oddHBand="1" w:evenHBand="0" w:firstRowFirstColumn="0" w:firstRowLastColumn="0" w:lastRowFirstColumn="0" w:lastRowLastColumn="0"/>
            </w:pPr>
            <w:r>
              <w:t>4</w:t>
            </w:r>
          </w:p>
        </w:tc>
        <w:tc>
          <w:tcPr>
            <w:tcW w:w="1710" w:type="dxa"/>
          </w:tcPr>
          <w:p w14:paraId="044EA801" w14:textId="49F2CDC4" w:rsidR="00157E61" w:rsidRDefault="00157E61" w:rsidP="006A1F8D">
            <w:pPr>
              <w:cnfStyle w:val="000000100000" w:firstRow="0" w:lastRow="0" w:firstColumn="0" w:lastColumn="0" w:oddVBand="0" w:evenVBand="0" w:oddHBand="1" w:evenHBand="0" w:firstRowFirstColumn="0" w:firstRowLastColumn="0" w:lastRowFirstColumn="0" w:lastRowLastColumn="0"/>
            </w:pPr>
            <w:r>
              <w:t>Yushi Naito</w:t>
            </w:r>
          </w:p>
        </w:tc>
        <w:tc>
          <w:tcPr>
            <w:tcW w:w="4731" w:type="dxa"/>
          </w:tcPr>
          <w:p w14:paraId="588FF060" w14:textId="4C719D38" w:rsidR="00157E61" w:rsidRDefault="00157E61" w:rsidP="006A1F8D">
            <w:pPr>
              <w:cnfStyle w:val="000000100000" w:firstRow="0" w:lastRow="0" w:firstColumn="0" w:lastColumn="0" w:oddVBand="0" w:evenVBand="0" w:oddHBand="1" w:evenHBand="0" w:firstRowFirstColumn="0" w:firstRowLastColumn="0" w:lastRowFirstColumn="0" w:lastRowLastColumn="0"/>
            </w:pPr>
            <w:r>
              <w:t>Provide updates on Q27/16 activities.</w:t>
            </w:r>
          </w:p>
        </w:tc>
        <w:tc>
          <w:tcPr>
            <w:tcW w:w="1549" w:type="dxa"/>
          </w:tcPr>
          <w:p w14:paraId="25056DB1" w14:textId="77777777" w:rsidR="00157E61" w:rsidRDefault="00157E61" w:rsidP="006A1F8D">
            <w:pPr>
              <w:cnfStyle w:val="000000100000" w:firstRow="0" w:lastRow="0" w:firstColumn="0" w:lastColumn="0" w:oddVBand="0" w:evenVBand="0" w:oddHBand="1" w:evenHBand="0" w:firstRowFirstColumn="0" w:firstRowLastColumn="0" w:lastRowFirstColumn="0" w:lastRowLastColumn="0"/>
            </w:pPr>
          </w:p>
        </w:tc>
        <w:tc>
          <w:tcPr>
            <w:tcW w:w="1412" w:type="dxa"/>
          </w:tcPr>
          <w:p w14:paraId="5C4DD878" w14:textId="3DA94154" w:rsidR="00157E61" w:rsidRDefault="00157E61" w:rsidP="006A1F8D">
            <w:pPr>
              <w:cnfStyle w:val="000000100000" w:firstRow="0" w:lastRow="0" w:firstColumn="0" w:lastColumn="0" w:oddVBand="0" w:evenVBand="0" w:oddHBand="1" w:evenHBand="0" w:firstRowFirstColumn="0" w:firstRowLastColumn="0" w:lastRowFirstColumn="0" w:lastRowLastColumn="0"/>
            </w:pPr>
            <w:r>
              <w:t>October 2014</w:t>
            </w:r>
          </w:p>
        </w:tc>
        <w:tc>
          <w:tcPr>
            <w:tcW w:w="1189" w:type="dxa"/>
          </w:tcPr>
          <w:p w14:paraId="31766423" w14:textId="77777777" w:rsidR="00157E61" w:rsidRDefault="00157E61" w:rsidP="006A1F8D">
            <w:pPr>
              <w:cnfStyle w:val="000000100000" w:firstRow="0" w:lastRow="0" w:firstColumn="0" w:lastColumn="0" w:oddVBand="0" w:evenVBand="0" w:oddHBand="1" w:evenHBand="0" w:firstRowFirstColumn="0" w:firstRowLastColumn="0" w:lastRowFirstColumn="0" w:lastRowLastColumn="0"/>
            </w:pPr>
          </w:p>
        </w:tc>
      </w:tr>
      <w:tr w:rsidR="00157E61" w14:paraId="1192B9D9" w14:textId="77777777" w:rsidTr="0067349C">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0B9C987D" w14:textId="242814DC" w:rsidR="00157E61" w:rsidRDefault="00157E61" w:rsidP="0067349C">
            <w:pPr>
              <w:rPr>
                <w:sz w:val="28"/>
                <w:szCs w:val="28"/>
              </w:rPr>
            </w:pPr>
            <w:r>
              <w:rPr>
                <w:sz w:val="28"/>
                <w:szCs w:val="28"/>
              </w:rPr>
              <w:t>Geneva, March 2014</w:t>
            </w:r>
            <w:r w:rsidR="00AF6B57">
              <w:rPr>
                <w:sz w:val="28"/>
                <w:szCs w:val="28"/>
              </w:rPr>
              <w:t xml:space="preserve"> (</w:t>
            </w:r>
            <w:hyperlink r:id="rId28" w:history="1">
              <w:r w:rsidR="00AF6B57" w:rsidRPr="00AF6B57">
                <w:rPr>
                  <w:rStyle w:val="Hyperlink"/>
                  <w:rFonts w:cstheme="minorBidi"/>
                  <w:b w:val="0"/>
                  <w:bCs w:val="0"/>
                  <w:sz w:val="28"/>
                  <w:szCs w:val="28"/>
                </w:rPr>
                <w:t>meeting report</w:t>
              </w:r>
            </w:hyperlink>
            <w:r w:rsidR="00AF6B57">
              <w:rPr>
                <w:sz w:val="28"/>
                <w:szCs w:val="28"/>
              </w:rPr>
              <w:t>)</w:t>
            </w:r>
          </w:p>
        </w:tc>
      </w:tr>
      <w:tr w:rsidR="00157E61" w14:paraId="4DD51BC7" w14:textId="77777777" w:rsidTr="00157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Borders>
              <w:top w:val="nil"/>
              <w:bottom w:val="nil"/>
            </w:tcBorders>
          </w:tcPr>
          <w:p w14:paraId="44F0636B" w14:textId="77777777" w:rsidR="00157E61" w:rsidRDefault="00157E61" w:rsidP="0067349C">
            <w:r>
              <w:t>Geneva(2014)</w:t>
            </w:r>
          </w:p>
        </w:tc>
        <w:tc>
          <w:tcPr>
            <w:tcW w:w="806" w:type="dxa"/>
            <w:tcBorders>
              <w:top w:val="nil"/>
              <w:bottom w:val="nil"/>
            </w:tcBorders>
          </w:tcPr>
          <w:p w14:paraId="5522D271" w14:textId="77777777" w:rsidR="00157E61" w:rsidRDefault="00157E61" w:rsidP="0067349C">
            <w:pPr>
              <w:cnfStyle w:val="000000100000" w:firstRow="0" w:lastRow="0" w:firstColumn="0" w:lastColumn="0" w:oddVBand="0" w:evenVBand="0" w:oddHBand="1" w:evenHBand="0" w:firstRowFirstColumn="0" w:firstRowLastColumn="0" w:lastRowFirstColumn="0" w:lastRowLastColumn="0"/>
            </w:pPr>
            <w:r>
              <w:t>1</w:t>
            </w:r>
          </w:p>
        </w:tc>
        <w:tc>
          <w:tcPr>
            <w:tcW w:w="1710" w:type="dxa"/>
            <w:tcBorders>
              <w:top w:val="nil"/>
              <w:bottom w:val="nil"/>
            </w:tcBorders>
          </w:tcPr>
          <w:p w14:paraId="33F01956" w14:textId="68E15D32" w:rsidR="00157E61" w:rsidRDefault="00157E61" w:rsidP="0067349C">
            <w:pPr>
              <w:cnfStyle w:val="000000100000" w:firstRow="0" w:lastRow="0" w:firstColumn="0" w:lastColumn="0" w:oddVBand="0" w:evenVBand="0" w:oddHBand="1" w:evenHBand="0" w:firstRowFirstColumn="0" w:firstRowLastColumn="0" w:lastRowFirstColumn="0" w:lastRowLastColumn="0"/>
            </w:pPr>
            <w:r>
              <w:t>ITU/TSB</w:t>
            </w:r>
          </w:p>
        </w:tc>
        <w:tc>
          <w:tcPr>
            <w:tcW w:w="4731" w:type="dxa"/>
            <w:tcBorders>
              <w:top w:val="nil"/>
              <w:bottom w:val="nil"/>
            </w:tcBorders>
          </w:tcPr>
          <w:p w14:paraId="1D08BB61" w14:textId="75F905EC" w:rsidR="00157E61" w:rsidRDefault="00157E61" w:rsidP="00157E61">
            <w:pPr>
              <w:cnfStyle w:val="000000100000" w:firstRow="0" w:lastRow="0" w:firstColumn="0" w:lastColumn="0" w:oddVBand="0" w:evenVBand="0" w:oddHBand="1" w:evenHBand="0" w:firstRowFirstColumn="0" w:firstRowLastColumn="0" w:lastRowFirstColumn="0" w:lastRowLastColumn="0"/>
            </w:pPr>
            <w:r>
              <w:rPr>
                <w:lang w:val="en-GB"/>
              </w:rPr>
              <w:t>Exchange information with ISO at secretariat level.</w:t>
            </w:r>
          </w:p>
        </w:tc>
        <w:tc>
          <w:tcPr>
            <w:tcW w:w="1549" w:type="dxa"/>
            <w:tcBorders>
              <w:top w:val="nil"/>
              <w:bottom w:val="nil"/>
            </w:tcBorders>
          </w:tcPr>
          <w:p w14:paraId="7309487C" w14:textId="77777777" w:rsidR="00157E61" w:rsidRDefault="00157E61" w:rsidP="0067349C">
            <w:pPr>
              <w:cnfStyle w:val="000000100000" w:firstRow="0" w:lastRow="0" w:firstColumn="0" w:lastColumn="0" w:oddVBand="0" w:evenVBand="0" w:oddHBand="1" w:evenHBand="0" w:firstRowFirstColumn="0" w:firstRowLastColumn="0" w:lastRowFirstColumn="0" w:lastRowLastColumn="0"/>
            </w:pPr>
          </w:p>
        </w:tc>
        <w:tc>
          <w:tcPr>
            <w:tcW w:w="1412" w:type="dxa"/>
            <w:tcBorders>
              <w:top w:val="nil"/>
              <w:bottom w:val="nil"/>
            </w:tcBorders>
          </w:tcPr>
          <w:p w14:paraId="462EAB7E" w14:textId="4D79CD40" w:rsidR="00157E61" w:rsidRDefault="00157E61" w:rsidP="0067349C">
            <w:pPr>
              <w:cnfStyle w:val="000000100000" w:firstRow="0" w:lastRow="0" w:firstColumn="0" w:lastColumn="0" w:oddVBand="0" w:evenVBand="0" w:oddHBand="1" w:evenHBand="0" w:firstRowFirstColumn="0" w:firstRowLastColumn="0" w:lastRowFirstColumn="0" w:lastRowLastColumn="0"/>
            </w:pPr>
          </w:p>
        </w:tc>
        <w:tc>
          <w:tcPr>
            <w:tcW w:w="1189" w:type="dxa"/>
            <w:tcBorders>
              <w:top w:val="nil"/>
              <w:bottom w:val="nil"/>
            </w:tcBorders>
          </w:tcPr>
          <w:p w14:paraId="0775D0BA" w14:textId="77777777" w:rsidR="00157E61" w:rsidRDefault="00157E61" w:rsidP="0067349C">
            <w:pPr>
              <w:cnfStyle w:val="000000100000" w:firstRow="0" w:lastRow="0" w:firstColumn="0" w:lastColumn="0" w:oddVBand="0" w:evenVBand="0" w:oddHBand="1" w:evenHBand="0" w:firstRowFirstColumn="0" w:firstRowLastColumn="0" w:lastRowFirstColumn="0" w:lastRowLastColumn="0"/>
            </w:pPr>
          </w:p>
        </w:tc>
      </w:tr>
      <w:tr w:rsidR="00157E61" w14:paraId="0CE7467A" w14:textId="77777777" w:rsidTr="00157E61">
        <w:trPr>
          <w:tblHeader/>
        </w:trPr>
        <w:tc>
          <w:tcPr>
            <w:cnfStyle w:val="001000000000" w:firstRow="0" w:lastRow="0" w:firstColumn="1" w:lastColumn="0" w:oddVBand="0" w:evenVBand="0" w:oddHBand="0" w:evenHBand="0" w:firstRowFirstColumn="0" w:firstRowLastColumn="0" w:lastRowFirstColumn="0" w:lastRowLastColumn="0"/>
            <w:tcW w:w="1563" w:type="dxa"/>
          </w:tcPr>
          <w:p w14:paraId="03978194" w14:textId="77777777" w:rsidR="00157E61" w:rsidRDefault="00157E61" w:rsidP="0067349C">
            <w:r>
              <w:t>Geneva(2014)</w:t>
            </w:r>
          </w:p>
        </w:tc>
        <w:tc>
          <w:tcPr>
            <w:tcW w:w="806" w:type="dxa"/>
          </w:tcPr>
          <w:p w14:paraId="6652CDE6" w14:textId="77777777" w:rsidR="00157E61" w:rsidRDefault="00157E61" w:rsidP="0067349C">
            <w:pPr>
              <w:cnfStyle w:val="000000000000" w:firstRow="0" w:lastRow="0" w:firstColumn="0" w:lastColumn="0" w:oddVBand="0" w:evenVBand="0" w:oddHBand="0" w:evenHBand="0" w:firstRowFirstColumn="0" w:firstRowLastColumn="0" w:lastRowFirstColumn="0" w:lastRowLastColumn="0"/>
            </w:pPr>
            <w:r>
              <w:t>2</w:t>
            </w:r>
          </w:p>
        </w:tc>
        <w:tc>
          <w:tcPr>
            <w:tcW w:w="1710" w:type="dxa"/>
          </w:tcPr>
          <w:p w14:paraId="11B1E72B" w14:textId="77777777" w:rsidR="00157E61" w:rsidRDefault="00157E61" w:rsidP="0067349C">
            <w:pPr>
              <w:cnfStyle w:val="000000000000" w:firstRow="0" w:lastRow="0" w:firstColumn="0" w:lastColumn="0" w:oddVBand="0" w:evenVBand="0" w:oddHBand="0" w:evenHBand="0" w:firstRowFirstColumn="0" w:firstRowLastColumn="0" w:lastRowFirstColumn="0" w:lastRowLastColumn="0"/>
            </w:pPr>
            <w:r>
              <w:t>ITU/TSB</w:t>
            </w:r>
          </w:p>
        </w:tc>
        <w:tc>
          <w:tcPr>
            <w:tcW w:w="4731" w:type="dxa"/>
          </w:tcPr>
          <w:p w14:paraId="70FE24B3" w14:textId="77777777" w:rsidR="00157E61" w:rsidRDefault="00157E61" w:rsidP="0067349C">
            <w:pPr>
              <w:cnfStyle w:val="000000000000" w:firstRow="0" w:lastRow="0" w:firstColumn="0" w:lastColumn="0" w:oddVBand="0" w:evenVBand="0" w:oddHBand="0" w:evenHBand="0" w:firstRowFirstColumn="0" w:firstRowLastColumn="0" w:lastRowFirstColumn="0" w:lastRowLastColumn="0"/>
            </w:pPr>
            <w:r>
              <w:t>Solicit input and updates from Jim Frazer (ITS and smart grids) and Qualcomm (EV charging, wireless charging).</w:t>
            </w:r>
          </w:p>
        </w:tc>
        <w:tc>
          <w:tcPr>
            <w:tcW w:w="1549" w:type="dxa"/>
          </w:tcPr>
          <w:p w14:paraId="60D2DD30" w14:textId="77777777" w:rsidR="00157E61" w:rsidRDefault="00157E61" w:rsidP="0067349C">
            <w:pPr>
              <w:cnfStyle w:val="000000000000" w:firstRow="0" w:lastRow="0" w:firstColumn="0" w:lastColumn="0" w:oddVBand="0" w:evenVBand="0" w:oddHBand="0" w:evenHBand="0" w:firstRowFirstColumn="0" w:firstRowLastColumn="0" w:lastRowFirstColumn="0" w:lastRowLastColumn="0"/>
            </w:pPr>
            <w:r>
              <w:t>1</w:t>
            </w:r>
          </w:p>
        </w:tc>
        <w:tc>
          <w:tcPr>
            <w:tcW w:w="1412" w:type="dxa"/>
          </w:tcPr>
          <w:p w14:paraId="147C6583" w14:textId="63B62EFD" w:rsidR="00157E61" w:rsidRDefault="00157E61" w:rsidP="0067349C">
            <w:pPr>
              <w:cnfStyle w:val="000000000000" w:firstRow="0" w:lastRow="0" w:firstColumn="0" w:lastColumn="0" w:oddVBand="0" w:evenVBand="0" w:oddHBand="0" w:evenHBand="0" w:firstRowFirstColumn="0" w:firstRowLastColumn="0" w:lastRowFirstColumn="0" w:lastRowLastColumn="0"/>
            </w:pPr>
            <w:r>
              <w:t>October 2014</w:t>
            </w:r>
          </w:p>
        </w:tc>
        <w:tc>
          <w:tcPr>
            <w:tcW w:w="1189" w:type="dxa"/>
          </w:tcPr>
          <w:p w14:paraId="034F1BB9" w14:textId="77777777" w:rsidR="00157E61" w:rsidRDefault="00157E61" w:rsidP="0067349C">
            <w:pPr>
              <w:cnfStyle w:val="000000000000" w:firstRow="0" w:lastRow="0" w:firstColumn="0" w:lastColumn="0" w:oddVBand="0" w:evenVBand="0" w:oddHBand="0" w:evenHBand="0" w:firstRowFirstColumn="0" w:firstRowLastColumn="0" w:lastRowFirstColumn="0" w:lastRowLastColumn="0"/>
            </w:pPr>
          </w:p>
        </w:tc>
      </w:tr>
    </w:tbl>
    <w:p w14:paraId="4734B903" w14:textId="77777777" w:rsidR="009F7546" w:rsidRPr="00836272" w:rsidRDefault="009F7546">
      <w:pPr>
        <w:spacing w:after="0" w:line="240" w:lineRule="auto"/>
        <w:rPr>
          <w:rFonts w:ascii="Cambria" w:hAnsi="Cambria" w:cs="Times New Roman"/>
          <w:b/>
          <w:bCs/>
          <w:color w:val="4F81BD"/>
          <w:lang w:val="en-GB"/>
        </w:rPr>
      </w:pPr>
    </w:p>
    <w:sectPr w:rsidR="009F7546" w:rsidRPr="00836272" w:rsidSect="0056611F">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4AC68" w14:textId="77777777" w:rsidR="005F3CFB" w:rsidRDefault="005F3CFB" w:rsidP="00450A65">
      <w:pPr>
        <w:spacing w:after="0" w:line="240" w:lineRule="auto"/>
      </w:pPr>
      <w:r>
        <w:separator/>
      </w:r>
    </w:p>
  </w:endnote>
  <w:endnote w:type="continuationSeparator" w:id="0">
    <w:p w14:paraId="6EB4C112" w14:textId="77777777" w:rsidR="005F3CFB" w:rsidRDefault="005F3CFB" w:rsidP="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4DB7" w14:textId="77777777" w:rsidR="005B724E" w:rsidRDefault="00357445">
    <w:pPr>
      <w:pStyle w:val="Footer"/>
      <w:jc w:val="center"/>
    </w:pPr>
    <w:r>
      <w:fldChar w:fldCharType="begin"/>
    </w:r>
    <w:r w:rsidR="005B724E">
      <w:instrText xml:space="preserve"> PAGE   \* MERGEFORMAT </w:instrText>
    </w:r>
    <w:r>
      <w:fldChar w:fldCharType="separate"/>
    </w:r>
    <w:r w:rsidR="00570E4F">
      <w:rPr>
        <w:noProof/>
      </w:rPr>
      <w:t>4</w:t>
    </w:r>
    <w:r>
      <w:rPr>
        <w:noProof/>
      </w:rPr>
      <w:fldChar w:fldCharType="end"/>
    </w:r>
  </w:p>
  <w:p w14:paraId="04163FDA" w14:textId="77777777" w:rsidR="005B724E" w:rsidRDefault="005B7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2129B" w14:textId="77777777" w:rsidR="005F3CFB" w:rsidRDefault="005F3CFB" w:rsidP="00450A65">
      <w:pPr>
        <w:spacing w:after="0" w:line="240" w:lineRule="auto"/>
      </w:pPr>
      <w:r>
        <w:separator/>
      </w:r>
    </w:p>
  </w:footnote>
  <w:footnote w:type="continuationSeparator" w:id="0">
    <w:p w14:paraId="05D34BE2" w14:textId="77777777" w:rsidR="005F3CFB" w:rsidRDefault="005F3CFB" w:rsidP="00450A65">
      <w:pPr>
        <w:spacing w:after="0" w:line="240" w:lineRule="auto"/>
      </w:pPr>
      <w:r>
        <w:continuationSeparator/>
      </w:r>
    </w:p>
  </w:footnote>
  <w:footnote w:id="1">
    <w:p w14:paraId="7F9DD702" w14:textId="77777777" w:rsidR="005B724E" w:rsidRDefault="005B724E" w:rsidP="00450A65">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5DFF"/>
    <w:multiLevelType w:val="hybridMultilevel"/>
    <w:tmpl w:val="C930E046"/>
    <w:lvl w:ilvl="0" w:tplc="A3F6B95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143031F0"/>
    <w:multiLevelType w:val="hybridMultilevel"/>
    <w:tmpl w:val="927ABD14"/>
    <w:lvl w:ilvl="0" w:tplc="E7EE3048">
      <w:start w:val="1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B4D81"/>
    <w:multiLevelType w:val="hybridMultilevel"/>
    <w:tmpl w:val="532082C4"/>
    <w:lvl w:ilvl="0" w:tplc="C45CB6B2">
      <w:start w:val="3"/>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B65EB"/>
    <w:multiLevelType w:val="hybridMultilevel"/>
    <w:tmpl w:val="0458E97E"/>
    <w:lvl w:ilvl="0" w:tplc="F92CCA76">
      <w:start w:val="4"/>
      <w:numFmt w:val="bullet"/>
      <w:lvlText w:val="-"/>
      <w:lvlJc w:val="left"/>
      <w:pPr>
        <w:ind w:left="720" w:hanging="360"/>
      </w:pPr>
      <w:rPr>
        <w:rFonts w:ascii="Calibri" w:eastAsia="SimSun" w:hAnsi="Calibri"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460AC"/>
    <w:multiLevelType w:val="hybridMultilevel"/>
    <w:tmpl w:val="AB5A0814"/>
    <w:lvl w:ilvl="0" w:tplc="E77E8F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4288D"/>
    <w:multiLevelType w:val="hybridMultilevel"/>
    <w:tmpl w:val="FD4E5BE2"/>
    <w:lvl w:ilvl="0" w:tplc="2B40900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A377D7F"/>
    <w:multiLevelType w:val="hybridMultilevel"/>
    <w:tmpl w:val="6C3A464A"/>
    <w:lvl w:ilvl="0" w:tplc="6672C06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DD1547"/>
    <w:multiLevelType w:val="multilevel"/>
    <w:tmpl w:val="CF1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61841"/>
    <w:multiLevelType w:val="multilevel"/>
    <w:tmpl w:val="5A8882B2"/>
    <w:lvl w:ilvl="0">
      <w:start w:val="28"/>
      <w:numFmt w:val="decimal"/>
      <w:lvlText w:val="%1"/>
      <w:lvlJc w:val="left"/>
      <w:pPr>
        <w:ind w:left="495" w:hanging="495"/>
      </w:pPr>
      <w:rPr>
        <w:rFonts w:cs="Times New Roman" w:hint="default"/>
      </w:rPr>
    </w:lvl>
    <w:lvl w:ilvl="1">
      <w:start w:val="2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6"/>
  </w:num>
  <w:num w:numId="4">
    <w:abstractNumId w:val="9"/>
  </w:num>
  <w:num w:numId="5">
    <w:abstractNumId w:val="7"/>
  </w:num>
  <w:num w:numId="6">
    <w:abstractNumId w:val="4"/>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65"/>
    <w:rsid w:val="00002AE1"/>
    <w:rsid w:val="000064C2"/>
    <w:rsid w:val="0001475A"/>
    <w:rsid w:val="00014EFC"/>
    <w:rsid w:val="00017BF3"/>
    <w:rsid w:val="00026773"/>
    <w:rsid w:val="0008662E"/>
    <w:rsid w:val="0009064B"/>
    <w:rsid w:val="000B0AC7"/>
    <w:rsid w:val="000E3F0B"/>
    <w:rsid w:val="000E4168"/>
    <w:rsid w:val="000F3E88"/>
    <w:rsid w:val="000F3FEB"/>
    <w:rsid w:val="00112369"/>
    <w:rsid w:val="00113625"/>
    <w:rsid w:val="001234EF"/>
    <w:rsid w:val="00131041"/>
    <w:rsid w:val="001328DC"/>
    <w:rsid w:val="00133980"/>
    <w:rsid w:val="00137B54"/>
    <w:rsid w:val="00147E7B"/>
    <w:rsid w:val="00151D75"/>
    <w:rsid w:val="00152BBB"/>
    <w:rsid w:val="00157E61"/>
    <w:rsid w:val="001611E3"/>
    <w:rsid w:val="0016298D"/>
    <w:rsid w:val="0017265E"/>
    <w:rsid w:val="00191EE9"/>
    <w:rsid w:val="0019356D"/>
    <w:rsid w:val="00196065"/>
    <w:rsid w:val="001A2A12"/>
    <w:rsid w:val="001A3133"/>
    <w:rsid w:val="001B0B65"/>
    <w:rsid w:val="001B2CC3"/>
    <w:rsid w:val="001C74F7"/>
    <w:rsid w:val="001D60B0"/>
    <w:rsid w:val="001E3487"/>
    <w:rsid w:val="001E6BA8"/>
    <w:rsid w:val="001F0054"/>
    <w:rsid w:val="001F2625"/>
    <w:rsid w:val="00200EBD"/>
    <w:rsid w:val="00212BE9"/>
    <w:rsid w:val="0021544C"/>
    <w:rsid w:val="00230909"/>
    <w:rsid w:val="00236196"/>
    <w:rsid w:val="00240199"/>
    <w:rsid w:val="002643B8"/>
    <w:rsid w:val="0026599B"/>
    <w:rsid w:val="00267658"/>
    <w:rsid w:val="00283CEC"/>
    <w:rsid w:val="002870F8"/>
    <w:rsid w:val="0029549C"/>
    <w:rsid w:val="002A710A"/>
    <w:rsid w:val="002F3536"/>
    <w:rsid w:val="002F36D8"/>
    <w:rsid w:val="003021C9"/>
    <w:rsid w:val="003103EA"/>
    <w:rsid w:val="00317C77"/>
    <w:rsid w:val="00324A6E"/>
    <w:rsid w:val="00331A90"/>
    <w:rsid w:val="00335BFB"/>
    <w:rsid w:val="00351743"/>
    <w:rsid w:val="00357445"/>
    <w:rsid w:val="00363130"/>
    <w:rsid w:val="0036767E"/>
    <w:rsid w:val="0037569F"/>
    <w:rsid w:val="00375B00"/>
    <w:rsid w:val="003765AC"/>
    <w:rsid w:val="00377EDF"/>
    <w:rsid w:val="00382FF0"/>
    <w:rsid w:val="00383128"/>
    <w:rsid w:val="00384CD3"/>
    <w:rsid w:val="00385290"/>
    <w:rsid w:val="00394C0E"/>
    <w:rsid w:val="003A0D86"/>
    <w:rsid w:val="003A6F82"/>
    <w:rsid w:val="003B016D"/>
    <w:rsid w:val="003B321E"/>
    <w:rsid w:val="003B35FD"/>
    <w:rsid w:val="003B612A"/>
    <w:rsid w:val="003B7260"/>
    <w:rsid w:val="003C20B8"/>
    <w:rsid w:val="003F1C78"/>
    <w:rsid w:val="00400D1E"/>
    <w:rsid w:val="00403191"/>
    <w:rsid w:val="00415D43"/>
    <w:rsid w:val="00416269"/>
    <w:rsid w:val="00422957"/>
    <w:rsid w:val="0042617D"/>
    <w:rsid w:val="00432F7F"/>
    <w:rsid w:val="00436BDE"/>
    <w:rsid w:val="00441F03"/>
    <w:rsid w:val="00450A65"/>
    <w:rsid w:val="00451154"/>
    <w:rsid w:val="004578DC"/>
    <w:rsid w:val="00465A00"/>
    <w:rsid w:val="00466902"/>
    <w:rsid w:val="004A1017"/>
    <w:rsid w:val="004A1E3E"/>
    <w:rsid w:val="004A540D"/>
    <w:rsid w:val="004A5AC1"/>
    <w:rsid w:val="004A5BEC"/>
    <w:rsid w:val="004B1A6C"/>
    <w:rsid w:val="004D5814"/>
    <w:rsid w:val="004D6B01"/>
    <w:rsid w:val="004F0593"/>
    <w:rsid w:val="004F0DEE"/>
    <w:rsid w:val="004F3C08"/>
    <w:rsid w:val="00500039"/>
    <w:rsid w:val="005129B3"/>
    <w:rsid w:val="00514AC1"/>
    <w:rsid w:val="0052096E"/>
    <w:rsid w:val="00522803"/>
    <w:rsid w:val="0052412B"/>
    <w:rsid w:val="00524FAA"/>
    <w:rsid w:val="005272C7"/>
    <w:rsid w:val="005302B4"/>
    <w:rsid w:val="00531B17"/>
    <w:rsid w:val="005521EC"/>
    <w:rsid w:val="0055692B"/>
    <w:rsid w:val="005651BF"/>
    <w:rsid w:val="0056611F"/>
    <w:rsid w:val="00570E4F"/>
    <w:rsid w:val="00594C88"/>
    <w:rsid w:val="005A4F37"/>
    <w:rsid w:val="005B33DF"/>
    <w:rsid w:val="005B724E"/>
    <w:rsid w:val="005C18AB"/>
    <w:rsid w:val="005C1BFD"/>
    <w:rsid w:val="005D1544"/>
    <w:rsid w:val="005D49E9"/>
    <w:rsid w:val="005E13B9"/>
    <w:rsid w:val="005F348E"/>
    <w:rsid w:val="005F3CFB"/>
    <w:rsid w:val="005F5511"/>
    <w:rsid w:val="0063172F"/>
    <w:rsid w:val="006321F7"/>
    <w:rsid w:val="006511B1"/>
    <w:rsid w:val="00651497"/>
    <w:rsid w:val="00664F85"/>
    <w:rsid w:val="00673661"/>
    <w:rsid w:val="0067526C"/>
    <w:rsid w:val="006821BC"/>
    <w:rsid w:val="006B7D7F"/>
    <w:rsid w:val="006D2A8A"/>
    <w:rsid w:val="007107A8"/>
    <w:rsid w:val="00716FBE"/>
    <w:rsid w:val="007448D3"/>
    <w:rsid w:val="007551AF"/>
    <w:rsid w:val="00775E1F"/>
    <w:rsid w:val="0079225B"/>
    <w:rsid w:val="007A61FC"/>
    <w:rsid w:val="007C1BB8"/>
    <w:rsid w:val="007D05CE"/>
    <w:rsid w:val="007D2C04"/>
    <w:rsid w:val="007E2986"/>
    <w:rsid w:val="007E4B10"/>
    <w:rsid w:val="007F7C3C"/>
    <w:rsid w:val="00807CAF"/>
    <w:rsid w:val="00812199"/>
    <w:rsid w:val="008145D4"/>
    <w:rsid w:val="00836272"/>
    <w:rsid w:val="00851B74"/>
    <w:rsid w:val="0085454B"/>
    <w:rsid w:val="008856A3"/>
    <w:rsid w:val="00887154"/>
    <w:rsid w:val="00887F4E"/>
    <w:rsid w:val="008930D8"/>
    <w:rsid w:val="008A51D8"/>
    <w:rsid w:val="008C48C9"/>
    <w:rsid w:val="008D482A"/>
    <w:rsid w:val="008D6225"/>
    <w:rsid w:val="008E2A37"/>
    <w:rsid w:val="00902716"/>
    <w:rsid w:val="0090615D"/>
    <w:rsid w:val="00910205"/>
    <w:rsid w:val="00913A1D"/>
    <w:rsid w:val="009327B2"/>
    <w:rsid w:val="00950F89"/>
    <w:rsid w:val="0096726A"/>
    <w:rsid w:val="00967E81"/>
    <w:rsid w:val="00981621"/>
    <w:rsid w:val="00983803"/>
    <w:rsid w:val="009967F8"/>
    <w:rsid w:val="009A0AEB"/>
    <w:rsid w:val="009A2CC0"/>
    <w:rsid w:val="009A74F9"/>
    <w:rsid w:val="009B31F8"/>
    <w:rsid w:val="009C5400"/>
    <w:rsid w:val="009E3BB1"/>
    <w:rsid w:val="009F7546"/>
    <w:rsid w:val="00A0719C"/>
    <w:rsid w:val="00A10428"/>
    <w:rsid w:val="00A122CE"/>
    <w:rsid w:val="00A157D7"/>
    <w:rsid w:val="00A3366A"/>
    <w:rsid w:val="00A336FA"/>
    <w:rsid w:val="00A36805"/>
    <w:rsid w:val="00A4626A"/>
    <w:rsid w:val="00A50147"/>
    <w:rsid w:val="00A508D5"/>
    <w:rsid w:val="00A509C6"/>
    <w:rsid w:val="00A556AC"/>
    <w:rsid w:val="00A73D3A"/>
    <w:rsid w:val="00A7554B"/>
    <w:rsid w:val="00A8022E"/>
    <w:rsid w:val="00A83631"/>
    <w:rsid w:val="00A87CC2"/>
    <w:rsid w:val="00A90431"/>
    <w:rsid w:val="00A93BD8"/>
    <w:rsid w:val="00AA676D"/>
    <w:rsid w:val="00AD04B8"/>
    <w:rsid w:val="00AD4C57"/>
    <w:rsid w:val="00AE1CFB"/>
    <w:rsid w:val="00AE260E"/>
    <w:rsid w:val="00AE3C2F"/>
    <w:rsid w:val="00AE4472"/>
    <w:rsid w:val="00AE7CAC"/>
    <w:rsid w:val="00AF5981"/>
    <w:rsid w:val="00AF5F8E"/>
    <w:rsid w:val="00AF6B57"/>
    <w:rsid w:val="00B041C5"/>
    <w:rsid w:val="00B14CC3"/>
    <w:rsid w:val="00B24696"/>
    <w:rsid w:val="00B34585"/>
    <w:rsid w:val="00B35E16"/>
    <w:rsid w:val="00B45A0E"/>
    <w:rsid w:val="00B53D04"/>
    <w:rsid w:val="00B63B77"/>
    <w:rsid w:val="00B649D9"/>
    <w:rsid w:val="00B70952"/>
    <w:rsid w:val="00B73A34"/>
    <w:rsid w:val="00B74146"/>
    <w:rsid w:val="00B86073"/>
    <w:rsid w:val="00B87C0A"/>
    <w:rsid w:val="00B916F8"/>
    <w:rsid w:val="00B94731"/>
    <w:rsid w:val="00BA6A9E"/>
    <w:rsid w:val="00BA6E01"/>
    <w:rsid w:val="00BB1589"/>
    <w:rsid w:val="00BE2FF6"/>
    <w:rsid w:val="00BE7465"/>
    <w:rsid w:val="00BF1304"/>
    <w:rsid w:val="00BF5459"/>
    <w:rsid w:val="00C00A7B"/>
    <w:rsid w:val="00C05308"/>
    <w:rsid w:val="00C242C7"/>
    <w:rsid w:val="00C47981"/>
    <w:rsid w:val="00C5249E"/>
    <w:rsid w:val="00C52E08"/>
    <w:rsid w:val="00C53C61"/>
    <w:rsid w:val="00C71761"/>
    <w:rsid w:val="00C72C5E"/>
    <w:rsid w:val="00C7604A"/>
    <w:rsid w:val="00C81E57"/>
    <w:rsid w:val="00C86C3A"/>
    <w:rsid w:val="00C95255"/>
    <w:rsid w:val="00CB0D8D"/>
    <w:rsid w:val="00CB2F5D"/>
    <w:rsid w:val="00CC5238"/>
    <w:rsid w:val="00CD3870"/>
    <w:rsid w:val="00CD588B"/>
    <w:rsid w:val="00CD65DB"/>
    <w:rsid w:val="00CE04E5"/>
    <w:rsid w:val="00CE4E83"/>
    <w:rsid w:val="00CF2A9C"/>
    <w:rsid w:val="00CF48FB"/>
    <w:rsid w:val="00D030E6"/>
    <w:rsid w:val="00D368A0"/>
    <w:rsid w:val="00D44FA6"/>
    <w:rsid w:val="00D53D2D"/>
    <w:rsid w:val="00D64F41"/>
    <w:rsid w:val="00D678E4"/>
    <w:rsid w:val="00D71966"/>
    <w:rsid w:val="00D85AD8"/>
    <w:rsid w:val="00D87DD2"/>
    <w:rsid w:val="00D95D35"/>
    <w:rsid w:val="00D96AB5"/>
    <w:rsid w:val="00D97CAE"/>
    <w:rsid w:val="00DA3450"/>
    <w:rsid w:val="00DA5A32"/>
    <w:rsid w:val="00DA794D"/>
    <w:rsid w:val="00DB0838"/>
    <w:rsid w:val="00DB790E"/>
    <w:rsid w:val="00DC391D"/>
    <w:rsid w:val="00DE2C83"/>
    <w:rsid w:val="00DF20C8"/>
    <w:rsid w:val="00DF57F9"/>
    <w:rsid w:val="00E00EF6"/>
    <w:rsid w:val="00E033DD"/>
    <w:rsid w:val="00E26657"/>
    <w:rsid w:val="00E4123B"/>
    <w:rsid w:val="00E45E9C"/>
    <w:rsid w:val="00E50751"/>
    <w:rsid w:val="00E7625A"/>
    <w:rsid w:val="00E80158"/>
    <w:rsid w:val="00E87657"/>
    <w:rsid w:val="00E92F54"/>
    <w:rsid w:val="00EA2A89"/>
    <w:rsid w:val="00EA48AC"/>
    <w:rsid w:val="00EB4932"/>
    <w:rsid w:val="00EC2578"/>
    <w:rsid w:val="00ED7DF5"/>
    <w:rsid w:val="00EE7015"/>
    <w:rsid w:val="00EF7743"/>
    <w:rsid w:val="00F0504C"/>
    <w:rsid w:val="00F0527A"/>
    <w:rsid w:val="00F1188C"/>
    <w:rsid w:val="00F20D6D"/>
    <w:rsid w:val="00F26478"/>
    <w:rsid w:val="00F27C2D"/>
    <w:rsid w:val="00F4035C"/>
    <w:rsid w:val="00F43558"/>
    <w:rsid w:val="00F45017"/>
    <w:rsid w:val="00F52D48"/>
    <w:rsid w:val="00F575B8"/>
    <w:rsid w:val="00F6136C"/>
    <w:rsid w:val="00F658EB"/>
    <w:rsid w:val="00F67F99"/>
    <w:rsid w:val="00FB79EF"/>
    <w:rsid w:val="00FD070A"/>
    <w:rsid w:val="00FD3DEE"/>
    <w:rsid w:val="00FE18A9"/>
    <w:rsid w:val="00FE2237"/>
    <w:rsid w:val="00FE3039"/>
    <w:rsid w:val="00FE3F11"/>
    <w:rsid w:val="00FF255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93CC9"/>
  <w15:docId w15:val="{9E7ED07A-56F3-46A3-B866-57F48C8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semiHidden/>
    <w:unhideWhenUsed/>
    <w:qFormat/>
    <w:locked/>
    <w:rsid w:val="003676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 w:type="character" w:customStyle="1" w:styleId="Heading4Char">
    <w:name w:val="Heading 4 Char"/>
    <w:basedOn w:val="DefaultParagraphFont"/>
    <w:link w:val="Heading4"/>
    <w:semiHidden/>
    <w:rsid w:val="0036767E"/>
    <w:rPr>
      <w:rFonts w:asciiTheme="majorHAnsi" w:eastAsiaTheme="majorEastAsia" w:hAnsiTheme="majorHAnsi" w:cstheme="majorBidi"/>
      <w:b/>
      <w:bCs/>
      <w:i/>
      <w:iCs/>
      <w:color w:val="4F81BD" w:themeColor="accent1"/>
      <w:lang w:eastAsia="zh-CN"/>
    </w:rPr>
  </w:style>
  <w:style w:type="table" w:styleId="LightShading-Accent1">
    <w:name w:val="Light Shading Accent 1"/>
    <w:basedOn w:val="TableNormal"/>
    <w:uiPriority w:val="60"/>
    <w:rsid w:val="0056611F"/>
    <w:rPr>
      <w:rFonts w:asciiTheme="minorHAnsi" w:eastAsiaTheme="minorEastAsia" w:hAnsiTheme="minorHAnsi" w:cstheme="minorBidi"/>
      <w:color w:val="365F91" w:themeColor="accent1" w:themeShade="BF"/>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BE7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00524">
      <w:bodyDiv w:val="1"/>
      <w:marLeft w:val="0"/>
      <w:marRight w:val="0"/>
      <w:marTop w:val="0"/>
      <w:marBottom w:val="0"/>
      <w:divBdr>
        <w:top w:val="none" w:sz="0" w:space="0" w:color="auto"/>
        <w:left w:val="none" w:sz="0" w:space="0" w:color="auto"/>
        <w:bottom w:val="none" w:sz="0" w:space="0" w:color="auto"/>
        <w:right w:val="none" w:sz="0" w:space="0" w:color="auto"/>
      </w:divBdr>
    </w:div>
    <w:div w:id="498236030">
      <w:bodyDiv w:val="1"/>
      <w:marLeft w:val="0"/>
      <w:marRight w:val="0"/>
      <w:marTop w:val="0"/>
      <w:marBottom w:val="0"/>
      <w:divBdr>
        <w:top w:val="none" w:sz="0" w:space="0" w:color="auto"/>
        <w:left w:val="none" w:sz="0" w:space="0" w:color="auto"/>
        <w:bottom w:val="none" w:sz="0" w:space="0" w:color="auto"/>
        <w:right w:val="none" w:sz="0" w:space="0" w:color="auto"/>
      </w:divBdr>
    </w:div>
    <w:div w:id="522550159">
      <w:bodyDiv w:val="1"/>
      <w:marLeft w:val="0"/>
      <w:marRight w:val="0"/>
      <w:marTop w:val="0"/>
      <w:marBottom w:val="0"/>
      <w:divBdr>
        <w:top w:val="none" w:sz="0" w:space="0" w:color="auto"/>
        <w:left w:val="none" w:sz="0" w:space="0" w:color="auto"/>
        <w:bottom w:val="none" w:sz="0" w:space="0" w:color="auto"/>
        <w:right w:val="none" w:sz="0" w:space="0" w:color="auto"/>
      </w:divBdr>
    </w:div>
    <w:div w:id="572156722">
      <w:bodyDiv w:val="1"/>
      <w:marLeft w:val="0"/>
      <w:marRight w:val="0"/>
      <w:marTop w:val="0"/>
      <w:marBottom w:val="0"/>
      <w:divBdr>
        <w:top w:val="none" w:sz="0" w:space="0" w:color="auto"/>
        <w:left w:val="none" w:sz="0" w:space="0" w:color="auto"/>
        <w:bottom w:val="none" w:sz="0" w:space="0" w:color="auto"/>
        <w:right w:val="none" w:sz="0" w:space="0" w:color="auto"/>
      </w:divBdr>
    </w:div>
    <w:div w:id="738674924">
      <w:bodyDiv w:val="1"/>
      <w:marLeft w:val="0"/>
      <w:marRight w:val="0"/>
      <w:marTop w:val="0"/>
      <w:marBottom w:val="0"/>
      <w:divBdr>
        <w:top w:val="none" w:sz="0" w:space="0" w:color="auto"/>
        <w:left w:val="none" w:sz="0" w:space="0" w:color="auto"/>
        <w:bottom w:val="none" w:sz="0" w:space="0" w:color="auto"/>
        <w:right w:val="none" w:sz="0" w:space="0" w:color="auto"/>
      </w:divBdr>
    </w:div>
    <w:div w:id="930745073">
      <w:bodyDiv w:val="1"/>
      <w:marLeft w:val="0"/>
      <w:marRight w:val="0"/>
      <w:marTop w:val="0"/>
      <w:marBottom w:val="0"/>
      <w:divBdr>
        <w:top w:val="none" w:sz="0" w:space="0" w:color="auto"/>
        <w:left w:val="none" w:sz="0" w:space="0" w:color="auto"/>
        <w:bottom w:val="none" w:sz="0" w:space="0" w:color="auto"/>
        <w:right w:val="none" w:sz="0" w:space="0" w:color="auto"/>
      </w:divBdr>
    </w:div>
    <w:div w:id="1436708646">
      <w:bodyDiv w:val="1"/>
      <w:marLeft w:val="0"/>
      <w:marRight w:val="0"/>
      <w:marTop w:val="0"/>
      <w:marBottom w:val="0"/>
      <w:divBdr>
        <w:top w:val="none" w:sz="0" w:space="0" w:color="auto"/>
        <w:left w:val="none" w:sz="0" w:space="0" w:color="auto"/>
        <w:bottom w:val="none" w:sz="0" w:space="0" w:color="auto"/>
        <w:right w:val="none" w:sz="0" w:space="0" w:color="auto"/>
      </w:divBdr>
      <w:divsChild>
        <w:div w:id="151875125">
          <w:marLeft w:val="0"/>
          <w:marRight w:val="0"/>
          <w:marTop w:val="0"/>
          <w:marBottom w:val="0"/>
          <w:divBdr>
            <w:top w:val="none" w:sz="0" w:space="0" w:color="auto"/>
            <w:left w:val="none" w:sz="0" w:space="0" w:color="auto"/>
            <w:bottom w:val="none" w:sz="0" w:space="0" w:color="auto"/>
            <w:right w:val="none" w:sz="0" w:space="0" w:color="auto"/>
          </w:divBdr>
          <w:divsChild>
            <w:div w:id="621228533">
              <w:marLeft w:val="0"/>
              <w:marRight w:val="0"/>
              <w:marTop w:val="0"/>
              <w:marBottom w:val="0"/>
              <w:divBdr>
                <w:top w:val="none" w:sz="0" w:space="0" w:color="auto"/>
                <w:left w:val="none" w:sz="0" w:space="0" w:color="auto"/>
                <w:bottom w:val="single" w:sz="6" w:space="0" w:color="D5D5D5"/>
                <w:right w:val="none" w:sz="0" w:space="0" w:color="auto"/>
              </w:divBdr>
              <w:divsChild>
                <w:div w:id="1518694579">
                  <w:marLeft w:val="0"/>
                  <w:marRight w:val="0"/>
                  <w:marTop w:val="0"/>
                  <w:marBottom w:val="0"/>
                  <w:divBdr>
                    <w:top w:val="none" w:sz="0" w:space="0" w:color="auto"/>
                    <w:left w:val="none" w:sz="0" w:space="0" w:color="auto"/>
                    <w:bottom w:val="none" w:sz="0" w:space="0" w:color="auto"/>
                    <w:right w:val="none" w:sz="0" w:space="0" w:color="auto"/>
                  </w:divBdr>
                  <w:divsChild>
                    <w:div w:id="1614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8143">
      <w:marLeft w:val="0"/>
      <w:marRight w:val="0"/>
      <w:marTop w:val="0"/>
      <w:marBottom w:val="0"/>
      <w:divBdr>
        <w:top w:val="none" w:sz="0" w:space="0" w:color="auto"/>
        <w:left w:val="none" w:sz="0" w:space="0" w:color="auto"/>
        <w:bottom w:val="none" w:sz="0" w:space="0" w:color="auto"/>
        <w:right w:val="none" w:sz="0" w:space="0" w:color="auto"/>
      </w:divBdr>
    </w:div>
    <w:div w:id="1463768144">
      <w:marLeft w:val="0"/>
      <w:marRight w:val="0"/>
      <w:marTop w:val="0"/>
      <w:marBottom w:val="0"/>
      <w:divBdr>
        <w:top w:val="none" w:sz="0" w:space="0" w:color="auto"/>
        <w:left w:val="none" w:sz="0" w:space="0" w:color="auto"/>
        <w:bottom w:val="none" w:sz="0" w:space="0" w:color="auto"/>
        <w:right w:val="none" w:sz="0" w:space="0" w:color="auto"/>
      </w:divBdr>
    </w:div>
    <w:div w:id="1463768145">
      <w:marLeft w:val="0"/>
      <w:marRight w:val="0"/>
      <w:marTop w:val="0"/>
      <w:marBottom w:val="0"/>
      <w:divBdr>
        <w:top w:val="none" w:sz="0" w:space="0" w:color="auto"/>
        <w:left w:val="none" w:sz="0" w:space="0" w:color="auto"/>
        <w:bottom w:val="none" w:sz="0" w:space="0" w:color="auto"/>
        <w:right w:val="none" w:sz="0" w:space="0" w:color="auto"/>
      </w:divBdr>
    </w:div>
    <w:div w:id="1463768146">
      <w:marLeft w:val="0"/>
      <w:marRight w:val="0"/>
      <w:marTop w:val="0"/>
      <w:marBottom w:val="0"/>
      <w:divBdr>
        <w:top w:val="none" w:sz="0" w:space="0" w:color="auto"/>
        <w:left w:val="none" w:sz="0" w:space="0" w:color="auto"/>
        <w:bottom w:val="none" w:sz="0" w:space="0" w:color="auto"/>
        <w:right w:val="none" w:sz="0" w:space="0" w:color="auto"/>
      </w:divBdr>
    </w:div>
    <w:div w:id="1786650817">
      <w:bodyDiv w:val="1"/>
      <w:marLeft w:val="0"/>
      <w:marRight w:val="0"/>
      <w:marTop w:val="0"/>
      <w:marBottom w:val="0"/>
      <w:divBdr>
        <w:top w:val="none" w:sz="0" w:space="0" w:color="auto"/>
        <w:left w:val="none" w:sz="0" w:space="0" w:color="auto"/>
        <w:bottom w:val="none" w:sz="0" w:space="0" w:color="auto"/>
        <w:right w:val="none" w:sz="0" w:space="0" w:color="auto"/>
      </w:divBdr>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 w:id="2017460229">
      <w:bodyDiv w:val="1"/>
      <w:marLeft w:val="0"/>
      <w:marRight w:val="0"/>
      <w:marTop w:val="0"/>
      <w:marBottom w:val="0"/>
      <w:divBdr>
        <w:top w:val="none" w:sz="0" w:space="0" w:color="auto"/>
        <w:left w:val="none" w:sz="0" w:space="0" w:color="auto"/>
        <w:bottom w:val="none" w:sz="0" w:space="0" w:color="auto"/>
        <w:right w:val="none" w:sz="0" w:space="0" w:color="auto"/>
      </w:divBdr>
      <w:divsChild>
        <w:div w:id="367462030">
          <w:marLeft w:val="0"/>
          <w:marRight w:val="0"/>
          <w:marTop w:val="0"/>
          <w:marBottom w:val="0"/>
          <w:divBdr>
            <w:top w:val="none" w:sz="0" w:space="0" w:color="auto"/>
            <w:left w:val="none" w:sz="0" w:space="0" w:color="auto"/>
            <w:bottom w:val="none" w:sz="0" w:space="0" w:color="auto"/>
            <w:right w:val="none" w:sz="0" w:space="0" w:color="auto"/>
          </w:divBdr>
          <w:divsChild>
            <w:div w:id="995034920">
              <w:marLeft w:val="0"/>
              <w:marRight w:val="0"/>
              <w:marTop w:val="0"/>
              <w:marBottom w:val="0"/>
              <w:divBdr>
                <w:top w:val="none" w:sz="0" w:space="0" w:color="auto"/>
                <w:left w:val="none" w:sz="0" w:space="0" w:color="auto"/>
                <w:bottom w:val="single" w:sz="6" w:space="0" w:color="D5D5D5"/>
                <w:right w:val="none" w:sz="0" w:space="0" w:color="auto"/>
              </w:divBdr>
              <w:divsChild>
                <w:div w:id="1890608046">
                  <w:marLeft w:val="0"/>
                  <w:marRight w:val="0"/>
                  <w:marTop w:val="0"/>
                  <w:marBottom w:val="0"/>
                  <w:divBdr>
                    <w:top w:val="none" w:sz="0" w:space="0" w:color="auto"/>
                    <w:left w:val="none" w:sz="0" w:space="0" w:color="auto"/>
                    <w:bottom w:val="none" w:sz="0" w:space="0" w:color="auto"/>
                    <w:right w:val="none" w:sz="0" w:space="0" w:color="auto"/>
                  </w:divBdr>
                  <w:divsChild>
                    <w:div w:id="13085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ging.itu.int/en/ITU-T/extcoop/cits/Documents/Meeting-201407-Sapporo/009%20-%20List%20of%20Participants.pdf" TargetMode="External"/><Relationship Id="rId18" Type="http://schemas.openxmlformats.org/officeDocument/2006/relationships/hyperlink" Target="http://www.unece.org/fileadmin/DAM/trans/doc/2014/wp29/ECE-TRANS-WP.29-1109e.pdf" TargetMode="External"/><Relationship Id="rId26" Type="http://schemas.openxmlformats.org/officeDocument/2006/relationships/hyperlink" Target="http://www.tiaa.org.cn/EN/" TargetMode="External"/><Relationship Id="rId3" Type="http://schemas.openxmlformats.org/officeDocument/2006/relationships/styles" Target="styles.xml"/><Relationship Id="rId21" Type="http://schemas.openxmlformats.org/officeDocument/2006/relationships/hyperlink" Target="http://itu.int/go/ITScomms" TargetMode="External"/><Relationship Id="rId7" Type="http://schemas.openxmlformats.org/officeDocument/2006/relationships/endnotes" Target="endnotes.xml"/><Relationship Id="rId12" Type="http://schemas.openxmlformats.org/officeDocument/2006/relationships/hyperlink" Target="http://staging.itu.int/en/ITU-T/focusgroups/drnrr/Pages/default.aspx" TargetMode="External"/><Relationship Id="rId17" Type="http://schemas.openxmlformats.org/officeDocument/2006/relationships/hyperlink" Target="http://www.unece.org/trans/main/wp29/meeting_docs_wp29.html" TargetMode="External"/><Relationship Id="rId25" Type="http://schemas.openxmlformats.org/officeDocument/2006/relationships/hyperlink" Target="http://www.itu.int/en/ITU-T/extcoop/cits/Documents/Meeting-201407-Sapporo/004%20-%20Updates%20on%20ITS%20Activities%20in%20China-Industry%20Practice.docx"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itu.int/en/ITU-T/studygroups/2013-2016/16/Pages/q27.aspx" TargetMode="External"/><Relationship Id="rId20" Type="http://schemas.openxmlformats.org/officeDocument/2006/relationships/hyperlink" Target="http://www.itu.int/en/ITU-T/extcoop/cits/Documents/Meeting-201407-Sapporo/003%20-%20Updates%20on%20ITS%20Activities%20in%20China-Standard%20Bodies.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extcoop/cits/Documents/Meeting-201407-Sapporo/006%20-%20TTC%20updates%20on%20gap%20analysis.doc" TargetMode="External"/><Relationship Id="rId24" Type="http://schemas.openxmlformats.org/officeDocument/2006/relationships/hyperlink" Target="http://www.itu.int/en/ITU-T/extcoop/cits/Documents/Meeting-201407-Sapporo/002%20-%20Review%20of%20open%20actions.docx"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aging.itu.int/en/ITU-T/studygroups/2013-2016/17/Pages/default.aspx" TargetMode="External"/><Relationship Id="rId23" Type="http://schemas.openxmlformats.org/officeDocument/2006/relationships/hyperlink" Target="mailto:martin.adolph@itu.int" TargetMode="External"/><Relationship Id="rId28" Type="http://schemas.openxmlformats.org/officeDocument/2006/relationships/hyperlink" Target="http://www.itu.int/en/ITU-T/extcoop/cits/Documents/Meeting-201407-Sapporo/007%20-%20LS%20on%20ITS%20security.doc" TargetMode="External"/><Relationship Id="rId10" Type="http://schemas.openxmlformats.org/officeDocument/2006/relationships/hyperlink" Target="http://www.itu.int/en/ITU-T/extcoop/cits/Documents/Meeting-201403-Geneva/011%20-%20Meeting%20report.docx" TargetMode="External"/><Relationship Id="rId19" Type="http://schemas.openxmlformats.org/officeDocument/2006/relationships/hyperlink" Target="http://www.itu.int/en/ITU-T/extcoop/cits/Documents/Meeting-201407-Sapporo/001%20-%20Draft%20agenda.docx"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itu.int/en/ITU-T/extcoop/cits/Documents/Meeting-201407-Sapporo/005%20-%20TTC%20updates%20on%20ITS%20communications%20priorities%20in%20Japan.doc" TargetMode="External"/><Relationship Id="rId14" Type="http://schemas.openxmlformats.org/officeDocument/2006/relationships/hyperlink" Target="http://staging.itu.int/en/ITU-T/extcoop/cits/?id=34823" TargetMode="External"/><Relationship Id="rId22" Type="http://schemas.openxmlformats.org/officeDocument/2006/relationships/hyperlink" Target="http://www.unece.org/index.php?isn=4936"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hyperlink" Target="http://www.itu.int/net/itu-t/ls/l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 xsi:nil="true"/>
    <_x0077_t03 xmlns="12c98d68-ac85-44e7-bf24-1eee02f47aef" xsi:nil="true"/>
    <u39c xmlns="12c98d68-ac85-44e7-bf24-1eee02f47aef" xsi:nil="true"/>
  </documentManagement>
</p:properties>
</file>

<file path=customXml/itemProps1.xml><?xml version="1.0" encoding="utf-8"?>
<ds:datastoreItem xmlns:ds="http://schemas.openxmlformats.org/officeDocument/2006/customXml" ds:itemID="{295C2887-9171-47F9-93F3-4906862DD46D}"/>
</file>

<file path=customXml/itemProps2.xml><?xml version="1.0" encoding="utf-8"?>
<ds:datastoreItem xmlns:ds="http://schemas.openxmlformats.org/officeDocument/2006/customXml" ds:itemID="{B8A782B4-55B9-4731-BF00-C8904708C2A8}"/>
</file>

<file path=customXml/itemProps3.xml><?xml version="1.0" encoding="utf-8"?>
<ds:datastoreItem xmlns:ds="http://schemas.openxmlformats.org/officeDocument/2006/customXml" ds:itemID="{23C54F13-BE92-4D62-8467-3216BE39365C}"/>
</file>

<file path=customXml/itemProps4.xml><?xml version="1.0" encoding="utf-8"?>
<ds:datastoreItem xmlns:ds="http://schemas.openxmlformats.org/officeDocument/2006/customXml" ds:itemID="{A5643E0E-C2F8-4001-ADF7-33E926FBAB94}"/>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Meeting report, 4 July 2014, Sapporo, Japan</vt:lpstr>
    </vt:vector>
  </TitlesOfParts>
  <Company>ITU</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 4 July 2014, Sapporo, Japan</dc:title>
  <dc:creator>Martin Adolph</dc:creator>
  <cp:lastModifiedBy>Adolph, Martin</cp:lastModifiedBy>
  <cp:revision>2</cp:revision>
  <dcterms:created xsi:type="dcterms:W3CDTF">2014-07-23T08:06:00Z</dcterms:created>
  <dcterms:modified xsi:type="dcterms:W3CDTF">2014-07-23T08:06:00Z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