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184"/>
      </w:tblGrid>
      <w:tr w:rsidR="00CC3583" w:rsidRPr="00CC3583" w14:paraId="58F670C6" w14:textId="77777777" w:rsidTr="00AB7D5A">
        <w:trPr>
          <w:cantSplit/>
        </w:trPr>
        <w:tc>
          <w:tcPr>
            <w:tcW w:w="1104" w:type="dxa"/>
            <w:vMerge w:val="restart"/>
            <w:vAlign w:val="center"/>
          </w:tcPr>
          <w:p w14:paraId="6E3A8534" w14:textId="77777777" w:rsidR="00CC3583" w:rsidRPr="00CC3583" w:rsidRDefault="00CC3583" w:rsidP="00CC3583">
            <w:pPr>
              <w:jc w:val="center"/>
              <w:rPr>
                <w:sz w:val="20"/>
                <w:szCs w:val="20"/>
              </w:rPr>
            </w:pPr>
            <w:bookmarkStart w:id="0" w:name="dnum" w:colFirst="2" w:colLast="2"/>
            <w:bookmarkStart w:id="1" w:name="dsg" w:colFirst="1" w:colLast="1"/>
            <w:bookmarkStart w:id="2" w:name="dtableau"/>
            <w:r w:rsidRPr="00CC3583">
              <w:rPr>
                <w:noProof/>
              </w:rPr>
              <w:drawing>
                <wp:inline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151281" w14:textId="77777777" w:rsidR="00CC3583" w:rsidRPr="00CC3583" w:rsidRDefault="00CC3583" w:rsidP="00CC3583">
            <w:pPr>
              <w:rPr>
                <w:sz w:val="16"/>
                <w:szCs w:val="16"/>
              </w:rPr>
            </w:pPr>
            <w:r w:rsidRPr="00CC3583">
              <w:rPr>
                <w:sz w:val="16"/>
                <w:szCs w:val="16"/>
              </w:rPr>
              <w:t>INTERNATIONAL TELECOMMUNICATION UNION</w:t>
            </w:r>
          </w:p>
          <w:p w14:paraId="0173BDF4" w14:textId="77777777" w:rsidR="00CC3583" w:rsidRPr="00CC3583" w:rsidRDefault="00CC3583" w:rsidP="00CC3583">
            <w:pPr>
              <w:rPr>
                <w:b/>
                <w:bCs/>
                <w:sz w:val="26"/>
                <w:szCs w:val="26"/>
              </w:rPr>
            </w:pPr>
            <w:r w:rsidRPr="00CC3583">
              <w:rPr>
                <w:b/>
                <w:bCs/>
                <w:sz w:val="26"/>
                <w:szCs w:val="26"/>
              </w:rPr>
              <w:t>TELECOMMUNICATION</w:t>
            </w:r>
            <w:r w:rsidRPr="00CC3583">
              <w:rPr>
                <w:b/>
                <w:bCs/>
                <w:sz w:val="26"/>
                <w:szCs w:val="26"/>
              </w:rPr>
              <w:br/>
              <w:t>STANDARDIZATION SECTOR</w:t>
            </w:r>
          </w:p>
          <w:p w14:paraId="504ADA02" w14:textId="77777777" w:rsidR="00CC3583" w:rsidRPr="00CC3583" w:rsidRDefault="00CC3583" w:rsidP="00CC3583">
            <w:pPr>
              <w:rPr>
                <w:sz w:val="20"/>
                <w:szCs w:val="20"/>
              </w:rPr>
            </w:pPr>
            <w:r w:rsidRPr="00CC3583">
              <w:rPr>
                <w:sz w:val="20"/>
                <w:szCs w:val="20"/>
              </w:rPr>
              <w:t xml:space="preserve">STUDY PERIOD </w:t>
            </w:r>
            <w:bookmarkStart w:id="3" w:name="dstudyperiod"/>
            <w:r w:rsidRPr="00CC3583">
              <w:rPr>
                <w:sz w:val="20"/>
              </w:rPr>
              <w:t>2022</w:t>
            </w:r>
            <w:r w:rsidRPr="00CC3583">
              <w:rPr>
                <w:sz w:val="20"/>
                <w:szCs w:val="20"/>
              </w:rPr>
              <w:t>-</w:t>
            </w:r>
            <w:r w:rsidRPr="00CC3583">
              <w:rPr>
                <w:sz w:val="20"/>
              </w:rPr>
              <w:t>2024</w:t>
            </w:r>
            <w:bookmarkEnd w:id="3"/>
          </w:p>
        </w:tc>
        <w:tc>
          <w:tcPr>
            <w:tcW w:w="4184" w:type="dxa"/>
            <w:vAlign w:val="center"/>
          </w:tcPr>
          <w:p w14:paraId="629A6A8C" w14:textId="0724B8AB" w:rsidR="00CC3583" w:rsidRPr="00CC3583" w:rsidRDefault="00CC3583" w:rsidP="00CC3583">
            <w:pPr>
              <w:pStyle w:val="Docnumber"/>
              <w:rPr>
                <w:sz w:val="32"/>
              </w:rPr>
            </w:pPr>
            <w:r>
              <w:rPr>
                <w:sz w:val="32"/>
              </w:rPr>
              <w:t>S</w:t>
            </w:r>
            <w:r w:rsidR="003301B2">
              <w:rPr>
                <w:sz w:val="32"/>
              </w:rPr>
              <w:t>CV</w:t>
            </w:r>
            <w:r>
              <w:rPr>
                <w:sz w:val="32"/>
              </w:rPr>
              <w:t>-LS</w:t>
            </w:r>
            <w:r w:rsidR="00F106C3">
              <w:rPr>
                <w:sz w:val="32"/>
              </w:rPr>
              <w:t>2</w:t>
            </w:r>
            <w:r w:rsidR="008B4370">
              <w:rPr>
                <w:sz w:val="32"/>
              </w:rPr>
              <w:t>8</w:t>
            </w:r>
          </w:p>
        </w:tc>
      </w:tr>
      <w:bookmarkEnd w:id="0"/>
      <w:tr w:rsidR="00CC3583" w:rsidRPr="00CC3583" w14:paraId="58D7EBBF" w14:textId="77777777" w:rsidTr="00AB7D5A">
        <w:trPr>
          <w:cantSplit/>
        </w:trPr>
        <w:tc>
          <w:tcPr>
            <w:tcW w:w="1104" w:type="dxa"/>
            <w:vMerge/>
          </w:tcPr>
          <w:p w14:paraId="015135B3" w14:textId="77777777" w:rsidR="00CC3583" w:rsidRPr="00CC3583" w:rsidRDefault="00CC3583" w:rsidP="00CC3583">
            <w:pPr>
              <w:rPr>
                <w:smallCaps/>
                <w:sz w:val="20"/>
              </w:rPr>
            </w:pPr>
          </w:p>
        </w:tc>
        <w:tc>
          <w:tcPr>
            <w:tcW w:w="4351" w:type="dxa"/>
            <w:gridSpan w:val="5"/>
            <w:vMerge/>
          </w:tcPr>
          <w:p w14:paraId="2385B85F" w14:textId="77777777" w:rsidR="00CC3583" w:rsidRPr="00CC3583" w:rsidRDefault="00CC3583" w:rsidP="00CC3583">
            <w:pPr>
              <w:rPr>
                <w:smallCaps/>
                <w:sz w:val="20"/>
              </w:rPr>
            </w:pPr>
          </w:p>
        </w:tc>
        <w:tc>
          <w:tcPr>
            <w:tcW w:w="4184" w:type="dxa"/>
          </w:tcPr>
          <w:p w14:paraId="5BFECBA9" w14:textId="56D31E8E" w:rsidR="00CC3583" w:rsidRPr="00CC3583" w:rsidRDefault="003301B2" w:rsidP="00CC3583">
            <w:pPr>
              <w:jc w:val="right"/>
              <w:rPr>
                <w:b/>
                <w:bCs/>
                <w:smallCaps/>
                <w:sz w:val="28"/>
                <w:szCs w:val="28"/>
              </w:rPr>
            </w:pPr>
            <w:r>
              <w:rPr>
                <w:b/>
                <w:bCs/>
                <w:smallCaps/>
                <w:sz w:val="28"/>
                <w:szCs w:val="28"/>
              </w:rPr>
              <w:t>SCV</w:t>
            </w:r>
          </w:p>
        </w:tc>
      </w:tr>
      <w:tr w:rsidR="00CC3583" w:rsidRPr="00CC3583" w14:paraId="64BBDFC1" w14:textId="77777777" w:rsidTr="00AB7D5A">
        <w:trPr>
          <w:cantSplit/>
        </w:trPr>
        <w:tc>
          <w:tcPr>
            <w:tcW w:w="1104" w:type="dxa"/>
            <w:vMerge/>
            <w:tcBorders>
              <w:bottom w:val="single" w:sz="12" w:space="0" w:color="auto"/>
            </w:tcBorders>
          </w:tcPr>
          <w:p w14:paraId="6E7BDC58" w14:textId="77777777" w:rsidR="00CC3583" w:rsidRPr="00CC3583" w:rsidRDefault="00CC3583" w:rsidP="00CC3583">
            <w:pPr>
              <w:rPr>
                <w:b/>
                <w:bCs/>
                <w:sz w:val="26"/>
              </w:rPr>
            </w:pPr>
          </w:p>
        </w:tc>
        <w:tc>
          <w:tcPr>
            <w:tcW w:w="4351" w:type="dxa"/>
            <w:gridSpan w:val="5"/>
            <w:vMerge/>
            <w:tcBorders>
              <w:bottom w:val="single" w:sz="12" w:space="0" w:color="auto"/>
            </w:tcBorders>
          </w:tcPr>
          <w:p w14:paraId="20C113A2" w14:textId="77777777" w:rsidR="00CC3583" w:rsidRPr="00CC3583" w:rsidRDefault="00CC3583" w:rsidP="00CC3583">
            <w:pPr>
              <w:rPr>
                <w:b/>
                <w:bCs/>
                <w:sz w:val="26"/>
              </w:rPr>
            </w:pPr>
          </w:p>
        </w:tc>
        <w:tc>
          <w:tcPr>
            <w:tcW w:w="4184" w:type="dxa"/>
            <w:tcBorders>
              <w:bottom w:val="single" w:sz="12" w:space="0" w:color="auto"/>
            </w:tcBorders>
            <w:vAlign w:val="center"/>
          </w:tcPr>
          <w:p w14:paraId="2A1AE47A" w14:textId="77777777" w:rsidR="00CC3583" w:rsidRPr="00CC3583" w:rsidRDefault="00CC3583" w:rsidP="00CC3583">
            <w:pPr>
              <w:jc w:val="right"/>
              <w:rPr>
                <w:b/>
                <w:bCs/>
                <w:sz w:val="28"/>
                <w:szCs w:val="28"/>
              </w:rPr>
            </w:pPr>
            <w:r w:rsidRPr="00CC3583">
              <w:rPr>
                <w:b/>
                <w:bCs/>
                <w:sz w:val="28"/>
                <w:szCs w:val="28"/>
              </w:rPr>
              <w:t>Original: English</w:t>
            </w:r>
          </w:p>
        </w:tc>
      </w:tr>
      <w:tr w:rsidR="00CC3583" w:rsidRPr="00CC3583" w14:paraId="719739D7" w14:textId="77777777" w:rsidTr="00AB7D5A">
        <w:trPr>
          <w:cantSplit/>
        </w:trPr>
        <w:tc>
          <w:tcPr>
            <w:tcW w:w="1545" w:type="dxa"/>
            <w:gridSpan w:val="2"/>
          </w:tcPr>
          <w:p w14:paraId="1683DB3D" w14:textId="77777777" w:rsidR="00CC3583" w:rsidRPr="00CC3583" w:rsidRDefault="00CC3583" w:rsidP="00CC3583">
            <w:pPr>
              <w:rPr>
                <w:b/>
                <w:bCs/>
              </w:rPr>
            </w:pPr>
            <w:bookmarkStart w:id="4" w:name="dbluepink" w:colFirst="1" w:colLast="1"/>
            <w:bookmarkStart w:id="5" w:name="dmeeting" w:colFirst="2" w:colLast="2"/>
            <w:bookmarkEnd w:id="1"/>
            <w:r w:rsidRPr="00CC3583">
              <w:rPr>
                <w:b/>
                <w:bCs/>
              </w:rPr>
              <w:t>Question(s):</w:t>
            </w:r>
          </w:p>
        </w:tc>
        <w:tc>
          <w:tcPr>
            <w:tcW w:w="3910" w:type="dxa"/>
            <w:gridSpan w:val="4"/>
          </w:tcPr>
          <w:p w14:paraId="5B7E6AC1" w14:textId="4C28F91E" w:rsidR="00CC3583" w:rsidRPr="00CC3583" w:rsidRDefault="003301B2" w:rsidP="00CC3583">
            <w:r>
              <w:t>---</w:t>
            </w:r>
          </w:p>
        </w:tc>
        <w:tc>
          <w:tcPr>
            <w:tcW w:w="4184" w:type="dxa"/>
          </w:tcPr>
          <w:p w14:paraId="1BD265C7" w14:textId="15293B5C" w:rsidR="00CC3583" w:rsidRPr="00CC3583" w:rsidRDefault="00CC3583" w:rsidP="00CC3583">
            <w:pPr>
              <w:jc w:val="right"/>
            </w:pPr>
            <w:r w:rsidRPr="00CC3583">
              <w:t xml:space="preserve">Geneva, </w:t>
            </w:r>
            <w:r w:rsidR="00F7593F">
              <w:t>30</w:t>
            </w:r>
            <w:r w:rsidR="000E043E">
              <w:t xml:space="preserve"> </w:t>
            </w:r>
            <w:r w:rsidR="001E5C35">
              <w:t>April</w:t>
            </w:r>
            <w:r w:rsidR="00F106C3">
              <w:t xml:space="preserve"> </w:t>
            </w:r>
            <w:r w:rsidRPr="00CC3583">
              <w:t>202</w:t>
            </w:r>
            <w:r w:rsidR="00F106C3">
              <w:t>4</w:t>
            </w:r>
          </w:p>
        </w:tc>
      </w:tr>
      <w:tr w:rsidR="00CC3583" w:rsidRPr="00CC3583" w14:paraId="083FF425" w14:textId="77777777" w:rsidTr="00AB7D5A">
        <w:trPr>
          <w:cantSplit/>
        </w:trPr>
        <w:tc>
          <w:tcPr>
            <w:tcW w:w="9639" w:type="dxa"/>
            <w:gridSpan w:val="7"/>
          </w:tcPr>
          <w:p w14:paraId="5192CFEF" w14:textId="654BBD63" w:rsidR="00CC3583" w:rsidRPr="00CC3583" w:rsidRDefault="00CC3583" w:rsidP="00CC3583">
            <w:pPr>
              <w:jc w:val="center"/>
              <w:rPr>
                <w:b/>
                <w:bCs/>
              </w:rPr>
            </w:pPr>
            <w:bookmarkStart w:id="6" w:name="ddoctype"/>
            <w:bookmarkStart w:id="7" w:name="dtitle" w:colFirst="0" w:colLast="0"/>
            <w:bookmarkEnd w:id="4"/>
            <w:bookmarkEnd w:id="5"/>
            <w:r>
              <w:rPr>
                <w:b/>
                <w:bCs/>
              </w:rPr>
              <w:t>(</w:t>
            </w:r>
            <w:r w:rsidRPr="00CC3583">
              <w:rPr>
                <w:b/>
                <w:bCs/>
              </w:rPr>
              <w:t>Ref.:</w:t>
            </w:r>
            <w:r w:rsidR="00160C1A">
              <w:rPr>
                <w:b/>
                <w:bCs/>
              </w:rPr>
              <w:t>)</w:t>
            </w:r>
          </w:p>
        </w:tc>
      </w:tr>
      <w:tr w:rsidR="00CC3583" w:rsidRPr="00CC3583" w14:paraId="6D255CBF" w14:textId="77777777" w:rsidTr="00AB7D5A">
        <w:trPr>
          <w:cantSplit/>
        </w:trPr>
        <w:tc>
          <w:tcPr>
            <w:tcW w:w="1545" w:type="dxa"/>
            <w:gridSpan w:val="2"/>
          </w:tcPr>
          <w:p w14:paraId="1885EDA2" w14:textId="77777777" w:rsidR="00CC3583" w:rsidRPr="00CC3583" w:rsidRDefault="00CC3583" w:rsidP="00CC3583">
            <w:pPr>
              <w:rPr>
                <w:b/>
                <w:bCs/>
              </w:rPr>
            </w:pPr>
            <w:bookmarkStart w:id="8" w:name="dsource" w:colFirst="1" w:colLast="1"/>
            <w:bookmarkEnd w:id="6"/>
            <w:bookmarkEnd w:id="7"/>
            <w:r w:rsidRPr="00CC3583">
              <w:rPr>
                <w:b/>
                <w:bCs/>
              </w:rPr>
              <w:t>Source:</w:t>
            </w:r>
          </w:p>
        </w:tc>
        <w:tc>
          <w:tcPr>
            <w:tcW w:w="8094" w:type="dxa"/>
            <w:gridSpan w:val="5"/>
          </w:tcPr>
          <w:p w14:paraId="64FA308C" w14:textId="626258E6" w:rsidR="00CC3583" w:rsidRPr="00CC3583" w:rsidRDefault="00D06A0D" w:rsidP="00CC3583">
            <w:r>
              <w:t>Coordination Committee for Terminology</w:t>
            </w:r>
          </w:p>
        </w:tc>
      </w:tr>
      <w:tr w:rsidR="00CC3583" w:rsidRPr="00CC3583" w14:paraId="3BCFDC0E" w14:textId="77777777" w:rsidTr="00AB7D5A">
        <w:trPr>
          <w:cantSplit/>
        </w:trPr>
        <w:tc>
          <w:tcPr>
            <w:tcW w:w="1545" w:type="dxa"/>
            <w:gridSpan w:val="2"/>
            <w:tcBorders>
              <w:bottom w:val="single" w:sz="8" w:space="0" w:color="auto"/>
            </w:tcBorders>
          </w:tcPr>
          <w:p w14:paraId="4D640F2F" w14:textId="77777777" w:rsidR="00CC3583" w:rsidRPr="00CC3583" w:rsidRDefault="00CC3583" w:rsidP="00CC3583">
            <w:pPr>
              <w:rPr>
                <w:b/>
                <w:bCs/>
              </w:rPr>
            </w:pPr>
            <w:bookmarkStart w:id="9" w:name="dtitle1" w:colFirst="1" w:colLast="1"/>
            <w:bookmarkEnd w:id="8"/>
            <w:r w:rsidRPr="00CC3583">
              <w:rPr>
                <w:b/>
                <w:bCs/>
              </w:rPr>
              <w:t>Title:</w:t>
            </w:r>
          </w:p>
        </w:tc>
        <w:tc>
          <w:tcPr>
            <w:tcW w:w="8094" w:type="dxa"/>
            <w:gridSpan w:val="5"/>
            <w:tcBorders>
              <w:bottom w:val="single" w:sz="8" w:space="0" w:color="auto"/>
            </w:tcBorders>
          </w:tcPr>
          <w:p w14:paraId="12A76B66" w14:textId="71A1895A" w:rsidR="00CC3583" w:rsidRPr="00CC3583" w:rsidRDefault="00791928" w:rsidP="00CC3583">
            <w:r w:rsidRPr="00791928">
              <w:t>LS/r on SCV activity in SG2</w:t>
            </w:r>
            <w:r>
              <w:t xml:space="preserve"> (Reply to SG2-LS71)</w:t>
            </w:r>
          </w:p>
        </w:tc>
      </w:tr>
      <w:bookmarkEnd w:id="2"/>
      <w:bookmarkEnd w:id="9"/>
      <w:tr w:rsidR="00777FAB" w14:paraId="4E3EC64C" w14:textId="77777777" w:rsidTr="00AB7D5A">
        <w:tblPrEx>
          <w:tblLook w:val="04A0" w:firstRow="1" w:lastRow="0" w:firstColumn="1" w:lastColumn="0" w:noHBand="0" w:noVBand="1"/>
        </w:tblPrEx>
        <w:trPr>
          <w:cantSplit/>
          <w:trHeight w:val="357"/>
        </w:trPr>
        <w:tc>
          <w:tcPr>
            <w:tcW w:w="9639" w:type="dxa"/>
            <w:gridSpan w:val="7"/>
            <w:tcBorders>
              <w:top w:val="single" w:sz="12" w:space="0" w:color="auto"/>
            </w:tcBorders>
          </w:tcPr>
          <w:p w14:paraId="5D883AA5" w14:textId="77777777" w:rsidR="00777FAB" w:rsidRDefault="00777FAB" w:rsidP="00CA70EF">
            <w:pPr>
              <w:jc w:val="center"/>
              <w:rPr>
                <w:b/>
              </w:rPr>
            </w:pPr>
            <w:r>
              <w:rPr>
                <w:b/>
              </w:rPr>
              <w:t>LIAISON STATEMENT</w:t>
            </w:r>
          </w:p>
        </w:tc>
      </w:tr>
      <w:tr w:rsidR="00777FAB" w14:paraId="6A22B081" w14:textId="77777777" w:rsidTr="00AB7D5A">
        <w:tblPrEx>
          <w:tblLook w:val="04A0" w:firstRow="1" w:lastRow="0" w:firstColumn="1" w:lastColumn="0" w:noHBand="0" w:noVBand="1"/>
        </w:tblPrEx>
        <w:trPr>
          <w:cantSplit/>
          <w:trHeight w:val="357"/>
        </w:trPr>
        <w:tc>
          <w:tcPr>
            <w:tcW w:w="2127" w:type="dxa"/>
            <w:gridSpan w:val="4"/>
          </w:tcPr>
          <w:p w14:paraId="594A4333" w14:textId="77777777" w:rsidR="00777FAB" w:rsidRDefault="00777FAB" w:rsidP="00CA70EF">
            <w:pPr>
              <w:rPr>
                <w:b/>
                <w:bCs/>
              </w:rPr>
            </w:pPr>
            <w:r>
              <w:rPr>
                <w:b/>
                <w:bCs/>
              </w:rPr>
              <w:t>For action to:</w:t>
            </w:r>
          </w:p>
        </w:tc>
        <w:tc>
          <w:tcPr>
            <w:tcW w:w="7512" w:type="dxa"/>
            <w:gridSpan w:val="3"/>
          </w:tcPr>
          <w:p w14:paraId="1100E375" w14:textId="379DC0A4" w:rsidR="00777FAB" w:rsidRDefault="00182C1F" w:rsidP="00CA70EF">
            <w:pPr>
              <w:pStyle w:val="LSForAction"/>
            </w:pPr>
            <w:r>
              <w:t>ITU-T SG2</w:t>
            </w:r>
          </w:p>
        </w:tc>
      </w:tr>
      <w:tr w:rsidR="00777FAB" w14:paraId="60B97BCF" w14:textId="77777777" w:rsidTr="00AB7D5A">
        <w:tblPrEx>
          <w:tblLook w:val="04A0" w:firstRow="1" w:lastRow="0" w:firstColumn="1" w:lastColumn="0" w:noHBand="0" w:noVBand="1"/>
        </w:tblPrEx>
        <w:trPr>
          <w:cantSplit/>
          <w:trHeight w:val="357"/>
        </w:trPr>
        <w:tc>
          <w:tcPr>
            <w:tcW w:w="2127" w:type="dxa"/>
            <w:gridSpan w:val="4"/>
          </w:tcPr>
          <w:p w14:paraId="4FDA3D1F" w14:textId="77777777" w:rsidR="00777FAB" w:rsidRDefault="00777FAB" w:rsidP="00CA70EF">
            <w:pPr>
              <w:rPr>
                <w:b/>
                <w:bCs/>
              </w:rPr>
            </w:pPr>
            <w:r>
              <w:rPr>
                <w:b/>
                <w:bCs/>
              </w:rPr>
              <w:t>For information to:</w:t>
            </w:r>
          </w:p>
        </w:tc>
        <w:tc>
          <w:tcPr>
            <w:tcW w:w="7512" w:type="dxa"/>
            <w:gridSpan w:val="3"/>
          </w:tcPr>
          <w:p w14:paraId="0267BC8F" w14:textId="6EFB534C" w:rsidR="00777FAB" w:rsidRDefault="00182C1F" w:rsidP="00CA70EF">
            <w:pPr>
              <w:pStyle w:val="LSForInfo"/>
            </w:pPr>
            <w:r>
              <w:rPr>
                <w:szCs w:val="24"/>
              </w:rPr>
              <w:t>All ITU-T study groups</w:t>
            </w:r>
          </w:p>
        </w:tc>
      </w:tr>
      <w:tr w:rsidR="00777FAB" w14:paraId="60CF25F5" w14:textId="77777777" w:rsidTr="00AB7D5A">
        <w:tblPrEx>
          <w:tblLook w:val="04A0" w:firstRow="1" w:lastRow="0" w:firstColumn="1" w:lastColumn="0" w:noHBand="0" w:noVBand="1"/>
        </w:tblPrEx>
        <w:trPr>
          <w:cantSplit/>
          <w:trHeight w:val="357"/>
        </w:trPr>
        <w:tc>
          <w:tcPr>
            <w:tcW w:w="2127" w:type="dxa"/>
            <w:gridSpan w:val="4"/>
          </w:tcPr>
          <w:p w14:paraId="46CFA771" w14:textId="77777777" w:rsidR="00777FAB" w:rsidRDefault="00777FAB" w:rsidP="00CA70EF">
            <w:pPr>
              <w:rPr>
                <w:b/>
                <w:bCs/>
              </w:rPr>
            </w:pPr>
            <w:r>
              <w:rPr>
                <w:b/>
                <w:bCs/>
              </w:rPr>
              <w:t>Approval:</w:t>
            </w:r>
          </w:p>
        </w:tc>
        <w:tc>
          <w:tcPr>
            <w:tcW w:w="7512" w:type="dxa"/>
            <w:gridSpan w:val="3"/>
          </w:tcPr>
          <w:p w14:paraId="27577278" w14:textId="4C5549F3" w:rsidR="00777FAB" w:rsidRDefault="00FC6A1C" w:rsidP="00CA70EF">
            <w:r>
              <w:t>CCT</w:t>
            </w:r>
            <w:r w:rsidR="003301B2" w:rsidRPr="003301B2">
              <w:t xml:space="preserve"> meeting (</w:t>
            </w:r>
            <w:r w:rsidR="00F106C3">
              <w:t>1</w:t>
            </w:r>
            <w:r>
              <w:t>6</w:t>
            </w:r>
            <w:r w:rsidR="00E7586C">
              <w:t xml:space="preserve"> </w:t>
            </w:r>
            <w:r>
              <w:t xml:space="preserve">April </w:t>
            </w:r>
            <w:r w:rsidR="003301B2" w:rsidRPr="003301B2">
              <w:t>202</w:t>
            </w:r>
            <w:r w:rsidR="00F106C3">
              <w:t>4</w:t>
            </w:r>
            <w:r w:rsidR="003301B2" w:rsidRPr="003301B2">
              <w:t>)</w:t>
            </w:r>
          </w:p>
        </w:tc>
      </w:tr>
      <w:tr w:rsidR="00777FAB" w14:paraId="3EEAABD4" w14:textId="77777777" w:rsidTr="00AB7D5A">
        <w:tblPrEx>
          <w:tblLook w:val="04A0" w:firstRow="1" w:lastRow="0" w:firstColumn="1" w:lastColumn="0" w:noHBand="0" w:noVBand="1"/>
        </w:tblPrEx>
        <w:trPr>
          <w:cantSplit/>
          <w:trHeight w:val="357"/>
        </w:trPr>
        <w:tc>
          <w:tcPr>
            <w:tcW w:w="2127" w:type="dxa"/>
            <w:gridSpan w:val="4"/>
            <w:tcBorders>
              <w:bottom w:val="single" w:sz="12" w:space="0" w:color="auto"/>
            </w:tcBorders>
          </w:tcPr>
          <w:p w14:paraId="05F002F9" w14:textId="77777777" w:rsidR="00777FAB" w:rsidRDefault="00777FAB" w:rsidP="00CA70EF">
            <w:pPr>
              <w:rPr>
                <w:b/>
                <w:bCs/>
              </w:rPr>
            </w:pPr>
            <w:r>
              <w:rPr>
                <w:b/>
                <w:bCs/>
              </w:rPr>
              <w:t>Deadline:</w:t>
            </w:r>
          </w:p>
        </w:tc>
        <w:tc>
          <w:tcPr>
            <w:tcW w:w="7512" w:type="dxa"/>
            <w:gridSpan w:val="3"/>
            <w:tcBorders>
              <w:bottom w:val="single" w:sz="12" w:space="0" w:color="auto"/>
            </w:tcBorders>
          </w:tcPr>
          <w:p w14:paraId="63AEAB33" w14:textId="61831235" w:rsidR="00777FAB" w:rsidRDefault="00182C1F" w:rsidP="00CA70EF">
            <w:pPr>
              <w:pStyle w:val="LSDeadline"/>
            </w:pPr>
            <w:r>
              <w:t>---</w:t>
            </w:r>
          </w:p>
        </w:tc>
      </w:tr>
      <w:tr w:rsidR="003301B2" w:rsidRPr="001D379A" w14:paraId="6FB179F8" w14:textId="77777777" w:rsidTr="00AB7D5A">
        <w:trPr>
          <w:cantSplit/>
        </w:trPr>
        <w:tc>
          <w:tcPr>
            <w:tcW w:w="1607" w:type="dxa"/>
            <w:gridSpan w:val="3"/>
            <w:tcBorders>
              <w:top w:val="single" w:sz="8" w:space="0" w:color="auto"/>
              <w:bottom w:val="single" w:sz="8" w:space="0" w:color="auto"/>
            </w:tcBorders>
          </w:tcPr>
          <w:p w14:paraId="7A4C2616" w14:textId="77777777" w:rsidR="003301B2" w:rsidRPr="00136DDD" w:rsidRDefault="003301B2" w:rsidP="00267CE2">
            <w:pPr>
              <w:rPr>
                <w:b/>
                <w:bCs/>
              </w:rPr>
            </w:pPr>
            <w:r w:rsidRPr="00136DDD">
              <w:rPr>
                <w:b/>
                <w:bCs/>
              </w:rPr>
              <w:t>Contact:</w:t>
            </w:r>
          </w:p>
        </w:tc>
        <w:tc>
          <w:tcPr>
            <w:tcW w:w="3780" w:type="dxa"/>
            <w:gridSpan w:val="2"/>
            <w:tcBorders>
              <w:top w:val="single" w:sz="8" w:space="0" w:color="auto"/>
              <w:bottom w:val="single" w:sz="8" w:space="0" w:color="auto"/>
            </w:tcBorders>
          </w:tcPr>
          <w:p w14:paraId="565E06F0" w14:textId="08C1FDF5" w:rsidR="003301B2" w:rsidRPr="008D6C1F" w:rsidRDefault="00000000" w:rsidP="00267CE2">
            <w:pPr>
              <w:rPr>
                <w:lang w:val="fr-CH"/>
              </w:rPr>
            </w:pPr>
            <w:sdt>
              <w:sdtPr>
                <w:rPr>
                  <w:lang w:val="fr-CH"/>
                </w:rPr>
                <w:alias w:val="ContactNameOrgCountry"/>
                <w:tag w:val="ContactNameOrgCountry"/>
                <w:id w:val="-130639986"/>
                <w:placeholder>
                  <w:docPart w:val="22897E4FE1954727A6CC39D01FDD1148"/>
                </w:placeholder>
                <w:text w:multiLine="1"/>
              </w:sdtPr>
              <w:sdtContent>
                <w:r w:rsidR="003301B2" w:rsidRPr="008D6C1F">
                  <w:rPr>
                    <w:lang w:val="fr-CH"/>
                  </w:rPr>
                  <w:t>Rim Belhaj</w:t>
                </w:r>
                <w:r w:rsidR="003301B2">
                  <w:rPr>
                    <w:lang w:val="fr-CH"/>
                  </w:rPr>
                  <w:br/>
                </w:r>
                <w:r w:rsidR="003301B2" w:rsidRPr="008D6C1F">
                  <w:rPr>
                    <w:lang w:val="fr-CH"/>
                  </w:rPr>
                  <w:t>ITU-T SCV Chair</w:t>
                </w:r>
              </w:sdtContent>
            </w:sdt>
          </w:p>
        </w:tc>
        <w:sdt>
          <w:sdtPr>
            <w:alias w:val="ContactTelFaxEmail"/>
            <w:tag w:val="ContactTelFaxEmail"/>
            <w:id w:val="-2140561428"/>
            <w:placeholder>
              <w:docPart w:val="84EF39CA3E3D457EB3688DA9429422F7"/>
            </w:placeholder>
          </w:sdtPr>
          <w:sdtContent>
            <w:tc>
              <w:tcPr>
                <w:tcW w:w="4252" w:type="dxa"/>
                <w:gridSpan w:val="2"/>
                <w:tcBorders>
                  <w:top w:val="single" w:sz="8" w:space="0" w:color="auto"/>
                  <w:bottom w:val="single" w:sz="8" w:space="0" w:color="auto"/>
                </w:tcBorders>
              </w:tcPr>
              <w:p w14:paraId="703D0338" w14:textId="2158D724" w:rsidR="003301B2" w:rsidRPr="00061268" w:rsidRDefault="003301B2" w:rsidP="00267CE2">
                <w:pPr>
                  <w:rPr>
                    <w:lang w:val="pt-BR"/>
                  </w:rPr>
                </w:pPr>
                <w:r w:rsidRPr="00061268">
                  <w:rPr>
                    <w:lang w:val="pt-BR"/>
                  </w:rPr>
                  <w:t>Tel:</w:t>
                </w:r>
                <w:r>
                  <w:rPr>
                    <w:lang w:val="pt-BR"/>
                  </w:rPr>
                  <w:tab/>
                </w:r>
                <w:r w:rsidRPr="00061268">
                  <w:rPr>
                    <w:lang w:val="pt-BR"/>
                  </w:rPr>
                  <w:br/>
                  <w:t>E-mail:</w:t>
                </w:r>
                <w:r>
                  <w:rPr>
                    <w:lang w:val="pt-BR"/>
                  </w:rPr>
                  <w:t xml:space="preserve"> </w:t>
                </w:r>
                <w:hyperlink r:id="rId12" w:history="1">
                  <w:r w:rsidR="006F75C7" w:rsidRPr="004E7D7A">
                    <w:rPr>
                      <w:rStyle w:val="Hyperlink"/>
                      <w:lang w:val="fr-CH"/>
                    </w:rPr>
                    <w:t>rym.belhaj@edu.isetcom.tn</w:t>
                  </w:r>
                </w:hyperlink>
                <w:r>
                  <w:rPr>
                    <w:lang w:val="fr-CH"/>
                  </w:rPr>
                  <w:t xml:space="preserve"> </w:t>
                </w:r>
              </w:p>
            </w:tc>
          </w:sdtContent>
        </w:sdt>
      </w:tr>
      <w:tr w:rsidR="0058353C" w:rsidRPr="001D379A" w14:paraId="34E5E6B7" w14:textId="77777777" w:rsidTr="00630A4A">
        <w:trPr>
          <w:cantSplit/>
        </w:trPr>
        <w:tc>
          <w:tcPr>
            <w:tcW w:w="1607" w:type="dxa"/>
            <w:gridSpan w:val="3"/>
            <w:tcBorders>
              <w:top w:val="single" w:sz="8" w:space="0" w:color="auto"/>
              <w:bottom w:val="single" w:sz="8" w:space="0" w:color="auto"/>
            </w:tcBorders>
          </w:tcPr>
          <w:p w14:paraId="475F99FD" w14:textId="77777777" w:rsidR="0058353C" w:rsidRPr="00136DDD" w:rsidRDefault="0058353C" w:rsidP="00630A4A">
            <w:pPr>
              <w:rPr>
                <w:b/>
                <w:bCs/>
              </w:rPr>
            </w:pPr>
            <w:r w:rsidRPr="00136DDD">
              <w:rPr>
                <w:b/>
                <w:bCs/>
              </w:rPr>
              <w:t>Contact:</w:t>
            </w:r>
          </w:p>
        </w:tc>
        <w:tc>
          <w:tcPr>
            <w:tcW w:w="3780" w:type="dxa"/>
            <w:gridSpan w:val="2"/>
            <w:tcBorders>
              <w:top w:val="single" w:sz="8" w:space="0" w:color="auto"/>
              <w:bottom w:val="single" w:sz="8" w:space="0" w:color="auto"/>
            </w:tcBorders>
          </w:tcPr>
          <w:p w14:paraId="39A34E69" w14:textId="3D2148A7" w:rsidR="0058353C" w:rsidRPr="008D6C1F" w:rsidRDefault="00000000" w:rsidP="00630A4A">
            <w:pPr>
              <w:rPr>
                <w:lang w:val="fr-CH"/>
              </w:rPr>
            </w:pPr>
            <w:sdt>
              <w:sdtPr>
                <w:rPr>
                  <w:lang w:val="en-US"/>
                </w:rPr>
                <w:alias w:val="ContactNameOrgCountry"/>
                <w:tag w:val="ContactNameOrgCountry"/>
                <w:id w:val="1189261948"/>
                <w:placeholder>
                  <w:docPart w:val="6116A2660A014184B533F81F91B74BAA"/>
                </w:placeholder>
                <w:text w:multiLine="1"/>
              </w:sdtPr>
              <w:sdtContent>
                <w:r w:rsidR="0058353C" w:rsidRPr="0058353C">
                  <w:rPr>
                    <w:lang w:val="en-US"/>
                  </w:rPr>
                  <w:t>E. H. Abdouramane</w:t>
                </w:r>
                <w:r w:rsidR="0058353C">
                  <w:rPr>
                    <w:lang w:val="en-US"/>
                  </w:rPr>
                  <w:br/>
                </w:r>
                <w:r w:rsidR="0058353C" w:rsidRPr="0058353C">
                  <w:rPr>
                    <w:lang w:val="en-US"/>
                  </w:rPr>
                  <w:t>Chair, ITU-R CCV</w:t>
                </w:r>
              </w:sdtContent>
            </w:sdt>
          </w:p>
        </w:tc>
        <w:sdt>
          <w:sdtPr>
            <w:alias w:val="ContactTelFaxEmail"/>
            <w:tag w:val="ContactTelFaxEmail"/>
            <w:id w:val="-1296358032"/>
            <w:placeholder>
              <w:docPart w:val="D470BD27BC38490C9BF7FDA4A6E760C5"/>
            </w:placeholder>
          </w:sdtPr>
          <w:sdtContent>
            <w:tc>
              <w:tcPr>
                <w:tcW w:w="4252" w:type="dxa"/>
                <w:gridSpan w:val="2"/>
                <w:tcBorders>
                  <w:top w:val="single" w:sz="8" w:space="0" w:color="auto"/>
                  <w:bottom w:val="single" w:sz="8" w:space="0" w:color="auto"/>
                </w:tcBorders>
              </w:tcPr>
              <w:p w14:paraId="4903E145" w14:textId="12C22C04" w:rsidR="0058353C" w:rsidRPr="00061268" w:rsidRDefault="0058353C" w:rsidP="00630A4A">
                <w:pPr>
                  <w:rPr>
                    <w:lang w:val="pt-BR"/>
                  </w:rPr>
                </w:pPr>
                <w:r w:rsidRPr="00061268">
                  <w:rPr>
                    <w:lang w:val="pt-BR"/>
                  </w:rPr>
                  <w:t>Tel:</w:t>
                </w:r>
                <w:r>
                  <w:rPr>
                    <w:lang w:val="pt-BR"/>
                  </w:rPr>
                  <w:tab/>
                </w:r>
                <w:r w:rsidRPr="00061268">
                  <w:rPr>
                    <w:lang w:val="pt-BR"/>
                  </w:rPr>
                  <w:br/>
                  <w:t>E-mail:</w:t>
                </w:r>
                <w:r>
                  <w:rPr>
                    <w:lang w:val="pt-BR"/>
                  </w:rPr>
                  <w:t xml:space="preserve"> </w:t>
                </w:r>
                <w:hyperlink r:id="rId13" w:history="1">
                  <w:r>
                    <w:rPr>
                      <w:rStyle w:val="Hyperlink"/>
                    </w:rPr>
                    <w:t>choco0742@live.ca</w:t>
                  </w:r>
                </w:hyperlink>
              </w:p>
            </w:tc>
          </w:sdtContent>
        </w:sdt>
      </w:tr>
    </w:tbl>
    <w:p w14:paraId="1690D1BB" w14:textId="77777777" w:rsidR="00FE3BB1" w:rsidRPr="007813EB" w:rsidRDefault="00FE3BB1">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00FE3BB1" w:rsidRPr="007D57BD" w14:paraId="1F2EABDB" w14:textId="77777777" w:rsidTr="00AB7D5A">
        <w:trPr>
          <w:cantSplit/>
          <w:trHeight w:val="848"/>
        </w:trPr>
        <w:tc>
          <w:tcPr>
            <w:tcW w:w="1611" w:type="dxa"/>
            <w:shd w:val="clear" w:color="auto" w:fill="auto"/>
          </w:tcPr>
          <w:p w14:paraId="147B8950" w14:textId="77777777" w:rsidR="00FE3BB1" w:rsidRDefault="001C32D0">
            <w:pPr>
              <w:rPr>
                <w:b/>
                <w:bCs/>
              </w:rPr>
            </w:pPr>
            <w:r>
              <w:rPr>
                <w:b/>
                <w:bCs/>
              </w:rPr>
              <w:t>Abstract:</w:t>
            </w:r>
          </w:p>
        </w:tc>
        <w:tc>
          <w:tcPr>
            <w:tcW w:w="8028" w:type="dxa"/>
            <w:shd w:val="clear" w:color="auto" w:fill="auto"/>
          </w:tcPr>
          <w:sdt>
            <w:sdtPr>
              <w:rPr>
                <w:sz w:val="23"/>
                <w:szCs w:val="23"/>
              </w:r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14:paraId="624F81AD" w14:textId="69D6FC88" w:rsidR="00FE3BB1" w:rsidRPr="007D57BD" w:rsidRDefault="00D431C8">
                <w:r w:rsidRPr="0058353C">
                  <w:rPr>
                    <w:sz w:val="23"/>
                    <w:szCs w:val="23"/>
                  </w:rPr>
                  <w:t xml:space="preserve">Through this document, the </w:t>
                </w:r>
                <w:r w:rsidR="00FC6A1C" w:rsidRPr="0058353C">
                  <w:rPr>
                    <w:sz w:val="23"/>
                    <w:szCs w:val="23"/>
                  </w:rPr>
                  <w:t xml:space="preserve">CCT </w:t>
                </w:r>
                <w:r w:rsidR="005945E5">
                  <w:rPr>
                    <w:sz w:val="23"/>
                    <w:szCs w:val="23"/>
                  </w:rPr>
                  <w:t>provides editorial comments to terms and definitions being proposed by ITU-T SG2</w:t>
                </w:r>
                <w:r w:rsidR="00E7071A">
                  <w:rPr>
                    <w:sz w:val="23"/>
                    <w:szCs w:val="23"/>
                  </w:rPr>
                  <w:t>.</w:t>
                </w:r>
              </w:p>
            </w:sdtContent>
          </w:sdt>
        </w:tc>
      </w:tr>
    </w:tbl>
    <w:p w14:paraId="3BE634F8" w14:textId="71C4F1CD" w:rsidR="00FC6A1C" w:rsidRDefault="00FC6A1C" w:rsidP="00FC6A1C">
      <w:pPr>
        <w:jc w:val="both"/>
      </w:pPr>
      <w:r>
        <w:t xml:space="preserve">At its 16 April 2024 meeting, the Coordination Committee for Terminology (CCT), which is composed by the SCV, the CCV and ITU-D representatives, addressed Document </w:t>
      </w:r>
      <w:hyperlink r:id="rId14" w:history="1">
        <w:r w:rsidR="00E73E84" w:rsidRPr="00146585">
          <w:rPr>
            <w:rStyle w:val="Hyperlink"/>
            <w:bCs/>
          </w:rPr>
          <w:t>CCT/41</w:t>
        </w:r>
      </w:hyperlink>
      <w:r>
        <w:t xml:space="preserve"> (</w:t>
      </w:r>
      <w:r w:rsidR="00E7071A">
        <w:t>also</w:t>
      </w:r>
      <w:r>
        <w:t xml:space="preserve"> </w:t>
      </w:r>
      <w:hyperlink r:id="rId15" w:history="1">
        <w:r w:rsidR="00E73E84" w:rsidRPr="00E73E84">
          <w:rPr>
            <w:rStyle w:val="Hyperlink"/>
            <w:rFonts w:ascii="Times New Roman" w:hAnsi="Times New Roman"/>
          </w:rPr>
          <w:t>SG2-LS71</w:t>
        </w:r>
      </w:hyperlink>
      <w:r w:rsidRPr="003A4B53">
        <w:rPr>
          <w:sz w:val="23"/>
          <w:szCs w:val="23"/>
        </w:rPr>
        <w:t>)</w:t>
      </w:r>
      <w:r>
        <w:rPr>
          <w:sz w:val="23"/>
          <w:szCs w:val="23"/>
        </w:rPr>
        <w:t>,</w:t>
      </w:r>
      <w:r w:rsidRPr="003A4B53">
        <w:rPr>
          <w:sz w:val="23"/>
          <w:szCs w:val="23"/>
        </w:rPr>
        <w:t xml:space="preserve"> </w:t>
      </w:r>
      <w:r>
        <w:t xml:space="preserve">which </w:t>
      </w:r>
      <w:r w:rsidR="00E7071A">
        <w:t>contains</w:t>
      </w:r>
      <w:r>
        <w:t xml:space="preserve"> the terms and definitions that were </w:t>
      </w:r>
      <w:r w:rsidR="00E73E84">
        <w:t xml:space="preserve">being developed by </w:t>
      </w:r>
      <w:r>
        <w:t>ITU-T SG</w:t>
      </w:r>
      <w:r w:rsidR="00E73E84">
        <w:t>2</w:t>
      </w:r>
      <w:r>
        <w:t>.</w:t>
      </w:r>
    </w:p>
    <w:p w14:paraId="071308C5" w14:textId="6C13FE4A" w:rsidR="000017D8" w:rsidRDefault="00FA341A" w:rsidP="00E73E84">
      <w:r>
        <w:t xml:space="preserve">The </w:t>
      </w:r>
      <w:r w:rsidR="000017D8">
        <w:t xml:space="preserve">terms and definitions will be addressed again at the next meeting of the </w:t>
      </w:r>
      <w:r>
        <w:t>CCT</w:t>
      </w:r>
      <w:r w:rsidR="00D73CDB">
        <w:t>,</w:t>
      </w:r>
      <w:r>
        <w:t xml:space="preserve"> </w:t>
      </w:r>
      <w:r w:rsidR="000017D8">
        <w:t>which will take place on 25 June 2024</w:t>
      </w:r>
      <w:r w:rsidR="00D73CDB">
        <w:t>,</w:t>
      </w:r>
      <w:r w:rsidR="000017D8">
        <w:t xml:space="preserve"> where comments from other study groups are expected.</w:t>
      </w:r>
    </w:p>
    <w:p w14:paraId="537057CD" w14:textId="2861480E" w:rsidR="00D73CDB" w:rsidRDefault="000017D8" w:rsidP="00D73CDB">
      <w:r>
        <w:t xml:space="preserve">Annex 1 contains editorial comments from the CCT secretariat regarding compliance with the </w:t>
      </w:r>
      <w:r w:rsidR="00D73CDB">
        <w:t xml:space="preserve">guidance provided </w:t>
      </w:r>
      <w:r>
        <w:t>Author’s guide</w:t>
      </w:r>
      <w:r w:rsidR="00D73CDB" w:rsidRPr="00D73CDB">
        <w:t xml:space="preserve"> </w:t>
      </w:r>
      <w:r w:rsidR="00D73CDB">
        <w:t>for drafting terms and definitions</w:t>
      </w:r>
      <w:r>
        <w:t>.</w:t>
      </w:r>
      <w:r w:rsidR="00D73CDB" w:rsidRPr="00D73CDB">
        <w:t xml:space="preserve"> </w:t>
      </w:r>
      <w:r w:rsidR="00D73CDB">
        <w:t>The CCT would like to remind ITU-T SG2 to consider the guidance provided in the Author’s guide, in especial maintaining definitions concise.</w:t>
      </w:r>
    </w:p>
    <w:p w14:paraId="58913984" w14:textId="17E53EEC" w:rsidR="000017D8" w:rsidRDefault="000017D8" w:rsidP="00E73E84"/>
    <w:p w14:paraId="4988EC8A" w14:textId="48F65A04" w:rsidR="0056150F" w:rsidRPr="00D20B9A" w:rsidRDefault="0056150F" w:rsidP="0056150F">
      <w:pPr>
        <w:jc w:val="center"/>
      </w:pPr>
      <w:r>
        <w:t>_________________</w:t>
      </w:r>
    </w:p>
    <w:p w14:paraId="086B718D" w14:textId="20CD3260" w:rsidR="0058353C" w:rsidRDefault="0058353C" w:rsidP="00FA341A"/>
    <w:p w14:paraId="33374680" w14:textId="77777777" w:rsidR="000017D8" w:rsidRDefault="000017D8" w:rsidP="00FA341A"/>
    <w:p w14:paraId="74A2090D" w14:textId="77777777" w:rsidR="000017D8" w:rsidRDefault="000017D8" w:rsidP="00FA341A"/>
    <w:p w14:paraId="12F24AA4" w14:textId="77777777" w:rsidR="000017D8" w:rsidRDefault="000017D8" w:rsidP="00FA341A"/>
    <w:p w14:paraId="7715EED9" w14:textId="149DF7BA" w:rsidR="000017D8" w:rsidRDefault="000017D8" w:rsidP="00FA341A">
      <w:r>
        <w:t>Annex: 1</w:t>
      </w:r>
    </w:p>
    <w:p w14:paraId="5B0D9ACC" w14:textId="77777777" w:rsidR="000017D8" w:rsidRDefault="000017D8">
      <w:pPr>
        <w:spacing w:before="0"/>
      </w:pPr>
      <w:r>
        <w:br w:type="page"/>
      </w:r>
    </w:p>
    <w:p w14:paraId="5BE271CF" w14:textId="77777777" w:rsidR="000017D8" w:rsidRDefault="000017D8" w:rsidP="00FA341A">
      <w:pPr>
        <w:sectPr w:rsidR="000017D8" w:rsidSect="00AF349E">
          <w:headerReference w:type="default" r:id="rId16"/>
          <w:pgSz w:w="11906" w:h="16838"/>
          <w:pgMar w:top="1417" w:right="1134" w:bottom="1417" w:left="1134" w:header="720" w:footer="720" w:gutter="0"/>
          <w:cols w:space="720"/>
          <w:formProt w:val="0"/>
          <w:titlePg/>
          <w:docGrid w:linePitch="360"/>
        </w:sectPr>
      </w:pPr>
    </w:p>
    <w:p w14:paraId="4C99937D" w14:textId="58B2BC53" w:rsidR="000017D8" w:rsidRPr="000017D8" w:rsidRDefault="000017D8" w:rsidP="000017D8">
      <w:pPr>
        <w:jc w:val="center"/>
        <w:rPr>
          <w:b/>
          <w:bCs/>
        </w:rPr>
      </w:pPr>
      <w:r w:rsidRPr="000017D8">
        <w:rPr>
          <w:b/>
          <w:bCs/>
        </w:rPr>
        <w:lastRenderedPageBreak/>
        <w:t>Annex 1</w:t>
      </w:r>
    </w:p>
    <w:p w14:paraId="15A6F16B" w14:textId="5EB85ADA" w:rsidR="000017D8" w:rsidRPr="000017D8" w:rsidRDefault="000017D8" w:rsidP="000017D8">
      <w:pPr>
        <w:jc w:val="center"/>
        <w:rPr>
          <w:b/>
          <w:bCs/>
          <w:sz w:val="23"/>
          <w:szCs w:val="23"/>
        </w:rPr>
      </w:pPr>
      <w:r w:rsidRPr="000017D8">
        <w:rPr>
          <w:b/>
          <w:bCs/>
        </w:rPr>
        <w:t xml:space="preserve">Editorial comments to definitions contained in Document </w:t>
      </w:r>
      <w:hyperlink r:id="rId17" w:history="1">
        <w:r w:rsidRPr="000017D8">
          <w:rPr>
            <w:rStyle w:val="Hyperlink"/>
            <w:b/>
            <w:bCs/>
          </w:rPr>
          <w:t>CCT/41</w:t>
        </w:r>
      </w:hyperlink>
      <w:r w:rsidRPr="000017D8">
        <w:rPr>
          <w:b/>
          <w:bCs/>
        </w:rPr>
        <w:t xml:space="preserve"> (also </w:t>
      </w:r>
      <w:hyperlink r:id="rId18" w:history="1">
        <w:r w:rsidRPr="000017D8">
          <w:rPr>
            <w:rStyle w:val="Hyperlink"/>
            <w:rFonts w:ascii="Times New Roman" w:hAnsi="Times New Roman"/>
            <w:b/>
            <w:bCs/>
          </w:rPr>
          <w:t>SG2-LS71</w:t>
        </w:r>
      </w:hyperlink>
      <w:r w:rsidRPr="000017D8">
        <w:rPr>
          <w:b/>
          <w:bCs/>
          <w:sz w:val="23"/>
          <w:szCs w:val="23"/>
        </w:rPr>
        <w:t>)</w:t>
      </w:r>
    </w:p>
    <w:p w14:paraId="5DAB2D3D" w14:textId="77777777" w:rsidR="000017D8" w:rsidRDefault="000017D8" w:rsidP="00FA341A"/>
    <w:tbl>
      <w:tblPr>
        <w:tblStyle w:val="GridTable4-Accent1"/>
        <w:tblW w:w="14340" w:type="dxa"/>
        <w:tblLook w:val="04A0" w:firstRow="1" w:lastRow="0" w:firstColumn="1" w:lastColumn="0" w:noHBand="0" w:noVBand="1"/>
      </w:tblPr>
      <w:tblGrid>
        <w:gridCol w:w="1640"/>
        <w:gridCol w:w="1391"/>
        <w:gridCol w:w="2613"/>
        <w:gridCol w:w="5835"/>
        <w:gridCol w:w="2861"/>
      </w:tblGrid>
      <w:tr w:rsidR="003E3134" w:rsidRPr="003E3134" w14:paraId="11403AC1" w14:textId="77777777" w:rsidTr="0011701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640" w:type="dxa"/>
            <w:noWrap/>
            <w:hideMark/>
          </w:tcPr>
          <w:p w14:paraId="0B6C342F" w14:textId="77777777" w:rsidR="003E3134" w:rsidRPr="003E3134" w:rsidRDefault="003E3134" w:rsidP="003E3134">
            <w:pPr>
              <w:spacing w:before="0"/>
              <w:rPr>
                <w:rFonts w:ascii="Calibri" w:eastAsia="Times New Roman" w:hAnsi="Calibri" w:cs="Calibri"/>
                <w:color w:val="FFFFFF"/>
                <w:sz w:val="22"/>
                <w:szCs w:val="22"/>
                <w:lang w:eastAsia="en-GB"/>
              </w:rPr>
            </w:pPr>
            <w:r w:rsidRPr="003E3134">
              <w:rPr>
                <w:rFonts w:ascii="Calibri" w:eastAsia="Times New Roman" w:hAnsi="Calibri" w:cs="Calibri"/>
                <w:color w:val="FFFFFF"/>
                <w:sz w:val="22"/>
                <w:szCs w:val="22"/>
                <w:lang w:eastAsia="en-GB"/>
              </w:rPr>
              <w:t>Rec. No.</w:t>
            </w:r>
          </w:p>
        </w:tc>
        <w:tc>
          <w:tcPr>
            <w:tcW w:w="1391" w:type="dxa"/>
            <w:hideMark/>
          </w:tcPr>
          <w:p w14:paraId="511A9F2D" w14:textId="77777777" w:rsidR="003E3134" w:rsidRPr="003E3134" w:rsidRDefault="003E3134" w:rsidP="003E3134">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lang w:eastAsia="en-GB"/>
              </w:rPr>
            </w:pPr>
            <w:r w:rsidRPr="003E3134">
              <w:rPr>
                <w:rFonts w:ascii="Calibri" w:eastAsia="Times New Roman" w:hAnsi="Calibri" w:cs="Calibri"/>
                <w:color w:val="FFFFFF"/>
                <w:sz w:val="22"/>
                <w:szCs w:val="22"/>
                <w:lang w:eastAsia="en-GB"/>
              </w:rPr>
              <w:t xml:space="preserve">Rec. status </w:t>
            </w:r>
            <w:r w:rsidRPr="003E3134">
              <w:rPr>
                <w:rFonts w:ascii="Calibri" w:eastAsia="Times New Roman" w:hAnsi="Calibri" w:cs="Calibri"/>
                <w:color w:val="FFFFFF"/>
                <w:sz w:val="22"/>
                <w:szCs w:val="22"/>
                <w:lang w:eastAsia="en-GB"/>
              </w:rPr>
              <w:br/>
              <w:t>(27.03.24)</w:t>
            </w:r>
          </w:p>
        </w:tc>
        <w:tc>
          <w:tcPr>
            <w:tcW w:w="2613" w:type="dxa"/>
            <w:noWrap/>
            <w:hideMark/>
          </w:tcPr>
          <w:p w14:paraId="5392A980" w14:textId="77777777" w:rsidR="003E3134" w:rsidRPr="003E3134" w:rsidRDefault="003E3134" w:rsidP="003E3134">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lang w:eastAsia="en-GB"/>
              </w:rPr>
            </w:pPr>
            <w:r w:rsidRPr="003E3134">
              <w:rPr>
                <w:rFonts w:ascii="Calibri" w:eastAsia="Times New Roman" w:hAnsi="Calibri" w:cs="Calibri"/>
                <w:color w:val="FFFFFF"/>
                <w:sz w:val="22"/>
                <w:szCs w:val="22"/>
                <w:lang w:eastAsia="en-GB"/>
              </w:rPr>
              <w:t>Term</w:t>
            </w:r>
          </w:p>
        </w:tc>
        <w:tc>
          <w:tcPr>
            <w:tcW w:w="5835" w:type="dxa"/>
            <w:noWrap/>
            <w:hideMark/>
          </w:tcPr>
          <w:p w14:paraId="3C7D773B" w14:textId="77777777" w:rsidR="003E3134" w:rsidRPr="003E3134" w:rsidRDefault="003E3134" w:rsidP="003E3134">
            <w:pPr>
              <w:spacing w:befor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lang w:eastAsia="en-GB"/>
              </w:rPr>
            </w:pPr>
            <w:r w:rsidRPr="003E3134">
              <w:rPr>
                <w:rFonts w:ascii="Calibri" w:eastAsia="Times New Roman" w:hAnsi="Calibri" w:cs="Calibri"/>
                <w:color w:val="FFFFFF"/>
                <w:sz w:val="22"/>
                <w:szCs w:val="22"/>
                <w:lang w:eastAsia="en-GB"/>
              </w:rPr>
              <w:t>Definition as forwarded to CCT</w:t>
            </w:r>
          </w:p>
        </w:tc>
        <w:tc>
          <w:tcPr>
            <w:tcW w:w="2861" w:type="dxa"/>
            <w:hideMark/>
          </w:tcPr>
          <w:p w14:paraId="3453E335" w14:textId="77777777" w:rsidR="003E3134" w:rsidRPr="003E3134" w:rsidRDefault="003E3134" w:rsidP="003E3134">
            <w:pPr>
              <w:spacing w:befor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2"/>
                <w:lang w:eastAsia="en-GB"/>
              </w:rPr>
            </w:pPr>
            <w:r w:rsidRPr="003E3134">
              <w:rPr>
                <w:rFonts w:ascii="Calibri" w:eastAsia="Times New Roman" w:hAnsi="Calibri" w:cs="Calibri"/>
                <w:color w:val="FFFFFF"/>
                <w:sz w:val="22"/>
                <w:szCs w:val="22"/>
                <w:lang w:eastAsia="en-GB"/>
              </w:rPr>
              <w:t>Editorial comment from CCT Secretariat</w:t>
            </w:r>
          </w:p>
        </w:tc>
      </w:tr>
      <w:tr w:rsidR="003E3134" w:rsidRPr="003E3134" w14:paraId="75C98D4A" w14:textId="77777777" w:rsidTr="0011701F">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640" w:type="dxa"/>
            <w:hideMark/>
          </w:tcPr>
          <w:p w14:paraId="38FC1CCE"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E.ACP</w:t>
            </w:r>
          </w:p>
        </w:tc>
        <w:tc>
          <w:tcPr>
            <w:tcW w:w="1391" w:type="dxa"/>
            <w:hideMark/>
          </w:tcPr>
          <w:p w14:paraId="3AE9CC8C"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0ECEA0EA"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 xml:space="preserve">Alternative calling procedures </w:t>
            </w:r>
          </w:p>
        </w:tc>
        <w:tc>
          <w:tcPr>
            <w:tcW w:w="5835" w:type="dxa"/>
            <w:hideMark/>
          </w:tcPr>
          <w:p w14:paraId="27FFF9B1"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 xml:space="preserve">it is routing the voice calls in any other way but PSTN/PLMN </w:t>
            </w:r>
            <w:r w:rsidRPr="003E3134">
              <w:rPr>
                <w:rFonts w:ascii="Calibri" w:eastAsia="Times New Roman" w:hAnsi="Calibri" w:cs="Calibri"/>
                <w:color w:val="000000"/>
                <w:lang w:eastAsia="en-GB"/>
              </w:rPr>
              <w:br/>
              <w:t>Variant: routing of voice calls outside PSTN/PLMN at any stage during end-to-end call flow.</w:t>
            </w:r>
          </w:p>
        </w:tc>
        <w:tc>
          <w:tcPr>
            <w:tcW w:w="2861" w:type="dxa"/>
            <w:hideMark/>
          </w:tcPr>
          <w:p w14:paraId="221AB61F" w14:textId="544C5E82"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Suggested redraft: The routing of voice calls at any stage of the end-to-end call flow using mechanisms that differ from those of the pub</w:t>
            </w:r>
            <w:r>
              <w:rPr>
                <w:rFonts w:ascii="Calibri" w:eastAsia="Times New Roman" w:hAnsi="Calibri" w:cs="Calibri"/>
                <w:color w:val="000000"/>
                <w:sz w:val="22"/>
                <w:szCs w:val="22"/>
                <w:lang w:eastAsia="en-GB"/>
              </w:rPr>
              <w:t>l</w:t>
            </w:r>
            <w:r w:rsidRPr="003E3134">
              <w:rPr>
                <w:rFonts w:ascii="Calibri" w:eastAsia="Times New Roman" w:hAnsi="Calibri" w:cs="Calibri"/>
                <w:color w:val="000000"/>
                <w:sz w:val="22"/>
                <w:szCs w:val="22"/>
                <w:lang w:eastAsia="en-GB"/>
              </w:rPr>
              <w:t>ic switched transport network or the public land mobile network.</w:t>
            </w:r>
          </w:p>
        </w:tc>
      </w:tr>
      <w:tr w:rsidR="003E3134" w:rsidRPr="003E3134" w14:paraId="630880B6" w14:textId="77777777" w:rsidTr="0011701F">
        <w:trPr>
          <w:trHeight w:val="1872"/>
        </w:trPr>
        <w:tc>
          <w:tcPr>
            <w:cnfStyle w:val="001000000000" w:firstRow="0" w:lastRow="0" w:firstColumn="1" w:lastColumn="0" w:oddVBand="0" w:evenVBand="0" w:oddHBand="0" w:evenHBand="0" w:firstRowFirstColumn="0" w:firstRowLastColumn="0" w:lastRowFirstColumn="0" w:lastRowLastColumn="0"/>
            <w:tcW w:w="1640" w:type="dxa"/>
            <w:hideMark/>
          </w:tcPr>
          <w:p w14:paraId="503E3B67"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E.IoT</w:t>
            </w:r>
            <w:proofErr w:type="spellEnd"/>
            <w:r w:rsidRPr="003E3134">
              <w:rPr>
                <w:rFonts w:eastAsia="Times New Roman"/>
                <w:color w:val="000000"/>
                <w:lang w:eastAsia="en-GB"/>
              </w:rPr>
              <w:t>-NNAI</w:t>
            </w:r>
          </w:p>
        </w:tc>
        <w:tc>
          <w:tcPr>
            <w:tcW w:w="1391" w:type="dxa"/>
            <w:hideMark/>
          </w:tcPr>
          <w:p w14:paraId="7E79D16E"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0017EE1C"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Applicant</w:t>
            </w:r>
          </w:p>
        </w:tc>
        <w:tc>
          <w:tcPr>
            <w:tcW w:w="5835" w:type="dxa"/>
            <w:hideMark/>
          </w:tcPr>
          <w:p w14:paraId="311668C3"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petitioner applying for the assignment of a resource derived from a number, naming, addressing, or identification plan.  Applicants must be Sector Members of ITU or Associates of ITU-T Study Group 2 and must remain members or associates as long as they are assignees.</w:t>
            </w:r>
          </w:p>
        </w:tc>
        <w:tc>
          <w:tcPr>
            <w:tcW w:w="2861" w:type="dxa"/>
            <w:hideMark/>
          </w:tcPr>
          <w:p w14:paraId="43BDCA59"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Reduce to one sentence</w:t>
            </w:r>
          </w:p>
        </w:tc>
      </w:tr>
      <w:tr w:rsidR="003E3134" w:rsidRPr="003E3134" w14:paraId="747F787F" w14:textId="77777777" w:rsidTr="0011701F">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640" w:type="dxa"/>
            <w:hideMark/>
          </w:tcPr>
          <w:p w14:paraId="583EB1CA"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M.rsds</w:t>
            </w:r>
            <w:proofErr w:type="spellEnd"/>
          </w:p>
        </w:tc>
        <w:tc>
          <w:tcPr>
            <w:tcW w:w="1391" w:type="dxa"/>
            <w:hideMark/>
          </w:tcPr>
          <w:p w14:paraId="78376CE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603F53B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capability</w:t>
            </w:r>
          </w:p>
        </w:tc>
        <w:tc>
          <w:tcPr>
            <w:tcW w:w="5835" w:type="dxa"/>
            <w:hideMark/>
          </w:tcPr>
          <w:p w14:paraId="787B926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Capability is a management function which composed of object and management action.</w:t>
            </w:r>
            <w:r w:rsidRPr="003E3134">
              <w:rPr>
                <w:rFonts w:eastAsia="Times New Roman"/>
                <w:color w:val="000000"/>
                <w:lang w:eastAsia="en-GB"/>
              </w:rPr>
              <w:br/>
              <w:t>NOTE - Examples of capability in this recommendation are creation, deletion and modification.</w:t>
            </w:r>
          </w:p>
        </w:tc>
        <w:tc>
          <w:tcPr>
            <w:tcW w:w="2861" w:type="dxa"/>
            <w:hideMark/>
          </w:tcPr>
          <w:p w14:paraId="37AC9FE9"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 xml:space="preserve">Suggested redraft: A management function composed of object and management action. </w:t>
            </w:r>
          </w:p>
        </w:tc>
      </w:tr>
      <w:tr w:rsidR="003E3134" w:rsidRPr="003E3134" w14:paraId="4DD1B0DD" w14:textId="77777777" w:rsidTr="0011701F">
        <w:trPr>
          <w:trHeight w:val="2138"/>
        </w:trPr>
        <w:tc>
          <w:tcPr>
            <w:cnfStyle w:val="001000000000" w:firstRow="0" w:lastRow="0" w:firstColumn="1" w:lastColumn="0" w:oddVBand="0" w:evenVBand="0" w:oddHBand="0" w:evenHBand="0" w:firstRowFirstColumn="0" w:firstRowLastColumn="0" w:lastRowFirstColumn="0" w:lastRowLastColumn="0"/>
            <w:tcW w:w="1640" w:type="dxa"/>
            <w:hideMark/>
          </w:tcPr>
          <w:p w14:paraId="5CD9BF9F"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E.164</w:t>
            </w:r>
          </w:p>
        </w:tc>
        <w:tc>
          <w:tcPr>
            <w:tcW w:w="1391" w:type="dxa"/>
            <w:hideMark/>
          </w:tcPr>
          <w:p w14:paraId="28991F97"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432D01EC"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destination network (DN) code</w:t>
            </w:r>
          </w:p>
        </w:tc>
        <w:tc>
          <w:tcPr>
            <w:tcW w:w="5835" w:type="dxa"/>
            <w:hideMark/>
          </w:tcPr>
          <w:p w14:paraId="30AF872A"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An optional code field within the international ITU-T E.164-numbering plan which identifies the destination network serving the destination subscriber. It performs the destination network selection function of the NDC. In some instances, it can be combined with a trunk code to form the NDC. The DN code can be a decimal digit or a combination of decimal digits (not including any prefix).</w:t>
            </w:r>
          </w:p>
        </w:tc>
        <w:tc>
          <w:tcPr>
            <w:tcW w:w="2861" w:type="dxa"/>
            <w:hideMark/>
          </w:tcPr>
          <w:p w14:paraId="58E11439"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77B73228" w14:textId="77777777" w:rsidTr="0011701F">
        <w:trPr>
          <w:cnfStyle w:val="000000100000" w:firstRow="0" w:lastRow="0" w:firstColumn="0" w:lastColumn="0" w:oddVBand="0" w:evenVBand="0" w:oddHBand="1" w:evenHBand="0" w:firstRowFirstColumn="0" w:firstRowLastColumn="0" w:lastRowFirstColumn="0" w:lastRowLastColumn="0"/>
          <w:trHeight w:val="2399"/>
        </w:trPr>
        <w:tc>
          <w:tcPr>
            <w:cnfStyle w:val="001000000000" w:firstRow="0" w:lastRow="0" w:firstColumn="1" w:lastColumn="0" w:oddVBand="0" w:evenVBand="0" w:oddHBand="0" w:evenHBand="0" w:firstRowFirstColumn="0" w:firstRowLastColumn="0" w:lastRowFirstColumn="0" w:lastRowLastColumn="0"/>
            <w:tcW w:w="1640" w:type="dxa"/>
            <w:hideMark/>
          </w:tcPr>
          <w:p w14:paraId="2E77AB85"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lastRenderedPageBreak/>
              <w:t>M.fidtom</w:t>
            </w:r>
            <w:proofErr w:type="spellEnd"/>
          </w:p>
        </w:tc>
        <w:tc>
          <w:tcPr>
            <w:tcW w:w="1391" w:type="dxa"/>
            <w:hideMark/>
          </w:tcPr>
          <w:p w14:paraId="3FFBE642"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1FD09C9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intent</w:t>
            </w:r>
          </w:p>
        </w:tc>
        <w:tc>
          <w:tcPr>
            <w:tcW w:w="5835" w:type="dxa"/>
            <w:hideMark/>
          </w:tcPr>
          <w:p w14:paraId="21143CF3"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 xml:space="preserve">A set of </w:t>
            </w:r>
            <w:proofErr w:type="gramStart"/>
            <w:r w:rsidRPr="003E3134">
              <w:rPr>
                <w:rFonts w:ascii="Calibri" w:eastAsia="Times New Roman" w:hAnsi="Calibri" w:cs="Calibri"/>
                <w:color w:val="000000"/>
                <w:lang w:eastAsia="en-GB"/>
              </w:rPr>
              <w:t>requirement</w:t>
            </w:r>
            <w:proofErr w:type="gramEnd"/>
            <w:r w:rsidRPr="003E3134">
              <w:rPr>
                <w:rFonts w:ascii="Calibri" w:eastAsia="Times New Roman" w:hAnsi="Calibri" w:cs="Calibri"/>
                <w:color w:val="000000"/>
                <w:lang w:eastAsia="en-GB"/>
              </w:rPr>
              <w:t xml:space="preserve"> from internal layers users and external customers of AITOM without specifying how to achieve or implement them input. </w:t>
            </w:r>
            <w:r w:rsidRPr="003E3134">
              <w:rPr>
                <w:rFonts w:ascii="Calibri" w:eastAsia="Times New Roman" w:hAnsi="Calibri" w:cs="Calibri"/>
                <w:color w:val="000000"/>
                <w:lang w:eastAsia="en-GB"/>
              </w:rPr>
              <w:br/>
              <w:t>[NOTE]: Reference IETF [RFC 9315]. Intent:  A set of operational goals (that a network should meet) and outcomes (that a network is supposed to deliver) defined in a   declarative manner without specifying how to achieve or implement them.</w:t>
            </w:r>
          </w:p>
        </w:tc>
        <w:tc>
          <w:tcPr>
            <w:tcW w:w="2861" w:type="dxa"/>
            <w:hideMark/>
          </w:tcPr>
          <w:p w14:paraId="207305EE"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707D7FF5" w14:textId="77777777" w:rsidTr="0011701F">
        <w:trPr>
          <w:trHeight w:val="1681"/>
        </w:trPr>
        <w:tc>
          <w:tcPr>
            <w:cnfStyle w:val="001000000000" w:firstRow="0" w:lastRow="0" w:firstColumn="1" w:lastColumn="0" w:oddVBand="0" w:evenVBand="0" w:oddHBand="0" w:evenHBand="0" w:firstRowFirstColumn="0" w:firstRowLastColumn="0" w:lastRowFirstColumn="0" w:lastRowLastColumn="0"/>
            <w:tcW w:w="1640" w:type="dxa"/>
            <w:hideMark/>
          </w:tcPr>
          <w:p w14:paraId="1885F69B"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E.212</w:t>
            </w:r>
          </w:p>
        </w:tc>
        <w:tc>
          <w:tcPr>
            <w:tcW w:w="1391" w:type="dxa"/>
            <w:hideMark/>
          </w:tcPr>
          <w:p w14:paraId="665265B5"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Cons/Det</w:t>
            </w:r>
          </w:p>
        </w:tc>
        <w:tc>
          <w:tcPr>
            <w:tcW w:w="2613" w:type="dxa"/>
            <w:hideMark/>
          </w:tcPr>
          <w:p w14:paraId="718790D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international mobile subscription identity (IMSI)</w:t>
            </w:r>
          </w:p>
        </w:tc>
        <w:tc>
          <w:tcPr>
            <w:tcW w:w="5835" w:type="dxa"/>
            <w:hideMark/>
          </w:tcPr>
          <w:p w14:paraId="78CD24AF"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IMSI is a string of decimal digits, up to a maximum length of 15 digits, which identifies a unique subscription. The IMSI consists of three fields: the mobile country code (MCC), the mobile network code (MNC), and the mobile subscription identification number (MSIN).</w:t>
            </w:r>
          </w:p>
        </w:tc>
        <w:tc>
          <w:tcPr>
            <w:tcW w:w="2861" w:type="dxa"/>
            <w:hideMark/>
          </w:tcPr>
          <w:p w14:paraId="7105398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7BBFE925" w14:textId="77777777" w:rsidTr="0011701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640" w:type="dxa"/>
            <w:hideMark/>
          </w:tcPr>
          <w:p w14:paraId="19A2BA97"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M.xr-tosiep</w:t>
            </w:r>
            <w:proofErr w:type="spellEnd"/>
          </w:p>
        </w:tc>
        <w:tc>
          <w:tcPr>
            <w:tcW w:w="1391" w:type="dxa"/>
            <w:hideMark/>
          </w:tcPr>
          <w:p w14:paraId="12DCEB94"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64FE1AF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internet e-commerce platform</w:t>
            </w:r>
          </w:p>
        </w:tc>
        <w:tc>
          <w:tcPr>
            <w:tcW w:w="5835" w:type="dxa"/>
            <w:hideMark/>
          </w:tcPr>
          <w:p w14:paraId="035D117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internet e-commerce platform is an implementation of performing e-commerce activities.</w:t>
            </w:r>
          </w:p>
        </w:tc>
        <w:tc>
          <w:tcPr>
            <w:tcW w:w="2861" w:type="dxa"/>
            <w:hideMark/>
          </w:tcPr>
          <w:p w14:paraId="247370ED"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3E3134" w:rsidRPr="003E3134" w14:paraId="39F1FFD9" w14:textId="77777777" w:rsidTr="0011701F">
        <w:trPr>
          <w:trHeight w:val="1688"/>
        </w:trPr>
        <w:tc>
          <w:tcPr>
            <w:cnfStyle w:val="001000000000" w:firstRow="0" w:lastRow="0" w:firstColumn="1" w:lastColumn="0" w:oddVBand="0" w:evenVBand="0" w:oddHBand="0" w:evenHBand="0" w:firstRowFirstColumn="0" w:firstRowLastColumn="0" w:lastRowFirstColumn="0" w:lastRowLastColumn="0"/>
            <w:tcW w:w="1640" w:type="dxa"/>
            <w:hideMark/>
          </w:tcPr>
          <w:p w14:paraId="5E8D5D1B"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E.212</w:t>
            </w:r>
          </w:p>
        </w:tc>
        <w:tc>
          <w:tcPr>
            <w:tcW w:w="1391" w:type="dxa"/>
            <w:hideMark/>
          </w:tcPr>
          <w:p w14:paraId="7039AAC0"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Cons/Det</w:t>
            </w:r>
          </w:p>
        </w:tc>
        <w:tc>
          <w:tcPr>
            <w:tcW w:w="2613" w:type="dxa"/>
            <w:hideMark/>
          </w:tcPr>
          <w:p w14:paraId="2E9BB90C"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mobile country code (MCC)</w:t>
            </w:r>
          </w:p>
        </w:tc>
        <w:tc>
          <w:tcPr>
            <w:tcW w:w="5835" w:type="dxa"/>
            <w:hideMark/>
          </w:tcPr>
          <w:p w14:paraId="2716CA1E"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MCC is the first field of the IMSI and is three digits in length and identifies a country. The Director of TSB may assign more than one MCC to a country. MCCs in the 90x range are non-geographic MCCs (country-agnostic) and are administered by the Director of TSB.</w:t>
            </w:r>
          </w:p>
        </w:tc>
        <w:tc>
          <w:tcPr>
            <w:tcW w:w="2861" w:type="dxa"/>
            <w:hideMark/>
          </w:tcPr>
          <w:p w14:paraId="3054A2B0"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131C8830" w14:textId="77777777" w:rsidTr="0011701F">
        <w:trPr>
          <w:cnfStyle w:val="000000100000" w:firstRow="0" w:lastRow="0" w:firstColumn="0" w:lastColumn="0" w:oddVBand="0" w:evenVBand="0" w:oddHBand="1"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1640" w:type="dxa"/>
            <w:hideMark/>
          </w:tcPr>
          <w:p w14:paraId="13F0ED5E"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E.212</w:t>
            </w:r>
          </w:p>
        </w:tc>
        <w:tc>
          <w:tcPr>
            <w:tcW w:w="1391" w:type="dxa"/>
            <w:hideMark/>
          </w:tcPr>
          <w:p w14:paraId="1CCEF83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Cons/Det</w:t>
            </w:r>
          </w:p>
        </w:tc>
        <w:tc>
          <w:tcPr>
            <w:tcW w:w="2613" w:type="dxa"/>
            <w:hideMark/>
          </w:tcPr>
          <w:p w14:paraId="762BBD02"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mobile network code (MNC)</w:t>
            </w:r>
          </w:p>
        </w:tc>
        <w:tc>
          <w:tcPr>
            <w:tcW w:w="5835" w:type="dxa"/>
            <w:hideMark/>
          </w:tcPr>
          <w:p w14:paraId="06FEE320"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 xml:space="preserve">The MNC is the second field of the IMSI, it is two or three digits in length and is administered by the respective national numbering plan administrator. MNCs under MCC ranges 90x are administered by the Director of TSB. The MNC, in combination with the MCC, provides sufficient information to identify the home network. </w:t>
            </w:r>
          </w:p>
        </w:tc>
        <w:tc>
          <w:tcPr>
            <w:tcW w:w="2861" w:type="dxa"/>
            <w:hideMark/>
          </w:tcPr>
          <w:p w14:paraId="7B5BFD97"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4D500F12" w14:textId="77777777" w:rsidTr="0011701F">
        <w:trPr>
          <w:trHeight w:val="1560"/>
        </w:trPr>
        <w:tc>
          <w:tcPr>
            <w:cnfStyle w:val="001000000000" w:firstRow="0" w:lastRow="0" w:firstColumn="1" w:lastColumn="0" w:oddVBand="0" w:evenVBand="0" w:oddHBand="0" w:evenHBand="0" w:firstRowFirstColumn="0" w:firstRowLastColumn="0" w:lastRowFirstColumn="0" w:lastRowLastColumn="0"/>
            <w:tcW w:w="1640" w:type="dxa"/>
            <w:hideMark/>
          </w:tcPr>
          <w:p w14:paraId="48A15681"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lastRenderedPageBreak/>
              <w:t>E.212</w:t>
            </w:r>
          </w:p>
        </w:tc>
        <w:tc>
          <w:tcPr>
            <w:tcW w:w="1391" w:type="dxa"/>
            <w:hideMark/>
          </w:tcPr>
          <w:p w14:paraId="70806E20"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Cons/Det</w:t>
            </w:r>
          </w:p>
        </w:tc>
        <w:tc>
          <w:tcPr>
            <w:tcW w:w="2613" w:type="dxa"/>
            <w:hideMark/>
          </w:tcPr>
          <w:p w14:paraId="4870A633"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mobile subscription identification number (MSIN)</w:t>
            </w:r>
          </w:p>
        </w:tc>
        <w:tc>
          <w:tcPr>
            <w:tcW w:w="5835" w:type="dxa"/>
            <w:hideMark/>
          </w:tcPr>
          <w:p w14:paraId="24A4CED7"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MSIN is the third field of the IMSI, it is up to 10 digits in length, and is administered by the relevant MNC assignee to identify individual subscriptions.</w:t>
            </w:r>
          </w:p>
        </w:tc>
        <w:tc>
          <w:tcPr>
            <w:tcW w:w="2861" w:type="dxa"/>
            <w:hideMark/>
          </w:tcPr>
          <w:p w14:paraId="619FDF8D"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3EA76866" w14:textId="77777777" w:rsidTr="0011701F">
        <w:trPr>
          <w:cnfStyle w:val="000000100000" w:firstRow="0" w:lastRow="0" w:firstColumn="0" w:lastColumn="0" w:oddVBand="0" w:evenVBand="0" w:oddHBand="1" w:evenHBand="0" w:firstRowFirstColumn="0" w:firstRowLastColumn="0" w:lastRowFirstColumn="0" w:lastRowLastColumn="0"/>
          <w:trHeight w:val="2496"/>
        </w:trPr>
        <w:tc>
          <w:tcPr>
            <w:cnfStyle w:val="001000000000" w:firstRow="0" w:lastRow="0" w:firstColumn="1" w:lastColumn="0" w:oddVBand="0" w:evenVBand="0" w:oddHBand="0" w:evenHBand="0" w:firstRowFirstColumn="0" w:firstRowLastColumn="0" w:lastRowFirstColumn="0" w:lastRowLastColumn="0"/>
            <w:tcW w:w="1640" w:type="dxa"/>
            <w:hideMark/>
          </w:tcPr>
          <w:p w14:paraId="703F70FF"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E.164</w:t>
            </w:r>
          </w:p>
        </w:tc>
        <w:tc>
          <w:tcPr>
            <w:tcW w:w="1391" w:type="dxa"/>
            <w:hideMark/>
          </w:tcPr>
          <w:p w14:paraId="4CDEE12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71C8F6DC"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Network</w:t>
            </w:r>
          </w:p>
        </w:tc>
        <w:tc>
          <w:tcPr>
            <w:tcW w:w="5835" w:type="dxa"/>
            <w:hideMark/>
          </w:tcPr>
          <w:p w14:paraId="45B3504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Internationally interconnected physical nodes and operational systems operated and maintained by one or more ROAs to provide public telecommunications services. Private networks are not included in this definition. Note that the use of capital "N" in Networks indicates that this definition applies.</w:t>
            </w:r>
          </w:p>
        </w:tc>
        <w:tc>
          <w:tcPr>
            <w:tcW w:w="2861" w:type="dxa"/>
            <w:hideMark/>
          </w:tcPr>
          <w:p w14:paraId="0B1BA576"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0A0BF567" w14:textId="77777777" w:rsidTr="0011701F">
        <w:trPr>
          <w:trHeight w:val="5659"/>
        </w:trPr>
        <w:tc>
          <w:tcPr>
            <w:cnfStyle w:val="001000000000" w:firstRow="0" w:lastRow="0" w:firstColumn="1" w:lastColumn="0" w:oddVBand="0" w:evenVBand="0" w:oddHBand="0" w:evenHBand="0" w:firstRowFirstColumn="0" w:firstRowLastColumn="0" w:lastRowFirstColumn="0" w:lastRowLastColumn="0"/>
            <w:tcW w:w="1640" w:type="dxa"/>
            <w:hideMark/>
          </w:tcPr>
          <w:p w14:paraId="04548287"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lastRenderedPageBreak/>
              <w:t>E.IoT</w:t>
            </w:r>
            <w:proofErr w:type="spellEnd"/>
            <w:r w:rsidRPr="003E3134">
              <w:rPr>
                <w:rFonts w:eastAsia="Times New Roman"/>
                <w:color w:val="000000"/>
                <w:lang w:eastAsia="en-GB"/>
              </w:rPr>
              <w:t>-NNAI</w:t>
            </w:r>
          </w:p>
        </w:tc>
        <w:tc>
          <w:tcPr>
            <w:tcW w:w="1391" w:type="dxa"/>
            <w:hideMark/>
          </w:tcPr>
          <w:p w14:paraId="39202DEA"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4607566D"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NRIA</w:t>
            </w:r>
          </w:p>
        </w:tc>
        <w:tc>
          <w:tcPr>
            <w:tcW w:w="5835" w:type="dxa"/>
            <w:hideMark/>
          </w:tcPr>
          <w:p w14:paraId="228B7CCD"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 xml:space="preserve">(Numbering Resource for IoT Applications) enables access to telecommunication services for the operation of global IoT applications. </w:t>
            </w:r>
            <w:r w:rsidRPr="003E3134">
              <w:rPr>
                <w:rFonts w:ascii="Calibri" w:eastAsia="Times New Roman" w:hAnsi="Calibri" w:cs="Calibri"/>
                <w:color w:val="000000"/>
                <w:lang w:eastAsia="en-GB"/>
              </w:rPr>
              <w:br/>
              <w:t>The  NRIA uniquely identifies the global service subscriber of the IoT application/service.</w:t>
            </w:r>
            <w:r w:rsidRPr="003E3134">
              <w:rPr>
                <w:rFonts w:ascii="Calibri" w:eastAsia="Times New Roman" w:hAnsi="Calibri" w:cs="Calibri"/>
                <w:color w:val="000000"/>
                <w:lang w:eastAsia="en-GB"/>
              </w:rPr>
              <w:br/>
              <w:t xml:space="preserve">The NRIA will also facilitate access to IoT applications/services provided at the global level, thereby enabling subscribers of that global application/service to participate in a defined set of subscribed services on the basis of a unique, network-transparent NRIA across multiple networks from any fixed terminal and or mobile terminal, irrespective of geographical location, limited only by network capabilities and restrictions imposed by the network operator. </w:t>
            </w:r>
            <w:r w:rsidRPr="003E3134">
              <w:rPr>
                <w:rFonts w:ascii="Calibri" w:eastAsia="Times New Roman" w:hAnsi="Calibri" w:cs="Calibri"/>
                <w:color w:val="000000"/>
                <w:lang w:eastAsia="en-GB"/>
              </w:rPr>
              <w:br/>
              <w:t>A NRIA  enabled global service subscriber may have more than one NRIA (for example, a business NRIA for business IoT applications and a private NRIA for private IoT applications).</w:t>
            </w:r>
          </w:p>
        </w:tc>
        <w:tc>
          <w:tcPr>
            <w:tcW w:w="2861" w:type="dxa"/>
            <w:hideMark/>
          </w:tcPr>
          <w:p w14:paraId="5C3F78D9"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4402E1C5" w14:textId="77777777" w:rsidTr="0011701F">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640" w:type="dxa"/>
            <w:hideMark/>
          </w:tcPr>
          <w:p w14:paraId="07D2185C"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M.rsds</w:t>
            </w:r>
            <w:proofErr w:type="spellEnd"/>
          </w:p>
        </w:tc>
        <w:tc>
          <w:tcPr>
            <w:tcW w:w="1391" w:type="dxa"/>
            <w:hideMark/>
          </w:tcPr>
          <w:p w14:paraId="21FD2DC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7F2997D8"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object structure</w:t>
            </w:r>
          </w:p>
        </w:tc>
        <w:tc>
          <w:tcPr>
            <w:tcW w:w="5835" w:type="dxa"/>
            <w:hideMark/>
          </w:tcPr>
          <w:p w14:paraId="79B330D4"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The layout structure and relationship of object in telecommunication service layer and telecommunication sub-service layer of telecommunication service design structure.   Object in resource layer of telecommunication service design structure does not have object structure.</w:t>
            </w:r>
          </w:p>
        </w:tc>
        <w:tc>
          <w:tcPr>
            <w:tcW w:w="2861" w:type="dxa"/>
            <w:hideMark/>
          </w:tcPr>
          <w:p w14:paraId="6A651C7D"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16A10B61" w14:textId="77777777" w:rsidTr="0011701F">
        <w:trPr>
          <w:trHeight w:val="982"/>
        </w:trPr>
        <w:tc>
          <w:tcPr>
            <w:cnfStyle w:val="001000000000" w:firstRow="0" w:lastRow="0" w:firstColumn="1" w:lastColumn="0" w:oddVBand="0" w:evenVBand="0" w:oddHBand="0" w:evenHBand="0" w:firstRowFirstColumn="0" w:firstRowLastColumn="0" w:lastRowFirstColumn="0" w:lastRowLastColumn="0"/>
            <w:tcW w:w="1640" w:type="dxa"/>
            <w:hideMark/>
          </w:tcPr>
          <w:p w14:paraId="717C7247"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E.IoT</w:t>
            </w:r>
            <w:proofErr w:type="spellEnd"/>
            <w:r w:rsidRPr="003E3134">
              <w:rPr>
                <w:rFonts w:eastAsia="Times New Roman"/>
                <w:color w:val="000000"/>
                <w:lang w:eastAsia="en-GB"/>
              </w:rPr>
              <w:t>-NNAI</w:t>
            </w:r>
          </w:p>
        </w:tc>
        <w:tc>
          <w:tcPr>
            <w:tcW w:w="1391" w:type="dxa"/>
            <w:hideMark/>
          </w:tcPr>
          <w:p w14:paraId="4E390AD9"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34AC4D8D"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Service Provider Switching</w:t>
            </w:r>
          </w:p>
        </w:tc>
        <w:tc>
          <w:tcPr>
            <w:tcW w:w="5835" w:type="dxa"/>
            <w:hideMark/>
          </w:tcPr>
          <w:p w14:paraId="5127FAF4"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ability for an IoT/M2M Service Provider to change the provider of connectivity for the service it is providing while using the same number.</w:t>
            </w:r>
          </w:p>
        </w:tc>
        <w:tc>
          <w:tcPr>
            <w:tcW w:w="2861" w:type="dxa"/>
            <w:hideMark/>
          </w:tcPr>
          <w:p w14:paraId="05D34F97"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Expand abbreviations</w:t>
            </w:r>
          </w:p>
        </w:tc>
      </w:tr>
      <w:tr w:rsidR="003E3134" w:rsidRPr="003E3134" w14:paraId="5A297496" w14:textId="77777777" w:rsidTr="0011701F">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1640" w:type="dxa"/>
            <w:hideMark/>
          </w:tcPr>
          <w:p w14:paraId="02A591F8"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lastRenderedPageBreak/>
              <w:t>M.rsmti-uav</w:t>
            </w:r>
            <w:proofErr w:type="spellEnd"/>
          </w:p>
        </w:tc>
        <w:tc>
          <w:tcPr>
            <w:tcW w:w="1391" w:type="dxa"/>
            <w:hideMark/>
          </w:tcPr>
          <w:p w14:paraId="24DD82DB"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391FD30F"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smart maintenance system of telecommunications infrastructure based on UAVs</w:t>
            </w:r>
          </w:p>
        </w:tc>
        <w:tc>
          <w:tcPr>
            <w:tcW w:w="5835" w:type="dxa"/>
            <w:hideMark/>
          </w:tcPr>
          <w:p w14:paraId="14F0C769"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A system consisting of UAVs and UAV-based smart patrol system, which uses UAVs to patrol the telecommunications infrastructure and its surrounding environment.</w:t>
            </w:r>
          </w:p>
        </w:tc>
        <w:tc>
          <w:tcPr>
            <w:tcW w:w="2861" w:type="dxa"/>
            <w:hideMark/>
          </w:tcPr>
          <w:p w14:paraId="741EBC44"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Expand abbreviations</w:t>
            </w:r>
          </w:p>
        </w:tc>
      </w:tr>
      <w:tr w:rsidR="003E3134" w:rsidRPr="003E3134" w14:paraId="1D1709FA" w14:textId="77777777" w:rsidTr="0011701F">
        <w:trPr>
          <w:trHeight w:val="1619"/>
        </w:trPr>
        <w:tc>
          <w:tcPr>
            <w:cnfStyle w:val="001000000000" w:firstRow="0" w:lastRow="0" w:firstColumn="1" w:lastColumn="0" w:oddVBand="0" w:evenVBand="0" w:oddHBand="0" w:evenHBand="0" w:firstRowFirstColumn="0" w:firstRowLastColumn="0" w:lastRowFirstColumn="0" w:lastRowLastColumn="0"/>
            <w:tcW w:w="1640" w:type="dxa"/>
            <w:hideMark/>
          </w:tcPr>
          <w:p w14:paraId="036A9050"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E.101</w:t>
            </w:r>
          </w:p>
        </w:tc>
        <w:tc>
          <w:tcPr>
            <w:tcW w:w="1391" w:type="dxa"/>
            <w:hideMark/>
          </w:tcPr>
          <w:p w14:paraId="2A2EFD2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5EB73E25"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sub-assignment</w:t>
            </w:r>
          </w:p>
        </w:tc>
        <w:tc>
          <w:tcPr>
            <w:tcW w:w="5835" w:type="dxa"/>
            <w:hideMark/>
          </w:tcPr>
          <w:p w14:paraId="36D7F52C"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assignment of a global resource by an eligible entity (other than a Member State) to an entity that is not an end-user. The assignment conditions for the global resource for the eligible assignee shall also apply for the sub-assignee</w:t>
            </w:r>
          </w:p>
        </w:tc>
        <w:tc>
          <w:tcPr>
            <w:tcW w:w="2861" w:type="dxa"/>
            <w:hideMark/>
          </w:tcPr>
          <w:p w14:paraId="15E569C3"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474505FE" w14:textId="77777777" w:rsidTr="0011701F">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1640" w:type="dxa"/>
            <w:hideMark/>
          </w:tcPr>
          <w:p w14:paraId="17E66EC6"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E.101</w:t>
            </w:r>
          </w:p>
        </w:tc>
        <w:tc>
          <w:tcPr>
            <w:tcW w:w="1391" w:type="dxa"/>
            <w:hideMark/>
          </w:tcPr>
          <w:p w14:paraId="7E34692F"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092E96D2"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sub-assignment</w:t>
            </w:r>
            <w:r w:rsidRPr="003E3134">
              <w:rPr>
                <w:rFonts w:ascii="Calibri" w:eastAsia="Times New Roman" w:hAnsi="Calibri" w:cs="Calibri"/>
                <w:i/>
                <w:iCs/>
                <w:color w:val="000000"/>
                <w:sz w:val="22"/>
                <w:szCs w:val="22"/>
                <w:lang w:eastAsia="en-GB"/>
              </w:rPr>
              <w:t xml:space="preserve"> Alt 1</w:t>
            </w:r>
          </w:p>
        </w:tc>
        <w:tc>
          <w:tcPr>
            <w:tcW w:w="5835" w:type="dxa"/>
            <w:hideMark/>
          </w:tcPr>
          <w:p w14:paraId="5B5C9BE7"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eligible assignee can sub-assignee the global resource to an affiliated company (any entity that directly or indirectly control or is controlled by, or is under common control (direct or indirect ownership of more than fifty per cent (50%) of the voting interests) by the eligible assignee) without this being considered a sub-assignment</w:t>
            </w:r>
          </w:p>
        </w:tc>
        <w:tc>
          <w:tcPr>
            <w:tcW w:w="2861" w:type="dxa"/>
            <w:hideMark/>
          </w:tcPr>
          <w:p w14:paraId="0AD5CDCE"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Not a definition</w:t>
            </w:r>
          </w:p>
        </w:tc>
      </w:tr>
      <w:tr w:rsidR="003E3134" w:rsidRPr="003E3134" w14:paraId="27BED594" w14:textId="77777777" w:rsidTr="0011701F">
        <w:trPr>
          <w:trHeight w:val="1946"/>
        </w:trPr>
        <w:tc>
          <w:tcPr>
            <w:cnfStyle w:val="001000000000" w:firstRow="0" w:lastRow="0" w:firstColumn="1" w:lastColumn="0" w:oddVBand="0" w:evenVBand="0" w:oddHBand="0" w:evenHBand="0" w:firstRowFirstColumn="0" w:firstRowLastColumn="0" w:lastRowFirstColumn="0" w:lastRowLastColumn="0"/>
            <w:tcW w:w="1640" w:type="dxa"/>
            <w:hideMark/>
          </w:tcPr>
          <w:p w14:paraId="3E03B6EB"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E.101</w:t>
            </w:r>
          </w:p>
        </w:tc>
        <w:tc>
          <w:tcPr>
            <w:tcW w:w="1391" w:type="dxa"/>
            <w:hideMark/>
          </w:tcPr>
          <w:p w14:paraId="2F8D2073"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52A3FFD0"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sub-assignment</w:t>
            </w:r>
            <w:r w:rsidRPr="003E3134">
              <w:rPr>
                <w:rFonts w:ascii="Calibri" w:eastAsia="Times New Roman" w:hAnsi="Calibri" w:cs="Calibri"/>
                <w:i/>
                <w:iCs/>
                <w:color w:val="000000"/>
                <w:sz w:val="22"/>
                <w:szCs w:val="22"/>
                <w:lang w:eastAsia="en-GB"/>
              </w:rPr>
              <w:t xml:space="preserve"> Alt 2</w:t>
            </w:r>
          </w:p>
        </w:tc>
        <w:tc>
          <w:tcPr>
            <w:tcW w:w="5835" w:type="dxa"/>
            <w:hideMark/>
          </w:tcPr>
          <w:p w14:paraId="78999FB5"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eligible assignee who forms part of a group of companies, under common control (direct or indirect ownership of more than fifty per cent (50%) of the voting interests by the eligible assignee), can use the global resource across such companies without being considered sub-assignment</w:t>
            </w:r>
          </w:p>
        </w:tc>
        <w:tc>
          <w:tcPr>
            <w:tcW w:w="2861" w:type="dxa"/>
            <w:hideMark/>
          </w:tcPr>
          <w:p w14:paraId="3890D818"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Not a definition</w:t>
            </w:r>
          </w:p>
        </w:tc>
      </w:tr>
      <w:tr w:rsidR="003E3134" w:rsidRPr="003E3134" w14:paraId="1C5669AB" w14:textId="77777777" w:rsidTr="0011701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640" w:type="dxa"/>
            <w:hideMark/>
          </w:tcPr>
          <w:p w14:paraId="5F1465D5"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M.fcnhe</w:t>
            </w:r>
            <w:proofErr w:type="spellEnd"/>
          </w:p>
        </w:tc>
        <w:tc>
          <w:tcPr>
            <w:tcW w:w="1391" w:type="dxa"/>
            <w:hideMark/>
          </w:tcPr>
          <w:p w14:paraId="2C9378C4"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2505C721"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Supply Availability</w:t>
            </w:r>
          </w:p>
        </w:tc>
        <w:tc>
          <w:tcPr>
            <w:tcW w:w="5835" w:type="dxa"/>
            <w:hideMark/>
          </w:tcPr>
          <w:p w14:paraId="69B4F196"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products or equipment is available at a given time in supply chain under the risks of weather, earthquake etc.</w:t>
            </w:r>
          </w:p>
        </w:tc>
        <w:tc>
          <w:tcPr>
            <w:tcW w:w="2861" w:type="dxa"/>
            <w:hideMark/>
          </w:tcPr>
          <w:p w14:paraId="5DA4F4F6"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Not clear</w:t>
            </w:r>
          </w:p>
        </w:tc>
      </w:tr>
      <w:tr w:rsidR="003E3134" w:rsidRPr="003E3134" w14:paraId="03A728F5" w14:textId="77777777" w:rsidTr="0011701F">
        <w:trPr>
          <w:trHeight w:val="3199"/>
        </w:trPr>
        <w:tc>
          <w:tcPr>
            <w:cnfStyle w:val="001000000000" w:firstRow="0" w:lastRow="0" w:firstColumn="1" w:lastColumn="0" w:oddVBand="0" w:evenVBand="0" w:oddHBand="0" w:evenHBand="0" w:firstRowFirstColumn="0" w:firstRowLastColumn="0" w:lastRowFirstColumn="0" w:lastRowLastColumn="0"/>
            <w:tcW w:w="1640" w:type="dxa"/>
            <w:hideMark/>
          </w:tcPr>
          <w:p w14:paraId="3A2098F7"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lastRenderedPageBreak/>
              <w:t>M.rsds</w:t>
            </w:r>
            <w:proofErr w:type="spellEnd"/>
          </w:p>
        </w:tc>
        <w:tc>
          <w:tcPr>
            <w:tcW w:w="1391" w:type="dxa"/>
            <w:hideMark/>
          </w:tcPr>
          <w:p w14:paraId="0F991F63"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79E9762E"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telecommunication service design structure</w:t>
            </w:r>
          </w:p>
        </w:tc>
        <w:tc>
          <w:tcPr>
            <w:tcW w:w="5835" w:type="dxa"/>
            <w:hideMark/>
          </w:tcPr>
          <w:p w14:paraId="0C67C205"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bookmarkStart w:id="10" w:name="RANGE!F61"/>
            <w:r w:rsidRPr="003E3134">
              <w:rPr>
                <w:rFonts w:eastAsia="Times New Roman"/>
                <w:color w:val="000000"/>
                <w:lang w:eastAsia="en-GB"/>
              </w:rPr>
              <w:t>The complete structure of a specific telecommunication service.  It contains telecommunication service layer, telecommunication sub-service layer and resource layer.  It is displayed in tree structure.</w:t>
            </w:r>
            <w:r w:rsidRPr="003E3134">
              <w:rPr>
                <w:rFonts w:eastAsia="Times New Roman"/>
                <w:color w:val="000000"/>
                <w:lang w:eastAsia="en-GB"/>
              </w:rPr>
              <w:br/>
              <w:t>NOTE - Telecommunication service design structure is not an object structure.  The former is a complete structure of all objects in three layers of a specific telecommunication service.  The latter is a structure of one object in telecommunication service layer or telecommunication sub-service layer.  Object structure is part of telecommunication service design structure.</w:t>
            </w:r>
            <w:bookmarkEnd w:id="10"/>
          </w:p>
        </w:tc>
        <w:tc>
          <w:tcPr>
            <w:tcW w:w="2861" w:type="dxa"/>
            <w:hideMark/>
          </w:tcPr>
          <w:p w14:paraId="038AECB2"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35196A6A" w14:textId="77777777" w:rsidTr="0011701F">
        <w:trPr>
          <w:cnfStyle w:val="000000100000" w:firstRow="0" w:lastRow="0" w:firstColumn="0" w:lastColumn="0" w:oddVBand="0" w:evenVBand="0" w:oddHBand="1" w:evenHBand="0" w:firstRowFirstColumn="0" w:firstRowLastColumn="0" w:lastRowFirstColumn="0" w:lastRowLastColumn="0"/>
          <w:trHeight w:val="2496"/>
        </w:trPr>
        <w:tc>
          <w:tcPr>
            <w:cnfStyle w:val="001000000000" w:firstRow="0" w:lastRow="0" w:firstColumn="1" w:lastColumn="0" w:oddVBand="0" w:evenVBand="0" w:oddHBand="0" w:evenHBand="0" w:firstRowFirstColumn="0" w:firstRowLastColumn="0" w:lastRowFirstColumn="0" w:lastRowLastColumn="0"/>
            <w:tcW w:w="1640" w:type="dxa"/>
            <w:hideMark/>
          </w:tcPr>
          <w:p w14:paraId="3EDAECA3"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M.rsds</w:t>
            </w:r>
            <w:proofErr w:type="spellEnd"/>
          </w:p>
        </w:tc>
        <w:tc>
          <w:tcPr>
            <w:tcW w:w="1391" w:type="dxa"/>
            <w:hideMark/>
          </w:tcPr>
          <w:p w14:paraId="6FB4F471"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3C04A043"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telecommunication sub-service</w:t>
            </w:r>
          </w:p>
        </w:tc>
        <w:tc>
          <w:tcPr>
            <w:tcW w:w="5835" w:type="dxa"/>
            <w:hideMark/>
          </w:tcPr>
          <w:p w14:paraId="18850335"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A constitution of telecommunication service.  And telecommunication sub-service is provided by the same network domain.  In the telecommunications service design view, sub-service is composed of one or multiple resources and the telecommunication service is composed of one or multiple sub-services.</w:t>
            </w:r>
          </w:p>
        </w:tc>
        <w:tc>
          <w:tcPr>
            <w:tcW w:w="2861" w:type="dxa"/>
            <w:hideMark/>
          </w:tcPr>
          <w:p w14:paraId="41D8CC10"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5DDD4CF4" w14:textId="77777777" w:rsidTr="0011701F">
        <w:trPr>
          <w:trHeight w:val="2541"/>
        </w:trPr>
        <w:tc>
          <w:tcPr>
            <w:cnfStyle w:val="001000000000" w:firstRow="0" w:lastRow="0" w:firstColumn="1" w:lastColumn="0" w:oddVBand="0" w:evenVBand="0" w:oddHBand="0" w:evenHBand="0" w:firstRowFirstColumn="0" w:firstRowLastColumn="0" w:lastRowFirstColumn="0" w:lastRowLastColumn="0"/>
            <w:tcW w:w="1640" w:type="dxa"/>
            <w:hideMark/>
          </w:tcPr>
          <w:p w14:paraId="2B142DDD"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E.101</w:t>
            </w:r>
          </w:p>
        </w:tc>
        <w:tc>
          <w:tcPr>
            <w:tcW w:w="1391" w:type="dxa"/>
            <w:hideMark/>
          </w:tcPr>
          <w:p w14:paraId="40304A75"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380E0EB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transfer</w:t>
            </w:r>
          </w:p>
        </w:tc>
        <w:tc>
          <w:tcPr>
            <w:tcW w:w="5835" w:type="dxa"/>
            <w:hideMark/>
          </w:tcPr>
          <w:p w14:paraId="0E57EF2F"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E3134">
              <w:rPr>
                <w:rFonts w:ascii="Calibri" w:eastAsia="Times New Roman" w:hAnsi="Calibri" w:cs="Calibri"/>
                <w:color w:val="000000"/>
                <w:lang w:eastAsia="en-GB"/>
              </w:rPr>
              <w:t>The assignment of the right of use for a global resource, issued by the Director of TSB, is transferred from the present assignee to a new eligible entity (other than a Member State) for the purposes for which the global resource is currently assigned. Such activity requires the agreement of, and notification to the Director of the TSB, in discussion with the relevant SG Chair, and experts.</w:t>
            </w:r>
          </w:p>
        </w:tc>
        <w:tc>
          <w:tcPr>
            <w:tcW w:w="2861" w:type="dxa"/>
            <w:hideMark/>
          </w:tcPr>
          <w:p w14:paraId="5E7F89F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Not a definition</w:t>
            </w:r>
          </w:p>
        </w:tc>
      </w:tr>
      <w:tr w:rsidR="003E3134" w:rsidRPr="003E3134" w14:paraId="0F729C99" w14:textId="77777777" w:rsidTr="0011701F">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640" w:type="dxa"/>
            <w:hideMark/>
          </w:tcPr>
          <w:p w14:paraId="0DDE26A1"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lastRenderedPageBreak/>
              <w:t>M.rsds</w:t>
            </w:r>
            <w:proofErr w:type="spellEnd"/>
          </w:p>
        </w:tc>
        <w:tc>
          <w:tcPr>
            <w:tcW w:w="1391" w:type="dxa"/>
            <w:hideMark/>
          </w:tcPr>
          <w:p w14:paraId="1E7C96E1"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32D6DAFE"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tree structure</w:t>
            </w:r>
          </w:p>
        </w:tc>
        <w:tc>
          <w:tcPr>
            <w:tcW w:w="5835" w:type="dxa"/>
            <w:hideMark/>
          </w:tcPr>
          <w:p w14:paraId="779BFF69"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bookmarkStart w:id="11" w:name="RANGE!F64"/>
            <w:r w:rsidRPr="003E3134">
              <w:rPr>
                <w:rFonts w:eastAsia="Times New Roman"/>
                <w:color w:val="000000"/>
                <w:lang w:eastAsia="en-GB"/>
              </w:rPr>
              <w:t>A graphical representation method used to illustrate hierarchical or branching connections. It originates from a root node, and each node can connect to multiple child nodes, forming a tree-like structure where each node represents an object.</w:t>
            </w:r>
            <w:bookmarkEnd w:id="11"/>
          </w:p>
        </w:tc>
        <w:tc>
          <w:tcPr>
            <w:tcW w:w="2861" w:type="dxa"/>
            <w:hideMark/>
          </w:tcPr>
          <w:p w14:paraId="36A267BD"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Simplify</w:t>
            </w:r>
          </w:p>
        </w:tc>
      </w:tr>
      <w:tr w:rsidR="003E3134" w:rsidRPr="003E3134" w14:paraId="629C295D" w14:textId="77777777" w:rsidTr="0011701F">
        <w:trPr>
          <w:trHeight w:val="1234"/>
        </w:trPr>
        <w:tc>
          <w:tcPr>
            <w:cnfStyle w:val="001000000000" w:firstRow="0" w:lastRow="0" w:firstColumn="1" w:lastColumn="0" w:oddVBand="0" w:evenVBand="0" w:oddHBand="0" w:evenHBand="0" w:firstRowFirstColumn="0" w:firstRowLastColumn="0" w:lastRowFirstColumn="0" w:lastRowLastColumn="0"/>
            <w:tcW w:w="1640" w:type="dxa"/>
            <w:hideMark/>
          </w:tcPr>
          <w:p w14:paraId="6BF04121" w14:textId="77777777" w:rsidR="003E3134" w:rsidRPr="003E3134" w:rsidRDefault="003E3134" w:rsidP="003E3134">
            <w:pPr>
              <w:spacing w:before="0"/>
              <w:rPr>
                <w:rFonts w:eastAsia="Times New Roman"/>
                <w:color w:val="000000"/>
                <w:lang w:eastAsia="en-GB"/>
              </w:rPr>
            </w:pPr>
            <w:r w:rsidRPr="003E3134">
              <w:rPr>
                <w:rFonts w:eastAsia="Times New Roman"/>
                <w:color w:val="000000"/>
                <w:lang w:eastAsia="en-GB"/>
              </w:rPr>
              <w:t>E.164</w:t>
            </w:r>
          </w:p>
        </w:tc>
        <w:tc>
          <w:tcPr>
            <w:tcW w:w="1391" w:type="dxa"/>
            <w:hideMark/>
          </w:tcPr>
          <w:p w14:paraId="7AFF854C"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03766DBB"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trials</w:t>
            </w:r>
          </w:p>
        </w:tc>
        <w:tc>
          <w:tcPr>
            <w:tcW w:w="5835" w:type="dxa"/>
            <w:hideMark/>
          </w:tcPr>
          <w:p w14:paraId="715C3E8D" w14:textId="77777777"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The temporary implementation of a proposed new international public correspondence service for the purpose of determining its technical, operational, and business viability.</w:t>
            </w:r>
          </w:p>
        </w:tc>
        <w:tc>
          <w:tcPr>
            <w:tcW w:w="2861" w:type="dxa"/>
            <w:hideMark/>
          </w:tcPr>
          <w:p w14:paraId="7AD89A16" w14:textId="6F86B3C8" w:rsidR="003E3134" w:rsidRPr="003E3134" w:rsidRDefault="003E3134" w:rsidP="003E3134">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Term should be in singular. A definition for 'trial'</w:t>
            </w:r>
            <w:r>
              <w:rPr>
                <w:rFonts w:ascii="Calibri" w:eastAsia="Times New Roman" w:hAnsi="Calibri" w:cs="Calibri"/>
                <w:color w:val="000000"/>
                <w:sz w:val="22"/>
                <w:szCs w:val="22"/>
                <w:lang w:eastAsia="en-GB"/>
              </w:rPr>
              <w:t xml:space="preserve"> </w:t>
            </w:r>
            <w:r w:rsidRPr="003E3134">
              <w:rPr>
                <w:rFonts w:ascii="Calibri" w:eastAsia="Times New Roman" w:hAnsi="Calibri" w:cs="Calibri"/>
                <w:color w:val="000000"/>
                <w:sz w:val="22"/>
                <w:szCs w:val="22"/>
                <w:lang w:eastAsia="en-GB"/>
              </w:rPr>
              <w:t>is also being developed.</w:t>
            </w:r>
          </w:p>
        </w:tc>
      </w:tr>
      <w:tr w:rsidR="003E3134" w:rsidRPr="003E3134" w14:paraId="3B01AD0A" w14:textId="77777777" w:rsidTr="0011701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40" w:type="dxa"/>
            <w:hideMark/>
          </w:tcPr>
          <w:p w14:paraId="1BEBB9DE" w14:textId="77777777" w:rsidR="003E3134" w:rsidRPr="003E3134" w:rsidRDefault="003E3134" w:rsidP="003E3134">
            <w:pPr>
              <w:spacing w:before="0"/>
              <w:rPr>
                <w:rFonts w:eastAsia="Times New Roman"/>
                <w:color w:val="000000"/>
                <w:lang w:eastAsia="en-GB"/>
              </w:rPr>
            </w:pPr>
            <w:proofErr w:type="spellStart"/>
            <w:r w:rsidRPr="003E3134">
              <w:rPr>
                <w:rFonts w:eastAsia="Times New Roman"/>
                <w:color w:val="000000"/>
                <w:lang w:eastAsia="en-GB"/>
              </w:rPr>
              <w:t>M.rsmti-uav</w:t>
            </w:r>
            <w:proofErr w:type="spellEnd"/>
          </w:p>
        </w:tc>
        <w:tc>
          <w:tcPr>
            <w:tcW w:w="1391" w:type="dxa"/>
            <w:hideMark/>
          </w:tcPr>
          <w:p w14:paraId="3D462E66"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Under study</w:t>
            </w:r>
          </w:p>
        </w:tc>
        <w:tc>
          <w:tcPr>
            <w:tcW w:w="2613" w:type="dxa"/>
            <w:hideMark/>
          </w:tcPr>
          <w:p w14:paraId="5ECBA323"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n-GB"/>
              </w:rPr>
            </w:pPr>
            <w:r w:rsidRPr="003E3134">
              <w:rPr>
                <w:rFonts w:eastAsia="Times New Roman"/>
                <w:b/>
                <w:bCs/>
                <w:color w:val="000000"/>
                <w:lang w:eastAsia="en-GB"/>
              </w:rPr>
              <w:t>UAV-based smart patrol system</w:t>
            </w:r>
          </w:p>
        </w:tc>
        <w:tc>
          <w:tcPr>
            <w:tcW w:w="5835" w:type="dxa"/>
            <w:hideMark/>
          </w:tcPr>
          <w:p w14:paraId="453E70AC"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3E3134">
              <w:rPr>
                <w:rFonts w:eastAsia="Times New Roman"/>
                <w:color w:val="000000"/>
                <w:lang w:eastAsia="en-GB"/>
              </w:rPr>
              <w:t>A system that working with UAVs to provide the capability of smart patrol.</w:t>
            </w:r>
          </w:p>
        </w:tc>
        <w:tc>
          <w:tcPr>
            <w:tcW w:w="2861" w:type="dxa"/>
            <w:hideMark/>
          </w:tcPr>
          <w:p w14:paraId="07755319" w14:textId="77777777" w:rsidR="003E3134" w:rsidRPr="003E3134" w:rsidRDefault="003E3134" w:rsidP="003E313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3E3134">
              <w:rPr>
                <w:rFonts w:ascii="Calibri" w:eastAsia="Times New Roman" w:hAnsi="Calibri" w:cs="Calibri"/>
                <w:color w:val="000000"/>
                <w:sz w:val="22"/>
                <w:szCs w:val="22"/>
                <w:lang w:eastAsia="en-GB"/>
              </w:rPr>
              <w:t>Expand abbreviations</w:t>
            </w:r>
          </w:p>
        </w:tc>
      </w:tr>
    </w:tbl>
    <w:p w14:paraId="56F2467F" w14:textId="77777777" w:rsidR="003E3134" w:rsidRPr="00D20B9A" w:rsidRDefault="003E3134" w:rsidP="00FA341A"/>
    <w:sectPr w:rsidR="003E3134" w:rsidRPr="00D20B9A" w:rsidSect="00AF349E">
      <w:pgSz w:w="16838" w:h="11906" w:orient="landscape"/>
      <w:pgMar w:top="1134" w:right="1417" w:bottom="1134" w:left="1417"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03D7" w14:textId="77777777" w:rsidR="00AF349E" w:rsidRDefault="00AF349E">
      <w:pPr>
        <w:spacing w:before="0"/>
      </w:pPr>
      <w:r>
        <w:separator/>
      </w:r>
    </w:p>
  </w:endnote>
  <w:endnote w:type="continuationSeparator" w:id="0">
    <w:p w14:paraId="58DD5819" w14:textId="77777777" w:rsidR="00AF349E" w:rsidRDefault="00AF34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EEB8" w14:textId="77777777" w:rsidR="00AF349E" w:rsidRDefault="00AF349E">
      <w:pPr>
        <w:spacing w:before="0"/>
      </w:pPr>
      <w:r>
        <w:separator/>
      </w:r>
    </w:p>
  </w:footnote>
  <w:footnote w:type="continuationSeparator" w:id="0">
    <w:p w14:paraId="37C64DA7" w14:textId="77777777" w:rsidR="00AF349E" w:rsidRDefault="00AF34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76304"/>
      <w:docPartObj>
        <w:docPartGallery w:val="Page Numbers (Top of Page)"/>
        <w:docPartUnique/>
      </w:docPartObj>
    </w:sdtPr>
    <w:sdtEndPr>
      <w:rPr>
        <w:noProof/>
      </w:rPr>
    </w:sdtEndPr>
    <w:sdtContent>
      <w:p w14:paraId="03F628ED" w14:textId="77777777" w:rsidR="003E3134" w:rsidRDefault="003E3134">
        <w:pPr>
          <w:pStyle w:val="Header"/>
        </w:pPr>
        <w:r>
          <w:t>SCV-LS28 Annex 1</w:t>
        </w:r>
        <w:r>
          <w:b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36AE9FC" w14:textId="158755E0" w:rsidR="001E5C35" w:rsidRDefault="001E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17D8"/>
    <w:rsid w:val="00006161"/>
    <w:rsid w:val="0001460B"/>
    <w:rsid w:val="000178E5"/>
    <w:rsid w:val="00021F42"/>
    <w:rsid w:val="000332DE"/>
    <w:rsid w:val="00064C08"/>
    <w:rsid w:val="000924FB"/>
    <w:rsid w:val="000A0100"/>
    <w:rsid w:val="000A029E"/>
    <w:rsid w:val="000A3D28"/>
    <w:rsid w:val="000A4878"/>
    <w:rsid w:val="000A7678"/>
    <w:rsid w:val="000B2BDA"/>
    <w:rsid w:val="000B7C29"/>
    <w:rsid w:val="000C0AF0"/>
    <w:rsid w:val="000D39C9"/>
    <w:rsid w:val="000E043E"/>
    <w:rsid w:val="00102D96"/>
    <w:rsid w:val="001144A2"/>
    <w:rsid w:val="00116DED"/>
    <w:rsid w:val="0011701F"/>
    <w:rsid w:val="0015148F"/>
    <w:rsid w:val="00153A39"/>
    <w:rsid w:val="00160C1A"/>
    <w:rsid w:val="00163E8D"/>
    <w:rsid w:val="00166FB2"/>
    <w:rsid w:val="00181015"/>
    <w:rsid w:val="00182C1F"/>
    <w:rsid w:val="001930AA"/>
    <w:rsid w:val="001A5C52"/>
    <w:rsid w:val="001C10D5"/>
    <w:rsid w:val="001C32D0"/>
    <w:rsid w:val="001D1552"/>
    <w:rsid w:val="001D1E05"/>
    <w:rsid w:val="001E23D2"/>
    <w:rsid w:val="001E5C35"/>
    <w:rsid w:val="001F1238"/>
    <w:rsid w:val="001F76B5"/>
    <w:rsid w:val="00206C14"/>
    <w:rsid w:val="002213CD"/>
    <w:rsid w:val="002247DB"/>
    <w:rsid w:val="00243391"/>
    <w:rsid w:val="002458A1"/>
    <w:rsid w:val="00265C8A"/>
    <w:rsid w:val="002A0B98"/>
    <w:rsid w:val="002A2DA8"/>
    <w:rsid w:val="002A4B55"/>
    <w:rsid w:val="002B1912"/>
    <w:rsid w:val="002C27DA"/>
    <w:rsid w:val="002C5387"/>
    <w:rsid w:val="002E16B7"/>
    <w:rsid w:val="002E5524"/>
    <w:rsid w:val="002F6C4C"/>
    <w:rsid w:val="002F7DC9"/>
    <w:rsid w:val="003301B2"/>
    <w:rsid w:val="00332914"/>
    <w:rsid w:val="00334BBB"/>
    <w:rsid w:val="00375802"/>
    <w:rsid w:val="00384AB7"/>
    <w:rsid w:val="00385147"/>
    <w:rsid w:val="00385723"/>
    <w:rsid w:val="003872A3"/>
    <w:rsid w:val="003B0447"/>
    <w:rsid w:val="003B3B10"/>
    <w:rsid w:val="003B61C7"/>
    <w:rsid w:val="003B7D26"/>
    <w:rsid w:val="003C0801"/>
    <w:rsid w:val="003C16C2"/>
    <w:rsid w:val="003C406D"/>
    <w:rsid w:val="003C7CFC"/>
    <w:rsid w:val="003E3134"/>
    <w:rsid w:val="003E6846"/>
    <w:rsid w:val="003F0A51"/>
    <w:rsid w:val="00401D91"/>
    <w:rsid w:val="00421CF2"/>
    <w:rsid w:val="0042256D"/>
    <w:rsid w:val="00477D47"/>
    <w:rsid w:val="004A5740"/>
    <w:rsid w:val="004C4C44"/>
    <w:rsid w:val="004D302E"/>
    <w:rsid w:val="004D4AC3"/>
    <w:rsid w:val="004E557A"/>
    <w:rsid w:val="004E6631"/>
    <w:rsid w:val="004E6B9D"/>
    <w:rsid w:val="00513FC1"/>
    <w:rsid w:val="00525DB2"/>
    <w:rsid w:val="0053279E"/>
    <w:rsid w:val="00540FA0"/>
    <w:rsid w:val="00551CDB"/>
    <w:rsid w:val="0056150F"/>
    <w:rsid w:val="00565E56"/>
    <w:rsid w:val="00574A8C"/>
    <w:rsid w:val="0057678C"/>
    <w:rsid w:val="0058353C"/>
    <w:rsid w:val="005866D0"/>
    <w:rsid w:val="005945E5"/>
    <w:rsid w:val="005C232B"/>
    <w:rsid w:val="005E1189"/>
    <w:rsid w:val="005F7B01"/>
    <w:rsid w:val="00607743"/>
    <w:rsid w:val="006354C8"/>
    <w:rsid w:val="0063682C"/>
    <w:rsid w:val="006618D8"/>
    <w:rsid w:val="00672141"/>
    <w:rsid w:val="00674372"/>
    <w:rsid w:val="006838F2"/>
    <w:rsid w:val="006B0634"/>
    <w:rsid w:val="006B6DBE"/>
    <w:rsid w:val="006D17E9"/>
    <w:rsid w:val="006D555C"/>
    <w:rsid w:val="006E5D81"/>
    <w:rsid w:val="006F75C7"/>
    <w:rsid w:val="00705C54"/>
    <w:rsid w:val="00710ACE"/>
    <w:rsid w:val="0073001B"/>
    <w:rsid w:val="00743BC3"/>
    <w:rsid w:val="007723E7"/>
    <w:rsid w:val="00777FAB"/>
    <w:rsid w:val="007813EB"/>
    <w:rsid w:val="0078151A"/>
    <w:rsid w:val="00786D7D"/>
    <w:rsid w:val="0079089C"/>
    <w:rsid w:val="00791928"/>
    <w:rsid w:val="007A470B"/>
    <w:rsid w:val="007B1376"/>
    <w:rsid w:val="007C39CD"/>
    <w:rsid w:val="007D13B5"/>
    <w:rsid w:val="007D1E86"/>
    <w:rsid w:val="007D57BD"/>
    <w:rsid w:val="007E066F"/>
    <w:rsid w:val="007E6086"/>
    <w:rsid w:val="00800D0F"/>
    <w:rsid w:val="00816504"/>
    <w:rsid w:val="00817F0C"/>
    <w:rsid w:val="00823351"/>
    <w:rsid w:val="00857A01"/>
    <w:rsid w:val="00864607"/>
    <w:rsid w:val="00864BFE"/>
    <w:rsid w:val="008B3B31"/>
    <w:rsid w:val="008B4370"/>
    <w:rsid w:val="008C37CA"/>
    <w:rsid w:val="008C6570"/>
    <w:rsid w:val="008C7B4A"/>
    <w:rsid w:val="008D3BC6"/>
    <w:rsid w:val="008D40F0"/>
    <w:rsid w:val="008F4A1F"/>
    <w:rsid w:val="008F4AEF"/>
    <w:rsid w:val="00900ADC"/>
    <w:rsid w:val="00904CA3"/>
    <w:rsid w:val="0091254D"/>
    <w:rsid w:val="00923637"/>
    <w:rsid w:val="00930B49"/>
    <w:rsid w:val="00931011"/>
    <w:rsid w:val="00936122"/>
    <w:rsid w:val="009406B2"/>
    <w:rsid w:val="009505B4"/>
    <w:rsid w:val="00957D9B"/>
    <w:rsid w:val="00966451"/>
    <w:rsid w:val="009722EF"/>
    <w:rsid w:val="00974D52"/>
    <w:rsid w:val="00982017"/>
    <w:rsid w:val="00984C5F"/>
    <w:rsid w:val="0099486F"/>
    <w:rsid w:val="009A64A1"/>
    <w:rsid w:val="009B1DB8"/>
    <w:rsid w:val="009F077F"/>
    <w:rsid w:val="00A319EB"/>
    <w:rsid w:val="00A31ACF"/>
    <w:rsid w:val="00A33871"/>
    <w:rsid w:val="00A4451D"/>
    <w:rsid w:val="00A72CF7"/>
    <w:rsid w:val="00A957E0"/>
    <w:rsid w:val="00A95B17"/>
    <w:rsid w:val="00AA3C1F"/>
    <w:rsid w:val="00AB3A6D"/>
    <w:rsid w:val="00AB7D5A"/>
    <w:rsid w:val="00AC41D7"/>
    <w:rsid w:val="00AE7093"/>
    <w:rsid w:val="00AF349E"/>
    <w:rsid w:val="00B06023"/>
    <w:rsid w:val="00B178E6"/>
    <w:rsid w:val="00B27BC8"/>
    <w:rsid w:val="00B331D8"/>
    <w:rsid w:val="00B3650A"/>
    <w:rsid w:val="00B4539D"/>
    <w:rsid w:val="00B54B6C"/>
    <w:rsid w:val="00B64ECB"/>
    <w:rsid w:val="00B722AA"/>
    <w:rsid w:val="00B72386"/>
    <w:rsid w:val="00B7377B"/>
    <w:rsid w:val="00B753CB"/>
    <w:rsid w:val="00B96817"/>
    <w:rsid w:val="00BA3623"/>
    <w:rsid w:val="00BB7C9A"/>
    <w:rsid w:val="00BC0CF8"/>
    <w:rsid w:val="00BD144A"/>
    <w:rsid w:val="00BF5FED"/>
    <w:rsid w:val="00C04A67"/>
    <w:rsid w:val="00C06D30"/>
    <w:rsid w:val="00C1524E"/>
    <w:rsid w:val="00C21C0C"/>
    <w:rsid w:val="00C2440B"/>
    <w:rsid w:val="00C34B16"/>
    <w:rsid w:val="00C34BA6"/>
    <w:rsid w:val="00C44D66"/>
    <w:rsid w:val="00C4546F"/>
    <w:rsid w:val="00C47774"/>
    <w:rsid w:val="00C54AD2"/>
    <w:rsid w:val="00C7734B"/>
    <w:rsid w:val="00CA4272"/>
    <w:rsid w:val="00CC3583"/>
    <w:rsid w:val="00CC43A1"/>
    <w:rsid w:val="00CC554C"/>
    <w:rsid w:val="00CC6F74"/>
    <w:rsid w:val="00CE5801"/>
    <w:rsid w:val="00CF4049"/>
    <w:rsid w:val="00CF5395"/>
    <w:rsid w:val="00D041B3"/>
    <w:rsid w:val="00D06A0D"/>
    <w:rsid w:val="00D07783"/>
    <w:rsid w:val="00D21C91"/>
    <w:rsid w:val="00D3228D"/>
    <w:rsid w:val="00D3606D"/>
    <w:rsid w:val="00D431C8"/>
    <w:rsid w:val="00D72111"/>
    <w:rsid w:val="00D73CDB"/>
    <w:rsid w:val="00D7660A"/>
    <w:rsid w:val="00D81E67"/>
    <w:rsid w:val="00D83BCA"/>
    <w:rsid w:val="00D84F2F"/>
    <w:rsid w:val="00D95357"/>
    <w:rsid w:val="00DA5557"/>
    <w:rsid w:val="00DA5A5F"/>
    <w:rsid w:val="00DB1FB6"/>
    <w:rsid w:val="00DB264C"/>
    <w:rsid w:val="00DC0669"/>
    <w:rsid w:val="00DC5919"/>
    <w:rsid w:val="00DC5B5A"/>
    <w:rsid w:val="00DD469B"/>
    <w:rsid w:val="00DD4F87"/>
    <w:rsid w:val="00DD6EC3"/>
    <w:rsid w:val="00E126ED"/>
    <w:rsid w:val="00E14AC2"/>
    <w:rsid w:val="00E24DAB"/>
    <w:rsid w:val="00E36028"/>
    <w:rsid w:val="00E37586"/>
    <w:rsid w:val="00E40B32"/>
    <w:rsid w:val="00E60828"/>
    <w:rsid w:val="00E7071A"/>
    <w:rsid w:val="00E73E84"/>
    <w:rsid w:val="00E742F6"/>
    <w:rsid w:val="00E7586C"/>
    <w:rsid w:val="00E9262C"/>
    <w:rsid w:val="00ED2AD0"/>
    <w:rsid w:val="00EE1EF2"/>
    <w:rsid w:val="00EE3E61"/>
    <w:rsid w:val="00EE5A5D"/>
    <w:rsid w:val="00EF53E8"/>
    <w:rsid w:val="00F106C3"/>
    <w:rsid w:val="00F1527F"/>
    <w:rsid w:val="00F21879"/>
    <w:rsid w:val="00F231C5"/>
    <w:rsid w:val="00F536B1"/>
    <w:rsid w:val="00F67ACB"/>
    <w:rsid w:val="00F7253B"/>
    <w:rsid w:val="00F7593F"/>
    <w:rsid w:val="00F908A3"/>
    <w:rsid w:val="00F949B7"/>
    <w:rsid w:val="00FA2B2E"/>
    <w:rsid w:val="00FA341A"/>
    <w:rsid w:val="00FA79AA"/>
    <w:rsid w:val="00FB1AE3"/>
    <w:rsid w:val="00FB4BD0"/>
    <w:rsid w:val="00FC6A1C"/>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3E3134"/>
    <w:rPr>
      <w:rFonts w:ascii="Times New Roman" w:hAnsi="Times New Roman" w:cs="Times New Roman"/>
      <w:szCs w:val="20"/>
      <w:lang w:val="en-GB" w:eastAsia="ja-JP"/>
    </w:rPr>
  </w:style>
  <w:style w:type="table" w:styleId="GridTable4-Accent1">
    <w:name w:val="Grid Table 4 Accent 1"/>
    <w:basedOn w:val="TableNormal"/>
    <w:uiPriority w:val="49"/>
    <w:rsid w:val="0011701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5185">
      <w:bodyDiv w:val="1"/>
      <w:marLeft w:val="0"/>
      <w:marRight w:val="0"/>
      <w:marTop w:val="0"/>
      <w:marBottom w:val="0"/>
      <w:divBdr>
        <w:top w:val="none" w:sz="0" w:space="0" w:color="auto"/>
        <w:left w:val="none" w:sz="0" w:space="0" w:color="auto"/>
        <w:bottom w:val="none" w:sz="0" w:space="0" w:color="auto"/>
        <w:right w:val="none" w:sz="0" w:space="0" w:color="auto"/>
      </w:divBdr>
    </w:div>
    <w:div w:id="420684545">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 w:id="206401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co0742@live.ca" TargetMode="External"/><Relationship Id="rId18" Type="http://schemas.openxmlformats.org/officeDocument/2006/relationships/hyperlink" Target="https://www.itu.int/ifa/t/2022/ls/sg2/sp17-sg2-oLS-00071.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hyperlink" Target="https://extranet.itu.int/rsg-meetings/ccv/Share/CCT%20meeting%202024-01-17%20(SCV%20only)/Input%20contributions/041e.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fa/t/2022/ls/sg2/sp17-sg2-oLS-00071.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rsg-meetings/ccv/Share/CCT%20meeting%202024-01-17%20(SCV%20only)/Input%20contributions/041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
      <w:docPartPr>
        <w:name w:val="6116A2660A014184B533F81F91B74BAA"/>
        <w:category>
          <w:name w:val="General"/>
          <w:gallery w:val="placeholder"/>
        </w:category>
        <w:types>
          <w:type w:val="bbPlcHdr"/>
        </w:types>
        <w:behaviors>
          <w:behavior w:val="content"/>
        </w:behaviors>
        <w:guid w:val="{9FD380B6-62F9-4E07-BE99-4D2BFF515B77}"/>
      </w:docPartPr>
      <w:docPartBody>
        <w:p w:rsidR="00890B6D" w:rsidRDefault="00F72698" w:rsidP="00F72698">
          <w:pPr>
            <w:pStyle w:val="6116A2660A014184B533F81F91B74BAA"/>
          </w:pPr>
          <w:r w:rsidRPr="001229A4">
            <w:rPr>
              <w:rStyle w:val="PlaceholderText"/>
            </w:rPr>
            <w:t>Click here to enter text.</w:t>
          </w:r>
        </w:p>
      </w:docPartBody>
    </w:docPart>
    <w:docPart>
      <w:docPartPr>
        <w:name w:val="D470BD27BC38490C9BF7FDA4A6E760C5"/>
        <w:category>
          <w:name w:val="General"/>
          <w:gallery w:val="placeholder"/>
        </w:category>
        <w:types>
          <w:type w:val="bbPlcHdr"/>
        </w:types>
        <w:behaviors>
          <w:behavior w:val="content"/>
        </w:behaviors>
        <w:guid w:val="{4238071B-DF5D-4669-B055-C087275134D5}"/>
      </w:docPartPr>
      <w:docPartBody>
        <w:p w:rsidR="00890B6D" w:rsidRDefault="00F72698" w:rsidP="00F72698">
          <w:pPr>
            <w:pStyle w:val="D470BD27BC38490C9BF7FDA4A6E760C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22407"/>
    <w:rsid w:val="000B6AE7"/>
    <w:rsid w:val="000D70EF"/>
    <w:rsid w:val="001B5A6C"/>
    <w:rsid w:val="001D62EC"/>
    <w:rsid w:val="00262389"/>
    <w:rsid w:val="002768B8"/>
    <w:rsid w:val="0033236D"/>
    <w:rsid w:val="0036321B"/>
    <w:rsid w:val="003C463E"/>
    <w:rsid w:val="004472D4"/>
    <w:rsid w:val="00520646"/>
    <w:rsid w:val="00617EF3"/>
    <w:rsid w:val="0065743D"/>
    <w:rsid w:val="007C4605"/>
    <w:rsid w:val="008872B5"/>
    <w:rsid w:val="008905AF"/>
    <w:rsid w:val="00890B6D"/>
    <w:rsid w:val="008B13A2"/>
    <w:rsid w:val="00976348"/>
    <w:rsid w:val="009E0F10"/>
    <w:rsid w:val="009F53AA"/>
    <w:rsid w:val="00A13843"/>
    <w:rsid w:val="00A35DB6"/>
    <w:rsid w:val="00A83ADE"/>
    <w:rsid w:val="00AC54C3"/>
    <w:rsid w:val="00B16ECD"/>
    <w:rsid w:val="00B35167"/>
    <w:rsid w:val="00C07392"/>
    <w:rsid w:val="00D448F0"/>
    <w:rsid w:val="00E73D45"/>
    <w:rsid w:val="00EA0E67"/>
    <w:rsid w:val="00EB5242"/>
    <w:rsid w:val="00F7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98"/>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 w:type="paragraph" w:customStyle="1" w:styleId="6116A2660A014184B533F81F91B74BAA">
    <w:name w:val="6116A2660A014184B533F81F91B74BAA"/>
    <w:rsid w:val="00F72698"/>
    <w:rPr>
      <w:kern w:val="2"/>
      <w14:ligatures w14:val="standardContextual"/>
    </w:rPr>
  </w:style>
  <w:style w:type="paragraph" w:customStyle="1" w:styleId="D470BD27BC38490C9BF7FDA4A6E760C5">
    <w:name w:val="D470BD27BC38490C9BF7FDA4A6E760C5"/>
    <w:rsid w:val="00F726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849AE5-E18A-4B4A-8F98-84C35988238C}"/>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1634</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TERMS CONTAINED IN ITU-T SG5 DRAFT RECOMMENDATIONS</vt:lpstr>
      <vt:lpstr>LS/o to SG20 regarding SG2 work on certain aspects of IoT naming, numbering and identification [to ITU-T SG20]</vt:lpstr>
    </vt:vector>
  </TitlesOfParts>
  <Manager>ITU-T</Manager>
  <Company>International Telecommunication Union (ITU)</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CONTAINED IN ITU-T SG5 DRAFT RECOMMENDATIONS</dc:title>
  <dc:creator>Standardization Committee for Vocabulary/Coordination Committee for Terminology</dc:creator>
  <cp:keywords>SCV; terms; definitions</cp:keywords>
  <dc:description>SCV-LS25  For: Geneva, 7 February 2024_x000d_Document date: _x000d_Saved by ITU51015586 at 17:04:54 on 07/02/2024</dc:description>
  <cp:lastModifiedBy>TSB-AC</cp:lastModifiedBy>
  <cp:revision>6</cp:revision>
  <cp:lastPrinted>2016-12-23T12:52:00Z</cp:lastPrinted>
  <dcterms:created xsi:type="dcterms:W3CDTF">2024-04-25T14:28:00Z</dcterms:created>
  <dcterms:modified xsi:type="dcterms:W3CDTF">2024-04-30T15:32:00Z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SCV-LS25</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