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184"/>
      </w:tblGrid>
      <w:tr w:rsidR="00CC3583" w:rsidRPr="00CC3583" w14:paraId="58F670C6" w14:textId="77777777" w:rsidTr="00AB7D5A">
        <w:trPr>
          <w:cantSplit/>
        </w:trPr>
        <w:tc>
          <w:tcPr>
            <w:tcW w:w="1104" w:type="dxa"/>
            <w:vMerge w:val="restart"/>
            <w:vAlign w:val="center"/>
          </w:tcPr>
          <w:p w14:paraId="6E3A8534" w14:textId="77777777" w:rsidR="00CC3583" w:rsidRPr="00CC3583" w:rsidRDefault="00CC3583" w:rsidP="00CC3583">
            <w:pPr>
              <w:jc w:val="center"/>
              <w:rPr>
                <w:sz w:val="20"/>
                <w:szCs w:val="20"/>
              </w:rPr>
            </w:pPr>
            <w:bookmarkStart w:id="0" w:name="dnum" w:colFirst="2" w:colLast="2"/>
            <w:bookmarkStart w:id="1" w:name="dsg" w:colFirst="1" w:colLast="1"/>
            <w:bookmarkStart w:id="2" w:name="dtableau"/>
            <w:r w:rsidRPr="00CC3583">
              <w:rPr>
                <w:noProof/>
              </w:rPr>
              <w:drawing>
                <wp:inline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6151281" w14:textId="77777777" w:rsidR="00CC3583" w:rsidRPr="00CC3583" w:rsidRDefault="00CC3583" w:rsidP="00CC3583">
            <w:pPr>
              <w:rPr>
                <w:sz w:val="16"/>
                <w:szCs w:val="16"/>
              </w:rPr>
            </w:pPr>
            <w:r w:rsidRPr="00CC3583">
              <w:rPr>
                <w:sz w:val="16"/>
                <w:szCs w:val="16"/>
              </w:rPr>
              <w:t>INTERNATIONAL TELECOMMUNICATION UNION</w:t>
            </w:r>
          </w:p>
          <w:p w14:paraId="0173BDF4" w14:textId="77777777" w:rsidR="00CC3583" w:rsidRPr="00CC3583" w:rsidRDefault="00CC3583" w:rsidP="00CC3583">
            <w:pPr>
              <w:rPr>
                <w:b/>
                <w:bCs/>
                <w:sz w:val="26"/>
                <w:szCs w:val="26"/>
              </w:rPr>
            </w:pPr>
            <w:r w:rsidRPr="00CC3583">
              <w:rPr>
                <w:b/>
                <w:bCs/>
                <w:sz w:val="26"/>
                <w:szCs w:val="26"/>
              </w:rPr>
              <w:t>TELECOMMUNICATION</w:t>
            </w:r>
            <w:r w:rsidRPr="00CC3583">
              <w:rPr>
                <w:b/>
                <w:bCs/>
                <w:sz w:val="26"/>
                <w:szCs w:val="26"/>
              </w:rPr>
              <w:br/>
              <w:t>STANDARDIZATION SECTOR</w:t>
            </w:r>
          </w:p>
          <w:p w14:paraId="504ADA02" w14:textId="77777777" w:rsidR="00CC3583" w:rsidRPr="00CC3583" w:rsidRDefault="00CC3583" w:rsidP="00CC3583">
            <w:pPr>
              <w:rPr>
                <w:sz w:val="20"/>
                <w:szCs w:val="20"/>
              </w:rPr>
            </w:pPr>
            <w:r w:rsidRPr="00CC3583">
              <w:rPr>
                <w:sz w:val="20"/>
                <w:szCs w:val="20"/>
              </w:rPr>
              <w:t xml:space="preserve">STUDY PERIOD </w:t>
            </w:r>
            <w:bookmarkStart w:id="3" w:name="dstudyperiod"/>
            <w:r w:rsidRPr="00CC3583">
              <w:rPr>
                <w:sz w:val="20"/>
              </w:rPr>
              <w:t>2022</w:t>
            </w:r>
            <w:r w:rsidRPr="00CC3583">
              <w:rPr>
                <w:sz w:val="20"/>
                <w:szCs w:val="20"/>
              </w:rPr>
              <w:t>-</w:t>
            </w:r>
            <w:r w:rsidRPr="00CC3583">
              <w:rPr>
                <w:sz w:val="20"/>
              </w:rPr>
              <w:t>2024</w:t>
            </w:r>
            <w:bookmarkEnd w:id="3"/>
          </w:p>
        </w:tc>
        <w:tc>
          <w:tcPr>
            <w:tcW w:w="4184" w:type="dxa"/>
            <w:vAlign w:val="center"/>
          </w:tcPr>
          <w:p w14:paraId="629A6A8C" w14:textId="2B0BD7FA" w:rsidR="00CC3583" w:rsidRPr="00CC3583" w:rsidRDefault="00CC3583" w:rsidP="00CC3583">
            <w:pPr>
              <w:pStyle w:val="Docnumber"/>
              <w:rPr>
                <w:sz w:val="32"/>
              </w:rPr>
            </w:pPr>
            <w:r>
              <w:rPr>
                <w:sz w:val="32"/>
              </w:rPr>
              <w:t>S</w:t>
            </w:r>
            <w:r w:rsidR="003301B2">
              <w:rPr>
                <w:sz w:val="32"/>
              </w:rPr>
              <w:t>CV</w:t>
            </w:r>
            <w:r>
              <w:rPr>
                <w:sz w:val="32"/>
              </w:rPr>
              <w:t>-LS</w:t>
            </w:r>
            <w:r w:rsidR="00F106C3">
              <w:rPr>
                <w:sz w:val="32"/>
              </w:rPr>
              <w:t>2</w:t>
            </w:r>
            <w:r w:rsidR="00E60828">
              <w:rPr>
                <w:sz w:val="32"/>
              </w:rPr>
              <w:t>2</w:t>
            </w:r>
          </w:p>
        </w:tc>
      </w:tr>
      <w:bookmarkEnd w:id="0"/>
      <w:tr w:rsidR="00CC3583" w:rsidRPr="00CC3583" w14:paraId="58D7EBBF" w14:textId="77777777" w:rsidTr="00AB7D5A">
        <w:trPr>
          <w:cantSplit/>
        </w:trPr>
        <w:tc>
          <w:tcPr>
            <w:tcW w:w="1104" w:type="dxa"/>
            <w:vMerge/>
          </w:tcPr>
          <w:p w14:paraId="015135B3" w14:textId="77777777" w:rsidR="00CC3583" w:rsidRPr="00CC3583" w:rsidRDefault="00CC3583" w:rsidP="00CC3583">
            <w:pPr>
              <w:rPr>
                <w:smallCaps/>
                <w:sz w:val="20"/>
              </w:rPr>
            </w:pPr>
          </w:p>
        </w:tc>
        <w:tc>
          <w:tcPr>
            <w:tcW w:w="4351" w:type="dxa"/>
            <w:gridSpan w:val="5"/>
            <w:vMerge/>
          </w:tcPr>
          <w:p w14:paraId="2385B85F" w14:textId="77777777" w:rsidR="00CC3583" w:rsidRPr="00CC3583" w:rsidRDefault="00CC3583" w:rsidP="00CC3583">
            <w:pPr>
              <w:rPr>
                <w:smallCaps/>
                <w:sz w:val="20"/>
              </w:rPr>
            </w:pPr>
          </w:p>
        </w:tc>
        <w:tc>
          <w:tcPr>
            <w:tcW w:w="4184" w:type="dxa"/>
          </w:tcPr>
          <w:p w14:paraId="5BFECBA9" w14:textId="56D31E8E" w:rsidR="00CC3583" w:rsidRPr="00CC3583" w:rsidRDefault="003301B2" w:rsidP="00CC3583">
            <w:pPr>
              <w:jc w:val="right"/>
              <w:rPr>
                <w:b/>
                <w:bCs/>
                <w:smallCaps/>
                <w:sz w:val="28"/>
                <w:szCs w:val="28"/>
              </w:rPr>
            </w:pPr>
            <w:r>
              <w:rPr>
                <w:b/>
                <w:bCs/>
                <w:smallCaps/>
                <w:sz w:val="28"/>
                <w:szCs w:val="28"/>
              </w:rPr>
              <w:t>SCV</w:t>
            </w:r>
          </w:p>
        </w:tc>
      </w:tr>
      <w:tr w:rsidR="00CC3583" w:rsidRPr="00CC3583" w14:paraId="64BBDFC1" w14:textId="77777777" w:rsidTr="00AB7D5A">
        <w:trPr>
          <w:cantSplit/>
        </w:trPr>
        <w:tc>
          <w:tcPr>
            <w:tcW w:w="1104" w:type="dxa"/>
            <w:vMerge/>
            <w:tcBorders>
              <w:bottom w:val="single" w:sz="12" w:space="0" w:color="auto"/>
            </w:tcBorders>
          </w:tcPr>
          <w:p w14:paraId="6E7BDC58" w14:textId="77777777" w:rsidR="00CC3583" w:rsidRPr="00CC3583" w:rsidRDefault="00CC3583" w:rsidP="00CC3583">
            <w:pPr>
              <w:rPr>
                <w:b/>
                <w:bCs/>
                <w:sz w:val="26"/>
              </w:rPr>
            </w:pPr>
          </w:p>
        </w:tc>
        <w:tc>
          <w:tcPr>
            <w:tcW w:w="4351" w:type="dxa"/>
            <w:gridSpan w:val="5"/>
            <w:vMerge/>
            <w:tcBorders>
              <w:bottom w:val="single" w:sz="12" w:space="0" w:color="auto"/>
            </w:tcBorders>
          </w:tcPr>
          <w:p w14:paraId="20C113A2" w14:textId="77777777" w:rsidR="00CC3583" w:rsidRPr="00CC3583" w:rsidRDefault="00CC3583" w:rsidP="00CC3583">
            <w:pPr>
              <w:rPr>
                <w:b/>
                <w:bCs/>
                <w:sz w:val="26"/>
              </w:rPr>
            </w:pPr>
          </w:p>
        </w:tc>
        <w:tc>
          <w:tcPr>
            <w:tcW w:w="4184" w:type="dxa"/>
            <w:tcBorders>
              <w:bottom w:val="single" w:sz="12" w:space="0" w:color="auto"/>
            </w:tcBorders>
            <w:vAlign w:val="center"/>
          </w:tcPr>
          <w:p w14:paraId="2A1AE47A" w14:textId="77777777" w:rsidR="00CC3583" w:rsidRPr="00CC3583" w:rsidRDefault="00CC3583" w:rsidP="00CC3583">
            <w:pPr>
              <w:jc w:val="right"/>
              <w:rPr>
                <w:b/>
                <w:bCs/>
                <w:sz w:val="28"/>
                <w:szCs w:val="28"/>
              </w:rPr>
            </w:pPr>
            <w:r w:rsidRPr="00CC3583">
              <w:rPr>
                <w:b/>
                <w:bCs/>
                <w:sz w:val="28"/>
                <w:szCs w:val="28"/>
              </w:rPr>
              <w:t>Original: English</w:t>
            </w:r>
          </w:p>
        </w:tc>
      </w:tr>
      <w:tr w:rsidR="00CC3583" w:rsidRPr="00CC3583" w14:paraId="719739D7" w14:textId="77777777" w:rsidTr="00AB7D5A">
        <w:trPr>
          <w:cantSplit/>
        </w:trPr>
        <w:tc>
          <w:tcPr>
            <w:tcW w:w="1545" w:type="dxa"/>
            <w:gridSpan w:val="2"/>
          </w:tcPr>
          <w:p w14:paraId="1683DB3D" w14:textId="77777777" w:rsidR="00CC3583" w:rsidRPr="00CC3583" w:rsidRDefault="00CC3583" w:rsidP="00CC3583">
            <w:pPr>
              <w:rPr>
                <w:b/>
                <w:bCs/>
              </w:rPr>
            </w:pPr>
            <w:bookmarkStart w:id="4" w:name="dbluepink" w:colFirst="1" w:colLast="1"/>
            <w:bookmarkStart w:id="5" w:name="dmeeting" w:colFirst="2" w:colLast="2"/>
            <w:bookmarkEnd w:id="1"/>
            <w:r w:rsidRPr="00CC3583">
              <w:rPr>
                <w:b/>
                <w:bCs/>
              </w:rPr>
              <w:t>Question(s):</w:t>
            </w:r>
          </w:p>
        </w:tc>
        <w:tc>
          <w:tcPr>
            <w:tcW w:w="3910" w:type="dxa"/>
            <w:gridSpan w:val="4"/>
          </w:tcPr>
          <w:p w14:paraId="5B7E6AC1" w14:textId="4C28F91E" w:rsidR="00CC3583" w:rsidRPr="00CC3583" w:rsidRDefault="003301B2" w:rsidP="00CC3583">
            <w:r>
              <w:t>---</w:t>
            </w:r>
          </w:p>
        </w:tc>
        <w:tc>
          <w:tcPr>
            <w:tcW w:w="4184" w:type="dxa"/>
          </w:tcPr>
          <w:p w14:paraId="1BD265C7" w14:textId="64B7C37F" w:rsidR="00CC3583" w:rsidRPr="00CC3583" w:rsidRDefault="00CC3583" w:rsidP="00CC3583">
            <w:pPr>
              <w:jc w:val="right"/>
            </w:pPr>
            <w:r w:rsidRPr="00CC3583">
              <w:t xml:space="preserve">Geneva, </w:t>
            </w:r>
            <w:r w:rsidR="00F80497">
              <w:t>14</w:t>
            </w:r>
            <w:r w:rsidR="00BB7C9A">
              <w:t xml:space="preserve"> </w:t>
            </w:r>
            <w:r w:rsidR="00F106C3">
              <w:t xml:space="preserve">February </w:t>
            </w:r>
            <w:r w:rsidRPr="00CC3583">
              <w:t>202</w:t>
            </w:r>
            <w:r w:rsidR="00F106C3">
              <w:t>4</w:t>
            </w:r>
          </w:p>
        </w:tc>
      </w:tr>
      <w:tr w:rsidR="00CC3583" w:rsidRPr="00CC3583" w14:paraId="083FF425" w14:textId="77777777" w:rsidTr="00AB7D5A">
        <w:trPr>
          <w:cantSplit/>
        </w:trPr>
        <w:tc>
          <w:tcPr>
            <w:tcW w:w="9639" w:type="dxa"/>
            <w:gridSpan w:val="7"/>
          </w:tcPr>
          <w:p w14:paraId="5192CFEF" w14:textId="654BBD63" w:rsidR="00CC3583" w:rsidRPr="00CC3583" w:rsidRDefault="00CC3583" w:rsidP="00CC3583">
            <w:pPr>
              <w:jc w:val="center"/>
              <w:rPr>
                <w:b/>
                <w:bCs/>
              </w:rPr>
            </w:pPr>
            <w:bookmarkStart w:id="6" w:name="ddoctype"/>
            <w:bookmarkStart w:id="7" w:name="dtitle" w:colFirst="0" w:colLast="0"/>
            <w:bookmarkEnd w:id="4"/>
            <w:bookmarkEnd w:id="5"/>
            <w:r>
              <w:rPr>
                <w:b/>
                <w:bCs/>
              </w:rPr>
              <w:t>(</w:t>
            </w:r>
            <w:r w:rsidRPr="00CC3583">
              <w:rPr>
                <w:b/>
                <w:bCs/>
              </w:rPr>
              <w:t>Ref.:</w:t>
            </w:r>
            <w:r w:rsidR="00160C1A">
              <w:rPr>
                <w:b/>
                <w:bCs/>
              </w:rPr>
              <w:t>)</w:t>
            </w:r>
          </w:p>
        </w:tc>
      </w:tr>
      <w:tr w:rsidR="00CC3583" w:rsidRPr="00CC3583" w14:paraId="6D255CBF" w14:textId="77777777" w:rsidTr="00AB7D5A">
        <w:trPr>
          <w:cantSplit/>
        </w:trPr>
        <w:tc>
          <w:tcPr>
            <w:tcW w:w="1545" w:type="dxa"/>
            <w:gridSpan w:val="2"/>
          </w:tcPr>
          <w:p w14:paraId="1885EDA2" w14:textId="77777777" w:rsidR="00CC3583" w:rsidRPr="00CC3583" w:rsidRDefault="00CC3583" w:rsidP="00CC3583">
            <w:pPr>
              <w:rPr>
                <w:b/>
                <w:bCs/>
              </w:rPr>
            </w:pPr>
            <w:bookmarkStart w:id="8" w:name="dsource" w:colFirst="1" w:colLast="1"/>
            <w:bookmarkEnd w:id="6"/>
            <w:bookmarkEnd w:id="7"/>
            <w:r w:rsidRPr="00CC3583">
              <w:rPr>
                <w:b/>
                <w:bCs/>
              </w:rPr>
              <w:t>Source:</w:t>
            </w:r>
          </w:p>
        </w:tc>
        <w:tc>
          <w:tcPr>
            <w:tcW w:w="8094" w:type="dxa"/>
            <w:gridSpan w:val="5"/>
          </w:tcPr>
          <w:p w14:paraId="64FA308C" w14:textId="2F328230" w:rsidR="00CC3583" w:rsidRPr="00CC3583" w:rsidRDefault="003301B2" w:rsidP="00CC3583">
            <w:r w:rsidRPr="003301B2">
              <w:t>Standardization Committee for Vocabulary</w:t>
            </w:r>
            <w:r w:rsidR="00D06A0D">
              <w:t>/Coordination Committee for Terminology</w:t>
            </w:r>
          </w:p>
        </w:tc>
      </w:tr>
      <w:tr w:rsidR="00CC3583" w:rsidRPr="00CC3583" w14:paraId="3BCFDC0E" w14:textId="77777777" w:rsidTr="00AB7D5A">
        <w:trPr>
          <w:cantSplit/>
        </w:trPr>
        <w:tc>
          <w:tcPr>
            <w:tcW w:w="1545" w:type="dxa"/>
            <w:gridSpan w:val="2"/>
            <w:tcBorders>
              <w:bottom w:val="single" w:sz="8" w:space="0" w:color="auto"/>
            </w:tcBorders>
          </w:tcPr>
          <w:p w14:paraId="4D640F2F" w14:textId="77777777" w:rsidR="00CC3583" w:rsidRPr="00CC3583" w:rsidRDefault="00CC3583" w:rsidP="00CC3583">
            <w:pPr>
              <w:rPr>
                <w:b/>
                <w:bCs/>
              </w:rPr>
            </w:pPr>
            <w:bookmarkStart w:id="9" w:name="dtitle1" w:colFirst="1" w:colLast="1"/>
            <w:bookmarkEnd w:id="8"/>
            <w:r w:rsidRPr="00CC3583">
              <w:rPr>
                <w:b/>
                <w:bCs/>
              </w:rPr>
              <w:t>Title:</w:t>
            </w:r>
          </w:p>
        </w:tc>
        <w:tc>
          <w:tcPr>
            <w:tcW w:w="8094" w:type="dxa"/>
            <w:gridSpan w:val="5"/>
            <w:tcBorders>
              <w:bottom w:val="single" w:sz="8" w:space="0" w:color="auto"/>
            </w:tcBorders>
          </w:tcPr>
          <w:p w14:paraId="12A76B66" w14:textId="396A7CA8" w:rsidR="00CC3583" w:rsidRPr="00CC3583" w:rsidRDefault="00FB4BD0" w:rsidP="00CC3583">
            <w:r>
              <w:t>LS</w:t>
            </w:r>
            <w:r w:rsidR="003C406D">
              <w:t>/r</w:t>
            </w:r>
            <w:r>
              <w:t xml:space="preserve"> on </w:t>
            </w:r>
            <w:r w:rsidR="003C406D" w:rsidRPr="003C406D">
              <w:t>NEW ITU-T SG11 TERMS AND DEFINITIONS (GENEVA, 10-20 OCTOBER 2023)</w:t>
            </w:r>
          </w:p>
        </w:tc>
      </w:tr>
      <w:bookmarkEnd w:id="2"/>
      <w:bookmarkEnd w:id="9"/>
      <w:tr w:rsidR="00777FAB" w14:paraId="4E3EC64C" w14:textId="77777777" w:rsidTr="00AB7D5A">
        <w:tblPrEx>
          <w:tblLook w:val="04A0" w:firstRow="1" w:lastRow="0" w:firstColumn="1" w:lastColumn="0" w:noHBand="0" w:noVBand="1"/>
        </w:tblPrEx>
        <w:trPr>
          <w:cantSplit/>
          <w:trHeight w:val="357"/>
        </w:trPr>
        <w:tc>
          <w:tcPr>
            <w:tcW w:w="9639" w:type="dxa"/>
            <w:gridSpan w:val="7"/>
            <w:tcBorders>
              <w:top w:val="single" w:sz="12" w:space="0" w:color="auto"/>
            </w:tcBorders>
          </w:tcPr>
          <w:p w14:paraId="5D883AA5" w14:textId="77777777" w:rsidR="00777FAB" w:rsidRDefault="00777FAB" w:rsidP="00CA70EF">
            <w:pPr>
              <w:jc w:val="center"/>
              <w:rPr>
                <w:b/>
              </w:rPr>
            </w:pPr>
            <w:r>
              <w:rPr>
                <w:b/>
              </w:rPr>
              <w:t>LIAISON STATEMENT</w:t>
            </w:r>
          </w:p>
        </w:tc>
      </w:tr>
      <w:tr w:rsidR="00777FAB" w14:paraId="6A22B081" w14:textId="77777777" w:rsidTr="00AB7D5A">
        <w:tblPrEx>
          <w:tblLook w:val="04A0" w:firstRow="1" w:lastRow="0" w:firstColumn="1" w:lastColumn="0" w:noHBand="0" w:noVBand="1"/>
        </w:tblPrEx>
        <w:trPr>
          <w:cantSplit/>
          <w:trHeight w:val="357"/>
        </w:trPr>
        <w:tc>
          <w:tcPr>
            <w:tcW w:w="2127" w:type="dxa"/>
            <w:gridSpan w:val="4"/>
          </w:tcPr>
          <w:p w14:paraId="594A4333" w14:textId="77777777" w:rsidR="00777FAB" w:rsidRDefault="00777FAB" w:rsidP="00CA70EF">
            <w:pPr>
              <w:rPr>
                <w:b/>
                <w:bCs/>
              </w:rPr>
            </w:pPr>
            <w:r>
              <w:rPr>
                <w:b/>
                <w:bCs/>
              </w:rPr>
              <w:t>For action to:</w:t>
            </w:r>
          </w:p>
        </w:tc>
        <w:tc>
          <w:tcPr>
            <w:tcW w:w="7512" w:type="dxa"/>
            <w:gridSpan w:val="3"/>
          </w:tcPr>
          <w:p w14:paraId="1100E375" w14:textId="39AB200B" w:rsidR="00777FAB" w:rsidRDefault="000924FB" w:rsidP="00CA70EF">
            <w:pPr>
              <w:pStyle w:val="LSForAction"/>
            </w:pPr>
            <w:r>
              <w:rPr>
                <w:szCs w:val="24"/>
              </w:rPr>
              <w:t xml:space="preserve">ITU-T </w:t>
            </w:r>
            <w:r w:rsidR="004C4C44">
              <w:rPr>
                <w:szCs w:val="24"/>
              </w:rPr>
              <w:t>SG</w:t>
            </w:r>
            <w:r w:rsidR="003C406D">
              <w:rPr>
                <w:szCs w:val="24"/>
              </w:rPr>
              <w:t>11</w:t>
            </w:r>
          </w:p>
        </w:tc>
      </w:tr>
      <w:tr w:rsidR="00777FAB" w14:paraId="60B97BCF" w14:textId="77777777" w:rsidTr="00AB7D5A">
        <w:tblPrEx>
          <w:tblLook w:val="04A0" w:firstRow="1" w:lastRow="0" w:firstColumn="1" w:lastColumn="0" w:noHBand="0" w:noVBand="1"/>
        </w:tblPrEx>
        <w:trPr>
          <w:cantSplit/>
          <w:trHeight w:val="357"/>
        </w:trPr>
        <w:tc>
          <w:tcPr>
            <w:tcW w:w="2127" w:type="dxa"/>
            <w:gridSpan w:val="4"/>
          </w:tcPr>
          <w:p w14:paraId="4FDA3D1F" w14:textId="77777777" w:rsidR="00777FAB" w:rsidRDefault="00777FAB" w:rsidP="00CA70EF">
            <w:pPr>
              <w:rPr>
                <w:b/>
                <w:bCs/>
              </w:rPr>
            </w:pPr>
            <w:r>
              <w:rPr>
                <w:b/>
                <w:bCs/>
              </w:rPr>
              <w:t>For information to:</w:t>
            </w:r>
          </w:p>
        </w:tc>
        <w:tc>
          <w:tcPr>
            <w:tcW w:w="7512" w:type="dxa"/>
            <w:gridSpan w:val="3"/>
          </w:tcPr>
          <w:p w14:paraId="0267BC8F" w14:textId="702A2277" w:rsidR="00777FAB" w:rsidRDefault="00777FAB" w:rsidP="00CA70EF">
            <w:pPr>
              <w:pStyle w:val="LSForInfo"/>
            </w:pPr>
          </w:p>
        </w:tc>
      </w:tr>
      <w:tr w:rsidR="00777FAB" w14:paraId="60CF25F5" w14:textId="77777777" w:rsidTr="00AB7D5A">
        <w:tblPrEx>
          <w:tblLook w:val="04A0" w:firstRow="1" w:lastRow="0" w:firstColumn="1" w:lastColumn="0" w:noHBand="0" w:noVBand="1"/>
        </w:tblPrEx>
        <w:trPr>
          <w:cantSplit/>
          <w:trHeight w:val="357"/>
        </w:trPr>
        <w:tc>
          <w:tcPr>
            <w:tcW w:w="2127" w:type="dxa"/>
            <w:gridSpan w:val="4"/>
          </w:tcPr>
          <w:p w14:paraId="46CFA771" w14:textId="77777777" w:rsidR="00777FAB" w:rsidRDefault="00777FAB" w:rsidP="00CA70EF">
            <w:pPr>
              <w:rPr>
                <w:b/>
                <w:bCs/>
              </w:rPr>
            </w:pPr>
            <w:r>
              <w:rPr>
                <w:b/>
                <w:bCs/>
              </w:rPr>
              <w:t>Approval:</w:t>
            </w:r>
          </w:p>
        </w:tc>
        <w:tc>
          <w:tcPr>
            <w:tcW w:w="7512" w:type="dxa"/>
            <w:gridSpan w:val="3"/>
          </w:tcPr>
          <w:p w14:paraId="27577278" w14:textId="5DF562F1" w:rsidR="00777FAB" w:rsidRDefault="00F106C3" w:rsidP="00CA70EF">
            <w:r>
              <w:t>SCV</w:t>
            </w:r>
            <w:r w:rsidR="003301B2" w:rsidRPr="003301B2">
              <w:t xml:space="preserve"> meeting (</w:t>
            </w:r>
            <w:r>
              <w:t>17</w:t>
            </w:r>
            <w:r w:rsidR="00E7586C">
              <w:t xml:space="preserve"> </w:t>
            </w:r>
            <w:r>
              <w:t>January</w:t>
            </w:r>
            <w:r w:rsidR="003301B2" w:rsidRPr="003301B2">
              <w:t xml:space="preserve"> 202</w:t>
            </w:r>
            <w:r>
              <w:t>4</w:t>
            </w:r>
            <w:r w:rsidR="003301B2" w:rsidRPr="003301B2">
              <w:t>)</w:t>
            </w:r>
          </w:p>
        </w:tc>
      </w:tr>
      <w:tr w:rsidR="00777FAB" w14:paraId="3EEAABD4" w14:textId="77777777" w:rsidTr="00AB7D5A">
        <w:tblPrEx>
          <w:tblLook w:val="04A0" w:firstRow="1" w:lastRow="0" w:firstColumn="1" w:lastColumn="0" w:noHBand="0" w:noVBand="1"/>
        </w:tblPrEx>
        <w:trPr>
          <w:cantSplit/>
          <w:trHeight w:val="357"/>
        </w:trPr>
        <w:tc>
          <w:tcPr>
            <w:tcW w:w="2127" w:type="dxa"/>
            <w:gridSpan w:val="4"/>
            <w:tcBorders>
              <w:bottom w:val="single" w:sz="12" w:space="0" w:color="auto"/>
            </w:tcBorders>
          </w:tcPr>
          <w:p w14:paraId="05F002F9" w14:textId="77777777" w:rsidR="00777FAB" w:rsidRDefault="00777FAB" w:rsidP="00CA70EF">
            <w:pPr>
              <w:rPr>
                <w:b/>
                <w:bCs/>
              </w:rPr>
            </w:pPr>
            <w:r>
              <w:rPr>
                <w:b/>
                <w:bCs/>
              </w:rPr>
              <w:t>Deadline:</w:t>
            </w:r>
          </w:p>
        </w:tc>
        <w:tc>
          <w:tcPr>
            <w:tcW w:w="7512" w:type="dxa"/>
            <w:gridSpan w:val="3"/>
            <w:tcBorders>
              <w:bottom w:val="single" w:sz="12" w:space="0" w:color="auto"/>
            </w:tcBorders>
          </w:tcPr>
          <w:p w14:paraId="63AEAB33" w14:textId="13F417A2" w:rsidR="00777FAB" w:rsidRDefault="000924FB" w:rsidP="00CA70EF">
            <w:pPr>
              <w:pStyle w:val="LSDeadline"/>
            </w:pPr>
            <w:r>
              <w:t>---</w:t>
            </w:r>
          </w:p>
        </w:tc>
      </w:tr>
      <w:tr w:rsidR="003301B2" w:rsidRPr="001D379A" w14:paraId="6FB179F8" w14:textId="77777777" w:rsidTr="00AB7D5A">
        <w:trPr>
          <w:cantSplit/>
        </w:trPr>
        <w:tc>
          <w:tcPr>
            <w:tcW w:w="1607" w:type="dxa"/>
            <w:gridSpan w:val="3"/>
            <w:tcBorders>
              <w:top w:val="single" w:sz="8" w:space="0" w:color="auto"/>
              <w:bottom w:val="single" w:sz="8" w:space="0" w:color="auto"/>
            </w:tcBorders>
          </w:tcPr>
          <w:p w14:paraId="7A4C2616" w14:textId="77777777" w:rsidR="003301B2" w:rsidRPr="00136DDD" w:rsidRDefault="003301B2" w:rsidP="00267CE2">
            <w:pPr>
              <w:rPr>
                <w:b/>
                <w:bCs/>
              </w:rPr>
            </w:pPr>
            <w:r w:rsidRPr="00136DDD">
              <w:rPr>
                <w:b/>
                <w:bCs/>
              </w:rPr>
              <w:t>Contact:</w:t>
            </w:r>
          </w:p>
        </w:tc>
        <w:tc>
          <w:tcPr>
            <w:tcW w:w="3780" w:type="dxa"/>
            <w:gridSpan w:val="2"/>
            <w:tcBorders>
              <w:top w:val="single" w:sz="8" w:space="0" w:color="auto"/>
              <w:bottom w:val="single" w:sz="8" w:space="0" w:color="auto"/>
            </w:tcBorders>
          </w:tcPr>
          <w:p w14:paraId="565E06F0" w14:textId="08C1FDF5" w:rsidR="003301B2" w:rsidRPr="008D6C1F" w:rsidRDefault="00000000" w:rsidP="00267CE2">
            <w:pPr>
              <w:rPr>
                <w:lang w:val="fr-CH"/>
              </w:rPr>
            </w:pPr>
            <w:sdt>
              <w:sdtPr>
                <w:rPr>
                  <w:lang w:val="fr-CH"/>
                </w:rPr>
                <w:alias w:val="ContactNameOrgCountry"/>
                <w:tag w:val="ContactNameOrgCountry"/>
                <w:id w:val="-130639986"/>
                <w:placeholder>
                  <w:docPart w:val="22897E4FE1954727A6CC39D01FDD1148"/>
                </w:placeholder>
                <w:text w:multiLine="1"/>
              </w:sdtPr>
              <w:sdtContent>
                <w:r w:rsidR="003301B2" w:rsidRPr="008D6C1F">
                  <w:rPr>
                    <w:lang w:val="fr-CH"/>
                  </w:rPr>
                  <w:t>Rim Belhaj</w:t>
                </w:r>
                <w:r w:rsidR="003301B2">
                  <w:rPr>
                    <w:lang w:val="fr-CH"/>
                  </w:rPr>
                  <w:br/>
                </w:r>
                <w:r w:rsidR="003301B2" w:rsidRPr="008D6C1F">
                  <w:rPr>
                    <w:lang w:val="fr-CH"/>
                  </w:rPr>
                  <w:t>ITU-T SCV Chair</w:t>
                </w:r>
              </w:sdtContent>
            </w:sdt>
          </w:p>
        </w:tc>
        <w:sdt>
          <w:sdtPr>
            <w:alias w:val="ContactTelFaxEmail"/>
            <w:tag w:val="ContactTelFaxEmail"/>
            <w:id w:val="-2140561428"/>
            <w:placeholder>
              <w:docPart w:val="84EF39CA3E3D457EB3688DA9429422F7"/>
            </w:placeholder>
          </w:sdtPr>
          <w:sdtContent>
            <w:tc>
              <w:tcPr>
                <w:tcW w:w="4252" w:type="dxa"/>
                <w:gridSpan w:val="2"/>
                <w:tcBorders>
                  <w:top w:val="single" w:sz="8" w:space="0" w:color="auto"/>
                  <w:bottom w:val="single" w:sz="8" w:space="0" w:color="auto"/>
                </w:tcBorders>
              </w:tcPr>
              <w:p w14:paraId="703D0338" w14:textId="2158D724" w:rsidR="003301B2" w:rsidRPr="00061268" w:rsidRDefault="003301B2" w:rsidP="00267CE2">
                <w:pPr>
                  <w:rPr>
                    <w:lang w:val="pt-BR"/>
                  </w:rPr>
                </w:pPr>
                <w:r w:rsidRPr="00061268">
                  <w:rPr>
                    <w:lang w:val="pt-BR"/>
                  </w:rPr>
                  <w:t>Tel:</w:t>
                </w:r>
                <w:r>
                  <w:rPr>
                    <w:lang w:val="pt-BR"/>
                  </w:rPr>
                  <w:tab/>
                </w:r>
                <w:r w:rsidRPr="00061268">
                  <w:rPr>
                    <w:lang w:val="pt-BR"/>
                  </w:rPr>
                  <w:br/>
                  <w:t>E-mail:</w:t>
                </w:r>
                <w:r>
                  <w:rPr>
                    <w:lang w:val="pt-BR"/>
                  </w:rPr>
                  <w:t xml:space="preserve"> </w:t>
                </w:r>
                <w:hyperlink r:id="rId12" w:history="1">
                  <w:r w:rsidR="006F75C7" w:rsidRPr="004E7D7A">
                    <w:rPr>
                      <w:rStyle w:val="Hyperlink"/>
                      <w:lang w:val="fr-CH"/>
                    </w:rPr>
                    <w:t>rym.belhaj@edu.isetcom.tn</w:t>
                  </w:r>
                </w:hyperlink>
                <w:r>
                  <w:rPr>
                    <w:lang w:val="fr-CH"/>
                  </w:rPr>
                  <w:t xml:space="preserve"> </w:t>
                </w:r>
              </w:p>
            </w:tc>
          </w:sdtContent>
        </w:sdt>
      </w:tr>
    </w:tbl>
    <w:p w14:paraId="1690D1BB" w14:textId="77777777" w:rsidR="00FE3BB1" w:rsidRPr="007813EB" w:rsidRDefault="00FE3BB1">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00FE3BB1" w:rsidRPr="007D57BD" w14:paraId="1F2EABDB" w14:textId="77777777" w:rsidTr="00AB7D5A">
        <w:trPr>
          <w:cantSplit/>
          <w:trHeight w:val="848"/>
        </w:trPr>
        <w:tc>
          <w:tcPr>
            <w:tcW w:w="1611" w:type="dxa"/>
            <w:shd w:val="clear" w:color="auto" w:fill="auto"/>
          </w:tcPr>
          <w:p w14:paraId="147B8950" w14:textId="77777777" w:rsidR="00FE3BB1" w:rsidRDefault="001C32D0">
            <w:pPr>
              <w:rPr>
                <w:b/>
                <w:bCs/>
              </w:rPr>
            </w:pPr>
            <w:r>
              <w:rPr>
                <w:b/>
                <w:bCs/>
              </w:rPr>
              <w:t>Abstract:</w:t>
            </w:r>
          </w:p>
        </w:tc>
        <w:tc>
          <w:tcPr>
            <w:tcW w:w="8028"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14:paraId="624F81AD" w14:textId="1D9B882D" w:rsidR="00FE3BB1" w:rsidRPr="007D57BD" w:rsidRDefault="003C406D">
                <w:r w:rsidRPr="003C406D">
                  <w:t>Through this document, the SCV provides editorial comments to ITU-T SG11 on definitions shared in SG11-LS133</w:t>
                </w:r>
                <w:r>
                  <w:t>.</w:t>
                </w:r>
              </w:p>
            </w:sdtContent>
          </w:sdt>
        </w:tc>
      </w:tr>
    </w:tbl>
    <w:p w14:paraId="12E803C4" w14:textId="0230E4D6" w:rsidR="002E5524" w:rsidRDefault="002E5524" w:rsidP="000C0AF0">
      <w:r>
        <w:t>The SCV thanks ITU-T SG</w:t>
      </w:r>
      <w:r w:rsidR="003C406D">
        <w:t>11</w:t>
      </w:r>
      <w:r>
        <w:t xml:space="preserve"> for their Liaison Statement </w:t>
      </w:r>
      <w:r w:rsidR="003C406D" w:rsidRPr="003C406D">
        <w:rPr>
          <w:color w:val="000000"/>
          <w:sz w:val="23"/>
          <w:szCs w:val="23"/>
        </w:rPr>
        <w:t xml:space="preserve">ITU-T SG11-LS133 </w:t>
      </w:r>
      <w:r w:rsidR="006838F2">
        <w:rPr>
          <w:color w:val="000000"/>
          <w:sz w:val="23"/>
          <w:szCs w:val="23"/>
        </w:rPr>
        <w:t>(</w:t>
      </w:r>
      <w:r>
        <w:rPr>
          <w:color w:val="000000"/>
          <w:sz w:val="23"/>
          <w:szCs w:val="23"/>
        </w:rPr>
        <w:t>also</w:t>
      </w:r>
      <w:r w:rsidR="006838F2">
        <w:rPr>
          <w:color w:val="000000"/>
          <w:sz w:val="23"/>
          <w:szCs w:val="23"/>
        </w:rPr>
        <w:t xml:space="preserve"> </w:t>
      </w:r>
      <w:hyperlink r:id="rId13" w:history="1">
        <w:r w:rsidR="003C406D" w:rsidRPr="00967127">
          <w:rPr>
            <w:rStyle w:val="Hyperlink"/>
            <w:sz w:val="23"/>
            <w:szCs w:val="23"/>
          </w:rPr>
          <w:t>C</w:t>
        </w:r>
        <w:bookmarkStart w:id="10" w:name="_Hlk158214675"/>
        <w:r w:rsidR="003C406D" w:rsidRPr="00967127">
          <w:rPr>
            <w:rStyle w:val="Hyperlink"/>
            <w:sz w:val="23"/>
            <w:szCs w:val="23"/>
          </w:rPr>
          <w:t>CT/47</w:t>
        </w:r>
        <w:bookmarkEnd w:id="10"/>
      </w:hyperlink>
      <w:r>
        <w:rPr>
          <w:color w:val="000000"/>
          <w:sz w:val="23"/>
          <w:szCs w:val="23"/>
        </w:rPr>
        <w:t>). The liaison statement was addressed a</w:t>
      </w:r>
      <w:r w:rsidR="00160C1A">
        <w:t xml:space="preserve">t the </w:t>
      </w:r>
      <w:r w:rsidR="00F106C3">
        <w:t>17</w:t>
      </w:r>
      <w:r w:rsidR="00A33871">
        <w:t xml:space="preserve"> </w:t>
      </w:r>
      <w:r w:rsidR="00F106C3">
        <w:t>January</w:t>
      </w:r>
      <w:r w:rsidR="00160C1A">
        <w:t xml:space="preserve"> 202</w:t>
      </w:r>
      <w:r w:rsidR="00F106C3">
        <w:t>4</w:t>
      </w:r>
      <w:r w:rsidR="00160C1A">
        <w:t xml:space="preserve"> meeting</w:t>
      </w:r>
      <w:r>
        <w:t xml:space="preserve"> of the SCV</w:t>
      </w:r>
      <w:r w:rsidR="00525DB2">
        <w:t>.</w:t>
      </w:r>
      <w:r>
        <w:t xml:space="preserve"> </w:t>
      </w:r>
    </w:p>
    <w:p w14:paraId="4EF6C482" w14:textId="6468B6C3" w:rsidR="002E5524" w:rsidRDefault="006838F2" w:rsidP="000C0AF0">
      <w:r>
        <w:t xml:space="preserve">After some discussion, the meeting </w:t>
      </w:r>
      <w:r w:rsidR="00CC6F74">
        <w:t xml:space="preserve">decided </w:t>
      </w:r>
      <w:r w:rsidR="00CC43A1">
        <w:t xml:space="preserve">to </w:t>
      </w:r>
      <w:r w:rsidR="003C406D">
        <w:t>provide editorial comments on the following definitions that were shared with the committee.</w:t>
      </w:r>
    </w:p>
    <w:p w14:paraId="7F7FAE75" w14:textId="77777777" w:rsidR="003C406D" w:rsidRDefault="003C406D" w:rsidP="000C0AF0"/>
    <w:tbl>
      <w:tblPr>
        <w:tblStyle w:val="TableGrid"/>
        <w:tblW w:w="0" w:type="auto"/>
        <w:tblLook w:val="04A0" w:firstRow="1" w:lastRow="0" w:firstColumn="1" w:lastColumn="0" w:noHBand="0" w:noVBand="1"/>
      </w:tblPr>
      <w:tblGrid>
        <w:gridCol w:w="3209"/>
        <w:gridCol w:w="3209"/>
        <w:gridCol w:w="3210"/>
      </w:tblGrid>
      <w:tr w:rsidR="003C406D" w:rsidRPr="003C406D" w14:paraId="459A436D" w14:textId="77777777" w:rsidTr="003C406D">
        <w:tc>
          <w:tcPr>
            <w:tcW w:w="3209" w:type="dxa"/>
          </w:tcPr>
          <w:p w14:paraId="0B344C12" w14:textId="76FC2F32" w:rsidR="003C406D" w:rsidRPr="003C406D" w:rsidRDefault="003C406D" w:rsidP="003C406D">
            <w:pPr>
              <w:jc w:val="center"/>
              <w:rPr>
                <w:b/>
                <w:bCs/>
              </w:rPr>
            </w:pPr>
            <w:r w:rsidRPr="003C406D">
              <w:rPr>
                <w:b/>
                <w:bCs/>
              </w:rPr>
              <w:t>Term</w:t>
            </w:r>
          </w:p>
        </w:tc>
        <w:tc>
          <w:tcPr>
            <w:tcW w:w="3209" w:type="dxa"/>
          </w:tcPr>
          <w:p w14:paraId="7057102C" w14:textId="5FDBACC1" w:rsidR="003C406D" w:rsidRPr="003C406D" w:rsidRDefault="003C406D" w:rsidP="003C406D">
            <w:pPr>
              <w:jc w:val="center"/>
              <w:rPr>
                <w:b/>
                <w:bCs/>
              </w:rPr>
            </w:pPr>
            <w:r w:rsidRPr="003C406D">
              <w:rPr>
                <w:b/>
                <w:bCs/>
              </w:rPr>
              <w:t>Definition communicated</w:t>
            </w:r>
          </w:p>
        </w:tc>
        <w:tc>
          <w:tcPr>
            <w:tcW w:w="3210" w:type="dxa"/>
          </w:tcPr>
          <w:p w14:paraId="57146CAE" w14:textId="7CED0AD5" w:rsidR="003C406D" w:rsidRPr="003C406D" w:rsidRDefault="003C406D" w:rsidP="003C406D">
            <w:pPr>
              <w:jc w:val="center"/>
              <w:rPr>
                <w:b/>
                <w:bCs/>
              </w:rPr>
            </w:pPr>
            <w:r w:rsidRPr="003C406D">
              <w:rPr>
                <w:b/>
                <w:bCs/>
              </w:rPr>
              <w:t>Comment</w:t>
            </w:r>
          </w:p>
        </w:tc>
      </w:tr>
      <w:tr w:rsidR="003C406D" w14:paraId="57C97B2A" w14:textId="77777777" w:rsidTr="003C406D">
        <w:tc>
          <w:tcPr>
            <w:tcW w:w="3209" w:type="dxa"/>
          </w:tcPr>
          <w:p w14:paraId="5D43F164" w14:textId="0049B10B" w:rsidR="003C406D" w:rsidRDefault="003C406D" w:rsidP="000C0AF0">
            <w:r w:rsidRPr="00FA1167">
              <w:rPr>
                <w:b/>
                <w:bCs/>
                <w:sz w:val="22"/>
                <w:szCs w:val="22"/>
              </w:rPr>
              <w:t xml:space="preserve">3D </w:t>
            </w:r>
            <w:proofErr w:type="spellStart"/>
            <w:r w:rsidRPr="00FA1167">
              <w:rPr>
                <w:b/>
                <w:bCs/>
                <w:sz w:val="22"/>
                <w:szCs w:val="22"/>
              </w:rPr>
              <w:t>ultra high</w:t>
            </w:r>
            <w:proofErr w:type="spellEnd"/>
            <w:r w:rsidRPr="00FA1167">
              <w:rPr>
                <w:b/>
                <w:bCs/>
                <w:sz w:val="22"/>
                <w:szCs w:val="22"/>
              </w:rPr>
              <w:t xml:space="preserve"> density IoT</w:t>
            </w:r>
          </w:p>
        </w:tc>
        <w:tc>
          <w:tcPr>
            <w:tcW w:w="3209" w:type="dxa"/>
          </w:tcPr>
          <w:p w14:paraId="12907E38" w14:textId="60B5238D" w:rsidR="003C406D" w:rsidRDefault="003C406D" w:rsidP="000C0AF0">
            <w:r w:rsidRPr="00FA1167">
              <w:rPr>
                <w:sz w:val="22"/>
                <w:szCs w:val="22"/>
              </w:rPr>
              <w:t>ultra-dense network based on wireless communication technologies, the users and nodes of which are located in three-dimensional space (multi-story buildings and other structures) with density of 100 devices per cubic meter, where the two-dimensional model cannot adequately describe the network and does not capture properties of network distribution of users and nodes.</w:t>
            </w:r>
          </w:p>
        </w:tc>
        <w:tc>
          <w:tcPr>
            <w:tcW w:w="3210" w:type="dxa"/>
          </w:tcPr>
          <w:p w14:paraId="21778CAA" w14:textId="4A50D812" w:rsidR="003C406D" w:rsidRDefault="006B6DBE" w:rsidP="000C0AF0">
            <w:r w:rsidRPr="006B6DBE">
              <w:rPr>
                <w:sz w:val="22"/>
                <w:szCs w:val="22"/>
              </w:rPr>
              <w:t>The definition is too complex. Please try to simplify it</w:t>
            </w:r>
            <w:r>
              <w:rPr>
                <w:sz w:val="22"/>
                <w:szCs w:val="22"/>
              </w:rPr>
              <w:t>.</w:t>
            </w:r>
          </w:p>
          <w:p w14:paraId="4C46EB9B" w14:textId="1D97F4B9" w:rsidR="006B6DBE" w:rsidRDefault="006B6DBE" w:rsidP="000C0AF0">
            <w:r>
              <w:t>Expand the abbreviation given in the term (IoT)</w:t>
            </w:r>
          </w:p>
        </w:tc>
      </w:tr>
      <w:tr w:rsidR="006B6DBE" w14:paraId="0395A71B" w14:textId="77777777" w:rsidTr="003C406D">
        <w:tc>
          <w:tcPr>
            <w:tcW w:w="3209" w:type="dxa"/>
          </w:tcPr>
          <w:p w14:paraId="771750B8" w14:textId="12880220" w:rsidR="006B6DBE" w:rsidRPr="00FA1167" w:rsidRDefault="006B6DBE" w:rsidP="000C0AF0">
            <w:pPr>
              <w:rPr>
                <w:b/>
                <w:bCs/>
                <w:sz w:val="22"/>
                <w:szCs w:val="22"/>
              </w:rPr>
            </w:pPr>
            <w:r w:rsidRPr="6D5E5998">
              <w:rPr>
                <w:b/>
                <w:bCs/>
                <w:lang w:eastAsia="zh-CN"/>
              </w:rPr>
              <w:t>CPN gateway</w:t>
            </w:r>
          </w:p>
        </w:tc>
        <w:tc>
          <w:tcPr>
            <w:tcW w:w="3209" w:type="dxa"/>
          </w:tcPr>
          <w:p w14:paraId="54809D21" w14:textId="0158B326" w:rsidR="006B6DBE" w:rsidRPr="00FA1167" w:rsidRDefault="006B6DBE" w:rsidP="000C0AF0">
            <w:pPr>
              <w:rPr>
                <w:sz w:val="22"/>
                <w:szCs w:val="22"/>
              </w:rPr>
            </w:pPr>
            <w:r w:rsidRPr="6D5E5998">
              <w:rPr>
                <w:lang w:eastAsia="zh-CN"/>
              </w:rPr>
              <w:t xml:space="preserve">It is a border gateway with the functions of service </w:t>
            </w:r>
            <w:r w:rsidRPr="6D5E5998">
              <w:rPr>
                <w:lang w:eastAsia="zh-CN"/>
              </w:rPr>
              <w:lastRenderedPageBreak/>
              <w:t>perception, computing power perception, and computing power routing etc. It can dynamically select forwarding paths and service nodes based on the calculation of service needs, computing power information, and network information, so as to realize the global optimization of computing power resources and network resources.</w:t>
            </w:r>
          </w:p>
        </w:tc>
        <w:tc>
          <w:tcPr>
            <w:tcW w:w="3210" w:type="dxa"/>
          </w:tcPr>
          <w:p w14:paraId="03DE8081" w14:textId="77777777" w:rsidR="006B6DBE" w:rsidRDefault="006B6DBE" w:rsidP="000C0AF0">
            <w:pPr>
              <w:rPr>
                <w:sz w:val="22"/>
                <w:szCs w:val="22"/>
              </w:rPr>
            </w:pPr>
            <w:r>
              <w:rPr>
                <w:sz w:val="22"/>
                <w:szCs w:val="22"/>
              </w:rPr>
              <w:lastRenderedPageBreak/>
              <w:t>Expand the abbreviation (CPN) in the term.</w:t>
            </w:r>
          </w:p>
          <w:p w14:paraId="49FA4E44" w14:textId="77777777" w:rsidR="006B6DBE" w:rsidRDefault="006B6DBE" w:rsidP="000C0AF0">
            <w:pPr>
              <w:rPr>
                <w:sz w:val="22"/>
                <w:szCs w:val="22"/>
              </w:rPr>
            </w:pPr>
            <w:r>
              <w:rPr>
                <w:sz w:val="22"/>
                <w:szCs w:val="22"/>
              </w:rPr>
              <w:lastRenderedPageBreak/>
              <w:t>The definition is too complex. Please reduce it to a single sentence. e.g.,</w:t>
            </w:r>
          </w:p>
          <w:p w14:paraId="12D286B9" w14:textId="77777777" w:rsidR="006B6DBE" w:rsidRDefault="006B6DBE" w:rsidP="000C0AF0">
            <w:pPr>
              <w:rPr>
                <w:lang w:eastAsia="zh-CN"/>
              </w:rPr>
            </w:pPr>
            <w:r>
              <w:rPr>
                <w:lang w:eastAsia="zh-CN"/>
              </w:rPr>
              <w:t>“A</w:t>
            </w:r>
            <w:r w:rsidRPr="6D5E5998">
              <w:rPr>
                <w:lang w:eastAsia="zh-CN"/>
              </w:rPr>
              <w:t xml:space="preserve"> border gateway with the functions of service perception, computing power perception, and computing power routing</w:t>
            </w:r>
            <w:r>
              <w:rPr>
                <w:lang w:eastAsia="zh-CN"/>
              </w:rPr>
              <w:t>.”</w:t>
            </w:r>
          </w:p>
          <w:p w14:paraId="6518CDA2" w14:textId="59EB5895" w:rsidR="006B6DBE" w:rsidRPr="006B6DBE" w:rsidRDefault="006B6DBE" w:rsidP="000C0AF0">
            <w:pPr>
              <w:rPr>
                <w:sz w:val="22"/>
                <w:szCs w:val="22"/>
              </w:rPr>
            </w:pPr>
            <w:r>
              <w:t>The rest can go in a note or after clause 5 of the Rec.</w:t>
            </w:r>
          </w:p>
        </w:tc>
      </w:tr>
    </w:tbl>
    <w:p w14:paraId="1C374BD1" w14:textId="77777777" w:rsidR="003C406D" w:rsidRDefault="003C406D" w:rsidP="000C0AF0"/>
    <w:p w14:paraId="3FD731E9" w14:textId="096FDD2B" w:rsidR="00FE3BB1" w:rsidRDefault="003301B2" w:rsidP="00A957E0">
      <w:pPr>
        <w:jc w:val="center"/>
      </w:pPr>
      <w:r w:rsidRPr="004E37B5">
        <w:t>____</w:t>
      </w:r>
      <w:r>
        <w:t>_____</w:t>
      </w:r>
      <w:r w:rsidRPr="004E37B5">
        <w:t>_____</w:t>
      </w:r>
    </w:p>
    <w:sectPr w:rsidR="00FE3BB1" w:rsidSect="00CC3583">
      <w:headerReference w:type="default" r:id="rId14"/>
      <w:pgSz w:w="11906" w:h="16838"/>
      <w:pgMar w:top="1417" w:right="1134" w:bottom="1417"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6F93" w14:textId="77777777" w:rsidR="002A11FF" w:rsidRDefault="002A11FF">
      <w:pPr>
        <w:spacing w:before="0"/>
      </w:pPr>
      <w:r>
        <w:separator/>
      </w:r>
    </w:p>
  </w:endnote>
  <w:endnote w:type="continuationSeparator" w:id="0">
    <w:p w14:paraId="4E269999" w14:textId="77777777" w:rsidR="002A11FF" w:rsidRDefault="002A11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916A" w14:textId="77777777" w:rsidR="002A11FF" w:rsidRDefault="002A11FF">
      <w:pPr>
        <w:spacing w:before="0"/>
      </w:pPr>
      <w:r>
        <w:separator/>
      </w:r>
    </w:p>
  </w:footnote>
  <w:footnote w:type="continuationSeparator" w:id="0">
    <w:p w14:paraId="7A5D0ED0" w14:textId="77777777" w:rsidR="002A11FF" w:rsidRDefault="002A11F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AB7" w14:textId="3A691389" w:rsidR="00FE3BB1" w:rsidRPr="00CC3583" w:rsidRDefault="00CC3583" w:rsidP="00CC3583">
    <w:pPr>
      <w:pStyle w:val="Header"/>
      <w:rPr>
        <w:sz w:val="18"/>
      </w:rPr>
    </w:pPr>
    <w:r w:rsidRPr="00CC3583">
      <w:rPr>
        <w:sz w:val="18"/>
      </w:rPr>
      <w:t xml:space="preserve">- </w:t>
    </w:r>
    <w:r w:rsidRPr="00CC3583">
      <w:rPr>
        <w:sz w:val="18"/>
      </w:rPr>
      <w:fldChar w:fldCharType="begin"/>
    </w:r>
    <w:r w:rsidRPr="00CC3583">
      <w:rPr>
        <w:sz w:val="18"/>
      </w:rPr>
      <w:instrText xml:space="preserve"> PAGE  \* MERGEFORMAT </w:instrText>
    </w:r>
    <w:r w:rsidRPr="00CC3583">
      <w:rPr>
        <w:sz w:val="18"/>
      </w:rPr>
      <w:fldChar w:fldCharType="separate"/>
    </w:r>
    <w:r w:rsidRPr="00CC3583">
      <w:rPr>
        <w:noProof/>
        <w:sz w:val="18"/>
      </w:rPr>
      <w:t>1</w:t>
    </w:r>
    <w:r w:rsidRPr="00CC3583">
      <w:rPr>
        <w:sz w:val="18"/>
      </w:rPr>
      <w:fldChar w:fldCharType="end"/>
    </w:r>
    <w:r w:rsidRPr="00CC3583">
      <w:rPr>
        <w:sz w:val="18"/>
      </w:rPr>
      <w:t xml:space="preserve"> -</w:t>
    </w:r>
  </w:p>
  <w:p w14:paraId="6C1F3AD2" w14:textId="7DAE3B8C" w:rsidR="00CC3583" w:rsidRPr="00CC3583" w:rsidRDefault="00CC3583" w:rsidP="00CC3583">
    <w:pPr>
      <w:pStyle w:val="Header"/>
      <w:spacing w:after="240"/>
      <w:rPr>
        <w:sz w:val="18"/>
      </w:rPr>
    </w:pPr>
    <w:r w:rsidRPr="00CC3583">
      <w:rPr>
        <w:sz w:val="18"/>
      </w:rPr>
      <w:fldChar w:fldCharType="begin"/>
    </w:r>
    <w:r w:rsidRPr="00CC3583">
      <w:rPr>
        <w:sz w:val="18"/>
      </w:rPr>
      <w:instrText xml:space="preserve"> STYLEREF  Docnumber  </w:instrText>
    </w:r>
    <w:r w:rsidRPr="00CC3583">
      <w:rPr>
        <w:sz w:val="18"/>
      </w:rPr>
      <w:fldChar w:fldCharType="separate"/>
    </w:r>
    <w:r w:rsidR="00F80497">
      <w:rPr>
        <w:noProof/>
        <w:sz w:val="18"/>
      </w:rPr>
      <w:t>SCV-LS22</w:t>
    </w:r>
    <w:r w:rsidRPr="00CC358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4"/>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460B"/>
    <w:rsid w:val="000178E5"/>
    <w:rsid w:val="00021F42"/>
    <w:rsid w:val="000332DE"/>
    <w:rsid w:val="00064C08"/>
    <w:rsid w:val="000924FB"/>
    <w:rsid w:val="000A0100"/>
    <w:rsid w:val="000A029E"/>
    <w:rsid w:val="000A4878"/>
    <w:rsid w:val="000A7678"/>
    <w:rsid w:val="000B2BDA"/>
    <w:rsid w:val="000B7C29"/>
    <w:rsid w:val="000C0AF0"/>
    <w:rsid w:val="000D39C9"/>
    <w:rsid w:val="00102D96"/>
    <w:rsid w:val="001144A2"/>
    <w:rsid w:val="00116DED"/>
    <w:rsid w:val="0015148F"/>
    <w:rsid w:val="00153A39"/>
    <w:rsid w:val="00160C1A"/>
    <w:rsid w:val="00163E8D"/>
    <w:rsid w:val="00181015"/>
    <w:rsid w:val="001A5C52"/>
    <w:rsid w:val="001C10D5"/>
    <w:rsid w:val="001C32D0"/>
    <w:rsid w:val="001D1552"/>
    <w:rsid w:val="001D1E05"/>
    <w:rsid w:val="001E23D2"/>
    <w:rsid w:val="001F1238"/>
    <w:rsid w:val="001F76B5"/>
    <w:rsid w:val="00206C14"/>
    <w:rsid w:val="00243391"/>
    <w:rsid w:val="002458A1"/>
    <w:rsid w:val="00265C8A"/>
    <w:rsid w:val="002A0B98"/>
    <w:rsid w:val="002A11FF"/>
    <w:rsid w:val="002A2DA8"/>
    <w:rsid w:val="002A4B55"/>
    <w:rsid w:val="002B1912"/>
    <w:rsid w:val="002C27DA"/>
    <w:rsid w:val="002C5387"/>
    <w:rsid w:val="002E5524"/>
    <w:rsid w:val="002F6C4C"/>
    <w:rsid w:val="002F7DC9"/>
    <w:rsid w:val="003301B2"/>
    <w:rsid w:val="00332914"/>
    <w:rsid w:val="00334BBB"/>
    <w:rsid w:val="00375802"/>
    <w:rsid w:val="00385147"/>
    <w:rsid w:val="00385723"/>
    <w:rsid w:val="003872A3"/>
    <w:rsid w:val="003B3B10"/>
    <w:rsid w:val="003B61C7"/>
    <w:rsid w:val="003B7D26"/>
    <w:rsid w:val="003C0801"/>
    <w:rsid w:val="003C16C2"/>
    <w:rsid w:val="003C406D"/>
    <w:rsid w:val="003C7CFC"/>
    <w:rsid w:val="003F0A51"/>
    <w:rsid w:val="00401D91"/>
    <w:rsid w:val="00421CF2"/>
    <w:rsid w:val="0042256D"/>
    <w:rsid w:val="00477D47"/>
    <w:rsid w:val="004C4C44"/>
    <w:rsid w:val="004D302E"/>
    <w:rsid w:val="004D4AC3"/>
    <w:rsid w:val="004E557A"/>
    <w:rsid w:val="004E6631"/>
    <w:rsid w:val="004E6B9D"/>
    <w:rsid w:val="00513FC1"/>
    <w:rsid w:val="00525DB2"/>
    <w:rsid w:val="0053279E"/>
    <w:rsid w:val="00540FA0"/>
    <w:rsid w:val="00551CDB"/>
    <w:rsid w:val="00565E56"/>
    <w:rsid w:val="00574A8C"/>
    <w:rsid w:val="0057678C"/>
    <w:rsid w:val="005866D0"/>
    <w:rsid w:val="005C232B"/>
    <w:rsid w:val="005E1189"/>
    <w:rsid w:val="005F7B01"/>
    <w:rsid w:val="00607743"/>
    <w:rsid w:val="006354C8"/>
    <w:rsid w:val="0063682C"/>
    <w:rsid w:val="006618D8"/>
    <w:rsid w:val="00672141"/>
    <w:rsid w:val="00674372"/>
    <w:rsid w:val="006838F2"/>
    <w:rsid w:val="006B6DBE"/>
    <w:rsid w:val="006D17E9"/>
    <w:rsid w:val="006F75C7"/>
    <w:rsid w:val="0073001B"/>
    <w:rsid w:val="00743BC3"/>
    <w:rsid w:val="007723E7"/>
    <w:rsid w:val="00777FAB"/>
    <w:rsid w:val="007813EB"/>
    <w:rsid w:val="0078151A"/>
    <w:rsid w:val="00786D7D"/>
    <w:rsid w:val="0079089C"/>
    <w:rsid w:val="007A470B"/>
    <w:rsid w:val="007B1376"/>
    <w:rsid w:val="007C39CD"/>
    <w:rsid w:val="007D13B5"/>
    <w:rsid w:val="007D1E86"/>
    <w:rsid w:val="007D57BD"/>
    <w:rsid w:val="007E066F"/>
    <w:rsid w:val="007E6086"/>
    <w:rsid w:val="00800D0F"/>
    <w:rsid w:val="00816504"/>
    <w:rsid w:val="00817F0C"/>
    <w:rsid w:val="00823351"/>
    <w:rsid w:val="00857A01"/>
    <w:rsid w:val="00864607"/>
    <w:rsid w:val="00864BFE"/>
    <w:rsid w:val="008C37CA"/>
    <w:rsid w:val="008C6570"/>
    <w:rsid w:val="008C7B4A"/>
    <w:rsid w:val="008D3BC6"/>
    <w:rsid w:val="008D40F0"/>
    <w:rsid w:val="008F4A1F"/>
    <w:rsid w:val="00904CA3"/>
    <w:rsid w:val="0091254D"/>
    <w:rsid w:val="00923637"/>
    <w:rsid w:val="00930B49"/>
    <w:rsid w:val="00931011"/>
    <w:rsid w:val="00936122"/>
    <w:rsid w:val="009406B2"/>
    <w:rsid w:val="009505B4"/>
    <w:rsid w:val="00966451"/>
    <w:rsid w:val="009722EF"/>
    <w:rsid w:val="00974D52"/>
    <w:rsid w:val="00984C5F"/>
    <w:rsid w:val="0099486F"/>
    <w:rsid w:val="009A64A1"/>
    <w:rsid w:val="009B1DB8"/>
    <w:rsid w:val="009F077F"/>
    <w:rsid w:val="00A319EB"/>
    <w:rsid w:val="00A31ACF"/>
    <w:rsid w:val="00A33871"/>
    <w:rsid w:val="00A4451D"/>
    <w:rsid w:val="00A72CF7"/>
    <w:rsid w:val="00A957E0"/>
    <w:rsid w:val="00A95B17"/>
    <w:rsid w:val="00AA3C1F"/>
    <w:rsid w:val="00AB3A6D"/>
    <w:rsid w:val="00AB7D5A"/>
    <w:rsid w:val="00AC41D7"/>
    <w:rsid w:val="00AE7093"/>
    <w:rsid w:val="00B06023"/>
    <w:rsid w:val="00B331D8"/>
    <w:rsid w:val="00B4539D"/>
    <w:rsid w:val="00B54B6C"/>
    <w:rsid w:val="00B64ECB"/>
    <w:rsid w:val="00B722AA"/>
    <w:rsid w:val="00B72386"/>
    <w:rsid w:val="00B7377B"/>
    <w:rsid w:val="00B96817"/>
    <w:rsid w:val="00BA3623"/>
    <w:rsid w:val="00BB7C9A"/>
    <w:rsid w:val="00BC0CF8"/>
    <w:rsid w:val="00BD144A"/>
    <w:rsid w:val="00BF5FED"/>
    <w:rsid w:val="00C04A67"/>
    <w:rsid w:val="00C1524E"/>
    <w:rsid w:val="00C21C0C"/>
    <w:rsid w:val="00C2440B"/>
    <w:rsid w:val="00C34BA6"/>
    <w:rsid w:val="00C44D66"/>
    <w:rsid w:val="00C4546F"/>
    <w:rsid w:val="00C47774"/>
    <w:rsid w:val="00C54AD2"/>
    <w:rsid w:val="00C7734B"/>
    <w:rsid w:val="00CA4272"/>
    <w:rsid w:val="00CC3583"/>
    <w:rsid w:val="00CC43A1"/>
    <w:rsid w:val="00CC554C"/>
    <w:rsid w:val="00CC6F74"/>
    <w:rsid w:val="00CE5801"/>
    <w:rsid w:val="00CF4049"/>
    <w:rsid w:val="00CF5395"/>
    <w:rsid w:val="00D041B3"/>
    <w:rsid w:val="00D06A0D"/>
    <w:rsid w:val="00D07783"/>
    <w:rsid w:val="00D3228D"/>
    <w:rsid w:val="00D3606D"/>
    <w:rsid w:val="00D72111"/>
    <w:rsid w:val="00D81E67"/>
    <w:rsid w:val="00D83BCA"/>
    <w:rsid w:val="00D84F2F"/>
    <w:rsid w:val="00D95357"/>
    <w:rsid w:val="00DA5557"/>
    <w:rsid w:val="00DB1FB6"/>
    <w:rsid w:val="00DC0669"/>
    <w:rsid w:val="00DC5919"/>
    <w:rsid w:val="00DD469B"/>
    <w:rsid w:val="00DD4F87"/>
    <w:rsid w:val="00DD6EC3"/>
    <w:rsid w:val="00E126ED"/>
    <w:rsid w:val="00E14AC2"/>
    <w:rsid w:val="00E36028"/>
    <w:rsid w:val="00E37586"/>
    <w:rsid w:val="00E40B32"/>
    <w:rsid w:val="00E60828"/>
    <w:rsid w:val="00E742F6"/>
    <w:rsid w:val="00E7586C"/>
    <w:rsid w:val="00ED2AD0"/>
    <w:rsid w:val="00EE1EF2"/>
    <w:rsid w:val="00EE3E61"/>
    <w:rsid w:val="00EE5A5D"/>
    <w:rsid w:val="00EF53E8"/>
    <w:rsid w:val="00F106C3"/>
    <w:rsid w:val="00F1527F"/>
    <w:rsid w:val="00F231C5"/>
    <w:rsid w:val="00F536B1"/>
    <w:rsid w:val="00F67ACB"/>
    <w:rsid w:val="00F7253B"/>
    <w:rsid w:val="00F80497"/>
    <w:rsid w:val="00F949B7"/>
    <w:rsid w:val="00FA2B2E"/>
    <w:rsid w:val="00FA79AA"/>
    <w:rsid w:val="00FB1AE3"/>
    <w:rsid w:val="00FB4BD0"/>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link w:val="TabletextChar"/>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customStyle="1" w:styleId="TabletextChar">
    <w:name w:val="Table_text Char"/>
    <w:basedOn w:val="DefaultParagraphFont"/>
    <w:link w:val="Tabletext"/>
    <w:rsid w:val="00A957E0"/>
    <w:rPr>
      <w:rFonts w:ascii="Times New Roman" w:eastAsia="Times New Roman" w:hAnsi="Times New Roman" w:cs="Times New Roman"/>
      <w:sz w:val="22"/>
      <w:szCs w:val="20"/>
      <w:lang w:val="en-GB" w:eastAsia="en-US"/>
    </w:rPr>
  </w:style>
  <w:style w:type="character" w:styleId="CommentReference">
    <w:name w:val="annotation reference"/>
    <w:basedOn w:val="DefaultParagraphFont"/>
    <w:semiHidden/>
    <w:rsid w:val="00DD4F87"/>
    <w:rPr>
      <w:sz w:val="16"/>
    </w:rPr>
  </w:style>
  <w:style w:type="paragraph" w:styleId="CommentText">
    <w:name w:val="annotation text"/>
    <w:basedOn w:val="Normal"/>
    <w:link w:val="CommentTextChar"/>
    <w:semiHidden/>
    <w:rsid w:val="00DD4F87"/>
    <w:pPr>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20"/>
      <w:szCs w:val="20"/>
      <w:lang w:val="en-US" w:eastAsia="en-GB"/>
    </w:rPr>
  </w:style>
  <w:style w:type="character" w:customStyle="1" w:styleId="CommentTextChar">
    <w:name w:val="Comment Text Char"/>
    <w:basedOn w:val="DefaultParagraphFont"/>
    <w:link w:val="CommentText"/>
    <w:semiHidden/>
    <w:rsid w:val="00DD4F87"/>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rsg-meetings/ccv/Share/CCT%20meeting%202024-01-17%20(SCV%20only)/Input%20contributions/047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D70EF"/>
    <w:rsid w:val="001B5A6C"/>
    <w:rsid w:val="001D62EC"/>
    <w:rsid w:val="00262389"/>
    <w:rsid w:val="002768B8"/>
    <w:rsid w:val="0033236D"/>
    <w:rsid w:val="0036321B"/>
    <w:rsid w:val="003C463E"/>
    <w:rsid w:val="00520646"/>
    <w:rsid w:val="0065743D"/>
    <w:rsid w:val="007C4605"/>
    <w:rsid w:val="008872B5"/>
    <w:rsid w:val="008905AF"/>
    <w:rsid w:val="009E0F10"/>
    <w:rsid w:val="009F53AA"/>
    <w:rsid w:val="00A13843"/>
    <w:rsid w:val="00A35DB6"/>
    <w:rsid w:val="00AC54C3"/>
    <w:rsid w:val="00B35167"/>
    <w:rsid w:val="00D448F0"/>
    <w:rsid w:val="00D72BCD"/>
    <w:rsid w:val="00EA0E67"/>
    <w:rsid w:val="00EB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2EC"/>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A741F611-F336-451B-8957-04499FAD0F38}"/>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14CB81B0-663A-46CA-97C4-FC829800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362</Words>
  <Characters>2065</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 on the definitions of ‘hologram’ and ‘object wave’</vt:lpstr>
      <vt:lpstr>LS/o to SG20 regarding SG2 work on certain aspects of IoT naming, numbering and identification [to ITU-T SG20]</vt:lpstr>
    </vt:vector>
  </TitlesOfParts>
  <Manager>ITU-T</Manager>
  <Company>International Telecommunication Union (ITU)</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NEW ITU-T SG11 TERMS AND DEFINITIONS (GENEVA, 10-20 OCTOBER 2023)</dc:title>
  <dc:creator>Standardization Committee for Vocabulary/Coordination Committee for Terminology</dc:creator>
  <cp:keywords>SCV; terms; definitions</cp:keywords>
  <dc:description>SCV-LS22  For: Geneva, 7 February 2024_x000d_Document date: _x000d_Saved by ITU51015586 at 16:26:48 on 07/02/2024</dc:description>
  <cp:lastModifiedBy>TSB-AC</cp:lastModifiedBy>
  <cp:revision>7</cp:revision>
  <cp:lastPrinted>2016-12-23T12:52:00Z</cp:lastPrinted>
  <dcterms:created xsi:type="dcterms:W3CDTF">2024-02-07T15:09:00Z</dcterms:created>
  <dcterms:modified xsi:type="dcterms:W3CDTF">2024-02-15T10:48:00Z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Standardization Committee for Vocabulary/Coordination Committee for Terminology</vt:lpwstr>
  </property>
  <property fmtid="{D5CDD505-2E9C-101B-9397-08002B2CF9AE}" pid="6" name="Docbluepink">
    <vt:lpwstr>---</vt:lpwstr>
  </property>
  <property fmtid="{D5CDD505-2E9C-101B-9397-08002B2CF9AE}" pid="7" name="Docdate">
    <vt:lpwstr/>
  </property>
  <property fmtid="{D5CDD505-2E9C-101B-9397-08002B2CF9AE}" pid="8" name="Docdest">
    <vt:lpwstr>Geneva, 7 February 2024</vt:lpwstr>
  </property>
  <property fmtid="{D5CDD505-2E9C-101B-9397-08002B2CF9AE}" pid="9" name="Docnum">
    <vt:lpwstr>SCV-LS22</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