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6" w:type="dxa"/>
        <w:tblLayout w:type="fixed"/>
        <w:tblCellMar>
          <w:left w:w="57" w:type="dxa"/>
          <w:right w:w="57" w:type="dxa"/>
        </w:tblCellMar>
        <w:tblLook w:val="0000" w:firstRow="0" w:lastRow="0" w:firstColumn="0" w:lastColumn="0" w:noHBand="0" w:noVBand="0"/>
      </w:tblPr>
      <w:tblGrid>
        <w:gridCol w:w="1132"/>
        <w:gridCol w:w="455"/>
        <w:gridCol w:w="20"/>
        <w:gridCol w:w="520"/>
        <w:gridCol w:w="3260"/>
        <w:gridCol w:w="226"/>
        <w:gridCol w:w="4083"/>
      </w:tblGrid>
      <w:tr w:rsidR="009D22A0" w:rsidRPr="009D22A0" w14:paraId="5900B266" w14:textId="77777777" w:rsidTr="00885052">
        <w:trPr>
          <w:cantSplit/>
        </w:trPr>
        <w:tc>
          <w:tcPr>
            <w:tcW w:w="1132" w:type="dxa"/>
            <w:vMerge w:val="restart"/>
            <w:vAlign w:val="center"/>
          </w:tcPr>
          <w:p w14:paraId="57A9E1F2" w14:textId="77777777" w:rsidR="009D22A0" w:rsidRPr="009D22A0" w:rsidRDefault="009D22A0" w:rsidP="009D22A0">
            <w:pPr>
              <w:spacing w:before="0"/>
              <w:jc w:val="center"/>
              <w:rPr>
                <w:sz w:val="20"/>
                <w:szCs w:val="20"/>
              </w:rPr>
            </w:pPr>
            <w:bookmarkStart w:id="0" w:name="dtableau"/>
            <w:bookmarkStart w:id="1" w:name="dnum" w:colFirst="2" w:colLast="2"/>
            <w:r w:rsidRPr="009D22A0">
              <w:rPr>
                <w:noProof/>
              </w:rPr>
              <w:drawing>
                <wp:inline distT="0" distB="0" distL="0" distR="0" wp14:anchorId="6A9BA440" wp14:editId="6FF91280">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2B4DE58B" w14:textId="77777777" w:rsidR="009D22A0" w:rsidRPr="009D22A0" w:rsidRDefault="009D22A0" w:rsidP="009D22A0">
            <w:pPr>
              <w:rPr>
                <w:sz w:val="16"/>
                <w:szCs w:val="16"/>
              </w:rPr>
            </w:pPr>
            <w:r w:rsidRPr="009D22A0">
              <w:rPr>
                <w:sz w:val="16"/>
                <w:szCs w:val="16"/>
              </w:rPr>
              <w:t>INTERNATIONAL TELECOMMUNICATION UNION</w:t>
            </w:r>
          </w:p>
          <w:p w14:paraId="666BDD29" w14:textId="77777777" w:rsidR="009D22A0" w:rsidRPr="009D22A0" w:rsidRDefault="009D22A0" w:rsidP="009D22A0">
            <w:pPr>
              <w:rPr>
                <w:b/>
                <w:bCs/>
                <w:sz w:val="26"/>
                <w:szCs w:val="26"/>
              </w:rPr>
            </w:pPr>
            <w:r w:rsidRPr="009D22A0">
              <w:rPr>
                <w:b/>
                <w:bCs/>
                <w:sz w:val="26"/>
                <w:szCs w:val="26"/>
              </w:rPr>
              <w:t>TELECOMMUNICATION</w:t>
            </w:r>
            <w:r w:rsidRPr="009D22A0">
              <w:rPr>
                <w:b/>
                <w:bCs/>
                <w:sz w:val="26"/>
                <w:szCs w:val="26"/>
              </w:rPr>
              <w:br/>
              <w:t>STANDARDIZATION SECTOR</w:t>
            </w:r>
          </w:p>
          <w:p w14:paraId="53105BAA" w14:textId="77777777" w:rsidR="009D22A0" w:rsidRPr="009D22A0" w:rsidRDefault="009D22A0" w:rsidP="009D22A0">
            <w:pPr>
              <w:rPr>
                <w:sz w:val="20"/>
                <w:szCs w:val="20"/>
              </w:rPr>
            </w:pPr>
            <w:r w:rsidRPr="009D22A0">
              <w:rPr>
                <w:sz w:val="20"/>
                <w:szCs w:val="20"/>
              </w:rPr>
              <w:t xml:space="preserve">STUDY PERIOD </w:t>
            </w:r>
            <w:bookmarkStart w:id="2" w:name="dstudyperiod"/>
            <w:r w:rsidRPr="009D22A0">
              <w:rPr>
                <w:sz w:val="20"/>
              </w:rPr>
              <w:t>2022</w:t>
            </w:r>
            <w:r w:rsidRPr="009D22A0">
              <w:rPr>
                <w:sz w:val="20"/>
                <w:szCs w:val="20"/>
              </w:rPr>
              <w:t>-</w:t>
            </w:r>
            <w:r w:rsidRPr="009D22A0">
              <w:rPr>
                <w:sz w:val="20"/>
              </w:rPr>
              <w:t>2024</w:t>
            </w:r>
            <w:bookmarkEnd w:id="2"/>
          </w:p>
        </w:tc>
        <w:tc>
          <w:tcPr>
            <w:tcW w:w="4083" w:type="dxa"/>
            <w:vAlign w:val="center"/>
          </w:tcPr>
          <w:p w14:paraId="35996692" w14:textId="53AB06AD" w:rsidR="009D22A0" w:rsidRPr="009D22A0" w:rsidRDefault="009D22A0" w:rsidP="009D22A0">
            <w:pPr>
              <w:pStyle w:val="Docnumber"/>
              <w:rPr>
                <w:sz w:val="32"/>
              </w:rPr>
            </w:pPr>
            <w:r>
              <w:rPr>
                <w:sz w:val="32"/>
              </w:rPr>
              <w:t>SCV-TD37</w:t>
            </w:r>
          </w:p>
        </w:tc>
      </w:tr>
      <w:tr w:rsidR="009D22A0" w:rsidRPr="009D22A0" w14:paraId="7AEE72B0" w14:textId="77777777" w:rsidTr="00885052">
        <w:trPr>
          <w:cantSplit/>
        </w:trPr>
        <w:tc>
          <w:tcPr>
            <w:tcW w:w="1132" w:type="dxa"/>
            <w:vMerge/>
          </w:tcPr>
          <w:p w14:paraId="0AC8D836" w14:textId="77777777" w:rsidR="009D22A0" w:rsidRPr="009D22A0" w:rsidRDefault="009D22A0" w:rsidP="009D22A0">
            <w:pPr>
              <w:rPr>
                <w:smallCaps/>
                <w:sz w:val="20"/>
              </w:rPr>
            </w:pPr>
            <w:bookmarkStart w:id="3" w:name="dsg" w:colFirst="2" w:colLast="2"/>
            <w:bookmarkEnd w:id="1"/>
          </w:p>
        </w:tc>
        <w:tc>
          <w:tcPr>
            <w:tcW w:w="4481" w:type="dxa"/>
            <w:gridSpan w:val="5"/>
            <w:vMerge/>
          </w:tcPr>
          <w:p w14:paraId="561B4B56" w14:textId="77777777" w:rsidR="009D22A0" w:rsidRPr="009D22A0" w:rsidRDefault="009D22A0" w:rsidP="009D22A0">
            <w:pPr>
              <w:rPr>
                <w:smallCaps/>
                <w:sz w:val="20"/>
              </w:rPr>
            </w:pPr>
          </w:p>
        </w:tc>
        <w:tc>
          <w:tcPr>
            <w:tcW w:w="4083" w:type="dxa"/>
          </w:tcPr>
          <w:p w14:paraId="7025F32A" w14:textId="52B8BB3F" w:rsidR="009D22A0" w:rsidRPr="009D22A0" w:rsidRDefault="009D22A0" w:rsidP="009D22A0">
            <w:pPr>
              <w:pStyle w:val="TSBHeaderRight14"/>
              <w:rPr>
                <w:smallCaps/>
              </w:rPr>
            </w:pPr>
            <w:r>
              <w:rPr>
                <w:smallCaps/>
              </w:rPr>
              <w:t>SCV</w:t>
            </w:r>
          </w:p>
        </w:tc>
      </w:tr>
      <w:bookmarkEnd w:id="3"/>
      <w:tr w:rsidR="009D22A0" w:rsidRPr="009D22A0" w14:paraId="0AF560D4" w14:textId="77777777" w:rsidTr="00885052">
        <w:trPr>
          <w:cantSplit/>
        </w:trPr>
        <w:tc>
          <w:tcPr>
            <w:tcW w:w="1132" w:type="dxa"/>
            <w:vMerge/>
            <w:tcBorders>
              <w:bottom w:val="single" w:sz="12" w:space="0" w:color="auto"/>
            </w:tcBorders>
          </w:tcPr>
          <w:p w14:paraId="28B2C173" w14:textId="77777777" w:rsidR="009D22A0" w:rsidRPr="009D22A0" w:rsidRDefault="009D22A0" w:rsidP="009D22A0">
            <w:pPr>
              <w:rPr>
                <w:b/>
                <w:bCs/>
                <w:sz w:val="26"/>
              </w:rPr>
            </w:pPr>
          </w:p>
        </w:tc>
        <w:tc>
          <w:tcPr>
            <w:tcW w:w="4481" w:type="dxa"/>
            <w:gridSpan w:val="5"/>
            <w:vMerge/>
            <w:tcBorders>
              <w:bottom w:val="single" w:sz="12" w:space="0" w:color="auto"/>
            </w:tcBorders>
          </w:tcPr>
          <w:p w14:paraId="6CB427D3" w14:textId="77777777" w:rsidR="009D22A0" w:rsidRPr="009D22A0" w:rsidRDefault="009D22A0" w:rsidP="009D22A0">
            <w:pPr>
              <w:rPr>
                <w:b/>
                <w:bCs/>
                <w:sz w:val="26"/>
              </w:rPr>
            </w:pPr>
          </w:p>
        </w:tc>
        <w:tc>
          <w:tcPr>
            <w:tcW w:w="4083" w:type="dxa"/>
            <w:tcBorders>
              <w:bottom w:val="single" w:sz="12" w:space="0" w:color="auto"/>
            </w:tcBorders>
            <w:vAlign w:val="center"/>
          </w:tcPr>
          <w:p w14:paraId="5668BBB1" w14:textId="77777777" w:rsidR="009D22A0" w:rsidRPr="009D22A0" w:rsidRDefault="009D22A0" w:rsidP="009D22A0">
            <w:pPr>
              <w:pStyle w:val="TSBHeaderRight14"/>
            </w:pPr>
            <w:r w:rsidRPr="009D22A0">
              <w:t>Original: English</w:t>
            </w:r>
          </w:p>
        </w:tc>
      </w:tr>
      <w:tr w:rsidR="009D22A0" w:rsidRPr="009D22A0" w14:paraId="38380940" w14:textId="77777777" w:rsidTr="00885052">
        <w:trPr>
          <w:cantSplit/>
        </w:trPr>
        <w:tc>
          <w:tcPr>
            <w:tcW w:w="1587" w:type="dxa"/>
            <w:gridSpan w:val="2"/>
          </w:tcPr>
          <w:p w14:paraId="02904B3C" w14:textId="4E92A9DA" w:rsidR="009D22A0" w:rsidRPr="009D22A0" w:rsidRDefault="009D22A0" w:rsidP="009D22A0">
            <w:pPr>
              <w:rPr>
                <w:b/>
                <w:bCs/>
              </w:rPr>
            </w:pPr>
            <w:bookmarkStart w:id="4" w:name="dbluepink" w:colFirst="1" w:colLast="1"/>
            <w:bookmarkStart w:id="5" w:name="dmeeting" w:colFirst="2" w:colLast="2"/>
          </w:p>
        </w:tc>
        <w:tc>
          <w:tcPr>
            <w:tcW w:w="4026" w:type="dxa"/>
            <w:gridSpan w:val="4"/>
          </w:tcPr>
          <w:p w14:paraId="74A2E255" w14:textId="2E229FFC" w:rsidR="009D22A0" w:rsidRPr="009D22A0" w:rsidRDefault="009D22A0" w:rsidP="009D22A0">
            <w:pPr>
              <w:pStyle w:val="TSBHeaderQuestion"/>
            </w:pPr>
            <w:r w:rsidRPr="009D22A0">
              <w:t>All/2</w:t>
            </w:r>
          </w:p>
        </w:tc>
        <w:tc>
          <w:tcPr>
            <w:tcW w:w="4083" w:type="dxa"/>
          </w:tcPr>
          <w:p w14:paraId="27D1D729" w14:textId="01605DB1" w:rsidR="009D22A0" w:rsidRPr="009D22A0" w:rsidRDefault="009D22A0" w:rsidP="009D22A0">
            <w:pPr>
              <w:pStyle w:val="VenueDate"/>
            </w:pPr>
            <w:r w:rsidRPr="009D22A0">
              <w:t xml:space="preserve">Virtual, 18 April 2023 </w:t>
            </w:r>
          </w:p>
        </w:tc>
      </w:tr>
      <w:tr w:rsidR="009D22A0" w:rsidRPr="009D22A0" w14:paraId="7FA18D89" w14:textId="77777777" w:rsidTr="00885052">
        <w:trPr>
          <w:cantSplit/>
        </w:trPr>
        <w:tc>
          <w:tcPr>
            <w:tcW w:w="9696" w:type="dxa"/>
            <w:gridSpan w:val="7"/>
          </w:tcPr>
          <w:p w14:paraId="1FC45774" w14:textId="77777777" w:rsidR="009D22A0" w:rsidRPr="009D22A0" w:rsidRDefault="009D22A0" w:rsidP="009D22A0">
            <w:pPr>
              <w:jc w:val="center"/>
              <w:rPr>
                <w:b/>
                <w:bCs/>
              </w:rPr>
            </w:pPr>
            <w:bookmarkStart w:id="6" w:name="ddoctype"/>
            <w:bookmarkEnd w:id="4"/>
            <w:bookmarkEnd w:id="5"/>
            <w:r w:rsidRPr="009D22A0">
              <w:rPr>
                <w:b/>
                <w:bCs/>
              </w:rPr>
              <w:t>TD</w:t>
            </w:r>
          </w:p>
          <w:p w14:paraId="58C7AF6B" w14:textId="4A5BC54C" w:rsidR="009D22A0" w:rsidRPr="009D22A0" w:rsidRDefault="009D22A0" w:rsidP="009D22A0">
            <w:pPr>
              <w:jc w:val="center"/>
              <w:rPr>
                <w:b/>
                <w:bCs/>
              </w:rPr>
            </w:pPr>
            <w:r w:rsidRPr="009D22A0">
              <w:rPr>
                <w:b/>
                <w:bCs/>
              </w:rPr>
              <w:t>(Ref.: SG2-LS57)</w:t>
            </w:r>
          </w:p>
        </w:tc>
      </w:tr>
      <w:tr w:rsidR="009D22A0" w:rsidRPr="009D22A0" w14:paraId="1E1858B6" w14:textId="77777777" w:rsidTr="00885052">
        <w:trPr>
          <w:cantSplit/>
        </w:trPr>
        <w:tc>
          <w:tcPr>
            <w:tcW w:w="1587" w:type="dxa"/>
            <w:gridSpan w:val="2"/>
          </w:tcPr>
          <w:p w14:paraId="73BFAFA9" w14:textId="77777777" w:rsidR="009D22A0" w:rsidRPr="009D22A0" w:rsidRDefault="009D22A0" w:rsidP="009D22A0">
            <w:pPr>
              <w:rPr>
                <w:b/>
                <w:bCs/>
              </w:rPr>
            </w:pPr>
            <w:bookmarkStart w:id="7" w:name="dsource" w:colFirst="1" w:colLast="1"/>
            <w:bookmarkEnd w:id="6"/>
            <w:r w:rsidRPr="009D22A0">
              <w:rPr>
                <w:b/>
                <w:bCs/>
              </w:rPr>
              <w:t>Source:</w:t>
            </w:r>
          </w:p>
        </w:tc>
        <w:tc>
          <w:tcPr>
            <w:tcW w:w="8109" w:type="dxa"/>
            <w:gridSpan w:val="5"/>
          </w:tcPr>
          <w:p w14:paraId="1BC2E001" w14:textId="68F70C4A" w:rsidR="009D22A0" w:rsidRPr="009D22A0" w:rsidRDefault="009D22A0" w:rsidP="009D22A0">
            <w:pPr>
              <w:pStyle w:val="TSBHeaderSource"/>
            </w:pPr>
            <w:r w:rsidRPr="009D22A0">
              <w:t>ITU-T Study Group 2</w:t>
            </w:r>
          </w:p>
        </w:tc>
      </w:tr>
      <w:tr w:rsidR="009D22A0" w:rsidRPr="009D22A0" w14:paraId="68DC6856" w14:textId="77777777" w:rsidTr="00885052">
        <w:trPr>
          <w:cantSplit/>
        </w:trPr>
        <w:tc>
          <w:tcPr>
            <w:tcW w:w="1587" w:type="dxa"/>
            <w:gridSpan w:val="2"/>
            <w:tcBorders>
              <w:bottom w:val="single" w:sz="8" w:space="0" w:color="auto"/>
            </w:tcBorders>
          </w:tcPr>
          <w:p w14:paraId="2710097F" w14:textId="77777777" w:rsidR="009D22A0" w:rsidRPr="009D22A0" w:rsidRDefault="009D22A0" w:rsidP="009D22A0">
            <w:pPr>
              <w:rPr>
                <w:b/>
                <w:bCs/>
              </w:rPr>
            </w:pPr>
            <w:bookmarkStart w:id="8" w:name="dtitle1" w:colFirst="1" w:colLast="1"/>
            <w:bookmarkEnd w:id="7"/>
            <w:r w:rsidRPr="009D22A0">
              <w:rPr>
                <w:b/>
                <w:bCs/>
              </w:rPr>
              <w:t>Title:</w:t>
            </w:r>
          </w:p>
        </w:tc>
        <w:tc>
          <w:tcPr>
            <w:tcW w:w="8109" w:type="dxa"/>
            <w:gridSpan w:val="5"/>
            <w:tcBorders>
              <w:bottom w:val="single" w:sz="8" w:space="0" w:color="auto"/>
            </w:tcBorders>
          </w:tcPr>
          <w:p w14:paraId="2D491CA3" w14:textId="689F6D8A" w:rsidR="009D22A0" w:rsidRPr="009D22A0" w:rsidRDefault="009D22A0" w:rsidP="009D22A0">
            <w:pPr>
              <w:pStyle w:val="TSBHeaderTitle"/>
            </w:pPr>
            <w:r w:rsidRPr="009D22A0">
              <w:t>LS on SCV activity in SG2</w:t>
            </w:r>
          </w:p>
        </w:tc>
      </w:tr>
      <w:bookmarkEnd w:id="0"/>
      <w:bookmarkEnd w:id="8"/>
      <w:tr w:rsidR="00064C08" w14:paraId="0292FED8" w14:textId="77777777" w:rsidTr="00885052">
        <w:tblPrEx>
          <w:tblLook w:val="04A0" w:firstRow="1" w:lastRow="0" w:firstColumn="1" w:lastColumn="0" w:noHBand="0" w:noVBand="1"/>
        </w:tblPrEx>
        <w:trPr>
          <w:cantSplit/>
          <w:trHeight w:val="357"/>
        </w:trPr>
        <w:tc>
          <w:tcPr>
            <w:tcW w:w="9696" w:type="dxa"/>
            <w:gridSpan w:val="7"/>
            <w:tcBorders>
              <w:top w:val="single" w:sz="12" w:space="0" w:color="auto"/>
            </w:tcBorders>
          </w:tcPr>
          <w:p w14:paraId="1CEB1BB7" w14:textId="77777777" w:rsidR="00064C08" w:rsidRDefault="00064C08" w:rsidP="00064C08">
            <w:pPr>
              <w:jc w:val="center"/>
              <w:rPr>
                <w:b/>
              </w:rPr>
            </w:pPr>
            <w:r>
              <w:rPr>
                <w:b/>
              </w:rPr>
              <w:t>LIAISON STATEMENT</w:t>
            </w:r>
          </w:p>
        </w:tc>
      </w:tr>
      <w:tr w:rsidR="00064C08" w14:paraId="58DCD060" w14:textId="77777777" w:rsidTr="00885052">
        <w:tblPrEx>
          <w:tblLook w:val="04A0" w:firstRow="1" w:lastRow="0" w:firstColumn="1" w:lastColumn="0" w:noHBand="0" w:noVBand="1"/>
        </w:tblPrEx>
        <w:trPr>
          <w:cantSplit/>
          <w:trHeight w:val="357"/>
        </w:trPr>
        <w:tc>
          <w:tcPr>
            <w:tcW w:w="2127" w:type="dxa"/>
            <w:gridSpan w:val="4"/>
          </w:tcPr>
          <w:p w14:paraId="5C476342" w14:textId="77777777" w:rsidR="00064C08" w:rsidRDefault="00064C08" w:rsidP="00064C08">
            <w:pPr>
              <w:rPr>
                <w:b/>
                <w:bCs/>
              </w:rPr>
            </w:pPr>
            <w:r>
              <w:rPr>
                <w:b/>
                <w:bCs/>
              </w:rPr>
              <w:t>For action to:</w:t>
            </w:r>
          </w:p>
        </w:tc>
        <w:tc>
          <w:tcPr>
            <w:tcW w:w="7569" w:type="dxa"/>
            <w:gridSpan w:val="3"/>
          </w:tcPr>
          <w:p w14:paraId="39B7BD10" w14:textId="775EDD25" w:rsidR="00064C08" w:rsidRDefault="00064C08" w:rsidP="00064C08">
            <w:pPr>
              <w:pStyle w:val="LSForAction"/>
            </w:pPr>
            <w:r>
              <w:t xml:space="preserve">SCV/CCV/CCT, </w:t>
            </w:r>
            <w:r w:rsidR="00287D07">
              <w:t xml:space="preserve">TSAG, </w:t>
            </w:r>
            <w:r w:rsidRPr="004E557A">
              <w:t xml:space="preserve">ITU-T </w:t>
            </w:r>
            <w:r>
              <w:t xml:space="preserve">SG3, SG5, </w:t>
            </w:r>
            <w:r w:rsidRPr="004E557A">
              <w:t xml:space="preserve">SG9, </w:t>
            </w:r>
            <w:r w:rsidR="00287D07">
              <w:t xml:space="preserve">SG11, </w:t>
            </w:r>
            <w:r w:rsidR="00DB1FB6">
              <w:t xml:space="preserve">SG12, </w:t>
            </w:r>
            <w:r w:rsidRPr="004E557A">
              <w:t>SG13, SG15, SG16, SG17, SG20</w:t>
            </w:r>
          </w:p>
        </w:tc>
      </w:tr>
      <w:tr w:rsidR="00064C08" w14:paraId="114FBD2B" w14:textId="77777777" w:rsidTr="00885052">
        <w:tblPrEx>
          <w:tblLook w:val="04A0" w:firstRow="1" w:lastRow="0" w:firstColumn="1" w:lastColumn="0" w:noHBand="0" w:noVBand="1"/>
        </w:tblPrEx>
        <w:trPr>
          <w:cantSplit/>
          <w:trHeight w:val="357"/>
        </w:trPr>
        <w:tc>
          <w:tcPr>
            <w:tcW w:w="2127" w:type="dxa"/>
            <w:gridSpan w:val="4"/>
          </w:tcPr>
          <w:p w14:paraId="2A32CA3E" w14:textId="77777777" w:rsidR="00064C08" w:rsidRDefault="00064C08" w:rsidP="00064C08">
            <w:pPr>
              <w:rPr>
                <w:b/>
                <w:bCs/>
              </w:rPr>
            </w:pPr>
            <w:r>
              <w:rPr>
                <w:b/>
                <w:bCs/>
              </w:rPr>
              <w:t>For information to:</w:t>
            </w:r>
          </w:p>
        </w:tc>
        <w:tc>
          <w:tcPr>
            <w:tcW w:w="7569" w:type="dxa"/>
            <w:gridSpan w:val="3"/>
          </w:tcPr>
          <w:p w14:paraId="79857E6B" w14:textId="6A329099" w:rsidR="00064C08" w:rsidRDefault="00936122" w:rsidP="00064C08">
            <w:pPr>
              <w:pStyle w:val="LSForInfo"/>
            </w:pPr>
            <w:r>
              <w:t>-</w:t>
            </w:r>
          </w:p>
        </w:tc>
      </w:tr>
      <w:tr w:rsidR="00064C08" w14:paraId="02ED3E84" w14:textId="77777777" w:rsidTr="00885052">
        <w:tblPrEx>
          <w:tblLook w:val="04A0" w:firstRow="1" w:lastRow="0" w:firstColumn="1" w:lastColumn="0" w:noHBand="0" w:noVBand="1"/>
        </w:tblPrEx>
        <w:trPr>
          <w:cantSplit/>
          <w:trHeight w:val="357"/>
        </w:trPr>
        <w:tc>
          <w:tcPr>
            <w:tcW w:w="2127" w:type="dxa"/>
            <w:gridSpan w:val="4"/>
          </w:tcPr>
          <w:p w14:paraId="3B18DC7C" w14:textId="77777777" w:rsidR="00064C08" w:rsidRDefault="00064C08" w:rsidP="00064C08">
            <w:pPr>
              <w:rPr>
                <w:b/>
                <w:bCs/>
              </w:rPr>
            </w:pPr>
            <w:r>
              <w:rPr>
                <w:b/>
                <w:bCs/>
              </w:rPr>
              <w:t>Approval:</w:t>
            </w:r>
          </w:p>
        </w:tc>
        <w:tc>
          <w:tcPr>
            <w:tcW w:w="7569" w:type="dxa"/>
            <w:gridSpan w:val="3"/>
          </w:tcPr>
          <w:p w14:paraId="43CF4DEC" w14:textId="1CE59F31" w:rsidR="00064C08" w:rsidRDefault="00064C08" w:rsidP="0052589E">
            <w:r>
              <w:t xml:space="preserve">ITU-T Study Group 2 </w:t>
            </w:r>
            <w:r w:rsidR="00E04D36">
              <w:t>M</w:t>
            </w:r>
            <w:r>
              <w:t>eeting (</w:t>
            </w:r>
            <w:r w:rsidR="004A0968">
              <w:rPr>
                <w:lang w:eastAsia="zh-CN"/>
              </w:rPr>
              <w:t>Virtual</w:t>
            </w:r>
            <w:r>
              <w:t>, 2</w:t>
            </w:r>
            <w:r w:rsidR="00287D07">
              <w:t>2</w:t>
            </w:r>
            <w:r>
              <w:t xml:space="preserve"> </w:t>
            </w:r>
            <w:r>
              <w:rPr>
                <w:rFonts w:hint="eastAsia"/>
                <w:lang w:eastAsia="zh-CN"/>
              </w:rPr>
              <w:t>Ma</w:t>
            </w:r>
            <w:r w:rsidR="00287D07">
              <w:rPr>
                <w:lang w:eastAsia="zh-CN"/>
              </w:rPr>
              <w:t>rch</w:t>
            </w:r>
            <w:r w:rsidR="00287D07">
              <w:t xml:space="preserve"> </w:t>
            </w:r>
            <w:r>
              <w:t>202</w:t>
            </w:r>
            <w:r w:rsidR="00287D07">
              <w:t>3</w:t>
            </w:r>
            <w:r>
              <w:t>)</w:t>
            </w:r>
          </w:p>
        </w:tc>
      </w:tr>
      <w:tr w:rsidR="00064C08" w14:paraId="055D6331" w14:textId="77777777" w:rsidTr="00885052">
        <w:tblPrEx>
          <w:tblLook w:val="04A0" w:firstRow="1" w:lastRow="0" w:firstColumn="1" w:lastColumn="0" w:noHBand="0" w:noVBand="1"/>
        </w:tblPrEx>
        <w:trPr>
          <w:cantSplit/>
          <w:trHeight w:val="357"/>
        </w:trPr>
        <w:tc>
          <w:tcPr>
            <w:tcW w:w="2127" w:type="dxa"/>
            <w:gridSpan w:val="4"/>
            <w:tcBorders>
              <w:bottom w:val="single" w:sz="12" w:space="0" w:color="auto"/>
            </w:tcBorders>
          </w:tcPr>
          <w:p w14:paraId="6283F105" w14:textId="77777777" w:rsidR="00064C08" w:rsidRDefault="00064C08" w:rsidP="00064C08">
            <w:pPr>
              <w:rPr>
                <w:b/>
                <w:bCs/>
              </w:rPr>
            </w:pPr>
            <w:r>
              <w:rPr>
                <w:b/>
                <w:bCs/>
              </w:rPr>
              <w:t>Deadline:</w:t>
            </w:r>
          </w:p>
        </w:tc>
        <w:tc>
          <w:tcPr>
            <w:tcW w:w="7569" w:type="dxa"/>
            <w:gridSpan w:val="3"/>
            <w:tcBorders>
              <w:bottom w:val="single" w:sz="12" w:space="0" w:color="auto"/>
            </w:tcBorders>
          </w:tcPr>
          <w:p w14:paraId="7AC226F4" w14:textId="77777777" w:rsidR="00064C08" w:rsidRDefault="00064C08" w:rsidP="00064C08">
            <w:pPr>
              <w:pStyle w:val="LSDeadline"/>
            </w:pPr>
            <w:r>
              <w:rPr>
                <w:rFonts w:eastAsia="SimSun" w:hint="eastAsia"/>
                <w:lang w:val="en-US" w:eastAsia="zh-CN"/>
              </w:rPr>
              <w:t>-</w:t>
            </w:r>
          </w:p>
        </w:tc>
      </w:tr>
      <w:tr w:rsidR="00064C08" w:rsidRPr="00B218C3" w14:paraId="231242CA" w14:textId="77777777" w:rsidTr="00885052">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6AB30EB6" w14:textId="77777777" w:rsidR="00064C08" w:rsidRDefault="00064C08" w:rsidP="00064C08">
            <w:pPr>
              <w:rPr>
                <w:b/>
                <w:bCs/>
                <w:highlight w:val="yellow"/>
              </w:rPr>
            </w:pPr>
            <w:r>
              <w:rPr>
                <w:rFonts w:asciiTheme="majorBidi" w:hAnsiTheme="majorBidi" w:cstheme="majorBidi"/>
                <w:b/>
                <w:bCs/>
                <w:kern w:val="2"/>
                <w:lang w:val="en-US" w:eastAsia="zh-CN"/>
              </w:rPr>
              <w:t>Contact:</w:t>
            </w:r>
          </w:p>
        </w:tc>
        <w:tc>
          <w:tcPr>
            <w:tcW w:w="3780" w:type="dxa"/>
            <w:gridSpan w:val="2"/>
            <w:tcBorders>
              <w:top w:val="single" w:sz="8" w:space="0" w:color="auto"/>
              <w:bottom w:val="single" w:sz="8" w:space="0" w:color="auto"/>
            </w:tcBorders>
            <w:vAlign w:val="center"/>
          </w:tcPr>
          <w:p w14:paraId="5CB16B78" w14:textId="4D7278A0" w:rsidR="00064C08" w:rsidRDefault="00000000" w:rsidP="00E04D36">
            <w:pPr>
              <w:rPr>
                <w:highlight w:val="yellow"/>
                <w:lang w:val="en-US" w:eastAsia="en-GB"/>
              </w:rPr>
            </w:pPr>
            <w:sdt>
              <w:sdtPr>
                <w:alias w:val="ContactNameOrgCountry"/>
                <w:id w:val="2063201545"/>
                <w:text/>
              </w:sdtPr>
              <w:sdtContent>
                <w:r w:rsidR="00064C08" w:rsidRPr="004E557A">
                  <w:t>Dmitry Cherkesov</w:t>
                </w:r>
                <w:r w:rsidR="00064C08" w:rsidRPr="004E557A">
                  <w:br/>
                </w:r>
                <w:r w:rsidR="00064C08">
                  <w:t xml:space="preserve">Vocabulary </w:t>
                </w:r>
                <w:r w:rsidR="009C667A">
                  <w:t>Rapporteur</w:t>
                </w:r>
              </w:sdtContent>
            </w:sdt>
          </w:p>
        </w:tc>
        <w:tc>
          <w:tcPr>
            <w:tcW w:w="4309" w:type="dxa"/>
            <w:gridSpan w:val="2"/>
            <w:tcBorders>
              <w:top w:val="single" w:sz="8" w:space="0" w:color="auto"/>
              <w:bottom w:val="single" w:sz="8" w:space="0" w:color="auto"/>
            </w:tcBorders>
            <w:vAlign w:val="center"/>
          </w:tcPr>
          <w:p w14:paraId="1D74C0B9" w14:textId="0648ABDC" w:rsidR="00064C08" w:rsidRPr="00A95B17" w:rsidRDefault="00064C08" w:rsidP="00E04D36">
            <w:pPr>
              <w:rPr>
                <w:rFonts w:asciiTheme="majorBidi" w:hAnsiTheme="majorBidi" w:cstheme="majorBidi"/>
                <w:kern w:val="2"/>
                <w:lang w:val="fr-CH" w:eastAsia="zh-CN"/>
              </w:rPr>
            </w:pPr>
            <w:r w:rsidRPr="004E557A">
              <w:rPr>
                <w:lang w:val="pt-BR"/>
              </w:rPr>
              <w:t xml:space="preserve">Tel: </w:t>
            </w:r>
            <w:r w:rsidRPr="004E557A">
              <w:rPr>
                <w:lang w:val="pt-BR"/>
              </w:rPr>
              <w:tab/>
            </w:r>
            <w:r w:rsidRPr="004E557A">
              <w:rPr>
                <w:lang w:val="fr-CH"/>
              </w:rPr>
              <w:t>+7 985 239 06 00</w:t>
            </w:r>
            <w:r w:rsidRPr="004E557A">
              <w:rPr>
                <w:lang w:val="pt-BR"/>
              </w:rPr>
              <w:br/>
              <w:t xml:space="preserve">E-mail: </w:t>
            </w:r>
            <w:hyperlink r:id="rId12">
              <w:r w:rsidRPr="004E557A">
                <w:rPr>
                  <w:rStyle w:val="-"/>
                  <w:rFonts w:ascii="Times New Roman" w:hAnsi="Times New Roman"/>
                  <w:lang w:val="pt-BR"/>
                </w:rPr>
                <w:t>dcherkesov@</w:t>
              </w:r>
              <w:r w:rsidRPr="004E557A">
                <w:rPr>
                  <w:rStyle w:val="-"/>
                  <w:rFonts w:ascii="Times New Roman" w:hAnsi="Times New Roman"/>
                  <w:lang w:val="fr-CH"/>
                </w:rPr>
                <w:t>gmail.com</w:t>
              </w:r>
            </w:hyperlink>
            <w:r w:rsidRPr="004E557A">
              <w:rPr>
                <w:lang w:val="fr-CH"/>
              </w:rPr>
              <w:t xml:space="preserve"> </w:t>
            </w:r>
            <w:r w:rsidRPr="004E557A">
              <w:rPr>
                <w:lang w:val="pt-BR"/>
              </w:rPr>
              <w:t xml:space="preserve"> </w:t>
            </w:r>
            <w:r>
              <w:rPr>
                <w:lang w:val="es-ES"/>
              </w:rPr>
              <w:t xml:space="preserve">  </w:t>
            </w:r>
          </w:p>
        </w:tc>
      </w:tr>
    </w:tbl>
    <w:p w14:paraId="1690D1BB" w14:textId="77777777" w:rsidR="00FE3BB1" w:rsidRPr="001C32D0" w:rsidRDefault="00FE3BB1">
      <w:pPr>
        <w:rPr>
          <w:lang w:val="fr-CH"/>
        </w:rPr>
      </w:pPr>
    </w:p>
    <w:tbl>
      <w:tblPr>
        <w:tblW w:w="9757" w:type="dxa"/>
        <w:tblCellMar>
          <w:left w:w="57" w:type="dxa"/>
          <w:right w:w="57" w:type="dxa"/>
        </w:tblCellMar>
        <w:tblLook w:val="0000" w:firstRow="0" w:lastRow="0" w:firstColumn="0" w:lastColumn="0" w:noHBand="0" w:noVBand="0"/>
      </w:tblPr>
      <w:tblGrid>
        <w:gridCol w:w="1611"/>
        <w:gridCol w:w="8146"/>
      </w:tblGrid>
      <w:tr w:rsidR="00FE3BB1" w14:paraId="1F2EABDB" w14:textId="77777777" w:rsidTr="0084427D">
        <w:trPr>
          <w:cantSplit/>
          <w:trHeight w:val="467"/>
        </w:trPr>
        <w:tc>
          <w:tcPr>
            <w:tcW w:w="1611" w:type="dxa"/>
            <w:shd w:val="clear" w:color="auto" w:fill="auto"/>
          </w:tcPr>
          <w:p w14:paraId="147B8950" w14:textId="77777777" w:rsidR="00FE3BB1" w:rsidRDefault="001C32D0">
            <w:pPr>
              <w:rPr>
                <w:b/>
                <w:bCs/>
              </w:rPr>
            </w:pPr>
            <w:r>
              <w:rPr>
                <w:b/>
                <w:bCs/>
              </w:rPr>
              <w:t>Abstract:</w:t>
            </w:r>
          </w:p>
        </w:tc>
        <w:tc>
          <w:tcPr>
            <w:tcW w:w="8146"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1B80156F" w:rsidR="00FE3BB1" w:rsidRDefault="009C667A">
                <w:r>
                  <w:rPr>
                    <w:lang w:val="en-US"/>
                  </w:rPr>
                  <w:t>This Liaison Statement informs about</w:t>
                </w:r>
                <w:r w:rsidR="001C32D0">
                  <w:rPr>
                    <w:lang w:val="en-US"/>
                  </w:rPr>
                  <w:t xml:space="preserve"> current terms and definition activities within SG2.</w:t>
                </w:r>
              </w:p>
            </w:sdtContent>
          </w:sdt>
        </w:tc>
      </w:tr>
    </w:tbl>
    <w:p w14:paraId="19B06410" w14:textId="77777777" w:rsidR="009C667A" w:rsidRDefault="009C667A" w:rsidP="009C667A"/>
    <w:p w14:paraId="5C83BA83" w14:textId="13FDD8B6" w:rsidR="00FE3BB1" w:rsidRDefault="001C32D0" w:rsidP="009C667A">
      <w:r>
        <w:t xml:space="preserve">ITU-T SG2 thanks SCV/CCV and </w:t>
      </w:r>
      <w:r w:rsidR="009C667A">
        <w:t>the ITU-T study groups</w:t>
      </w:r>
      <w:r>
        <w:t xml:space="preserve"> for the alignment terms and definitions work.</w:t>
      </w:r>
    </w:p>
    <w:p w14:paraId="73861423" w14:textId="32C82A09" w:rsidR="009722EF" w:rsidRPr="00362F43" w:rsidRDefault="009C667A" w:rsidP="009C667A">
      <w:r>
        <w:t xml:space="preserve">ITU-T </w:t>
      </w:r>
      <w:r w:rsidR="009722EF">
        <w:t>SG2 follows the formal structure of definition</w:t>
      </w:r>
      <w:r>
        <w:t>s</w:t>
      </w:r>
      <w:r w:rsidR="009722EF">
        <w:t xml:space="preserve"> </w:t>
      </w:r>
      <w:r>
        <w:t>given in the</w:t>
      </w:r>
      <w:r w:rsidR="009722EF">
        <w:t xml:space="preserve"> </w:t>
      </w:r>
      <w:r w:rsidR="009722EF" w:rsidRPr="00D67902">
        <w:t>Author's Guide for drafting ITU</w:t>
      </w:r>
      <w:r>
        <w:noBreakHyphen/>
      </w:r>
      <w:r w:rsidR="009722EF" w:rsidRPr="00D67902">
        <w:t>T Recommendations (</w:t>
      </w:r>
      <w:proofErr w:type="gramStart"/>
      <w:r w:rsidR="009722EF" w:rsidRPr="00D67902">
        <w:t>September,</w:t>
      </w:r>
      <w:proofErr w:type="gramEnd"/>
      <w:r w:rsidR="009722EF" w:rsidRPr="00D67902">
        <w:t xml:space="preserve"> 2020)</w:t>
      </w:r>
      <w:r w:rsidR="009722EF">
        <w:t xml:space="preserve">, </w:t>
      </w:r>
      <w:r w:rsidR="009722EF" w:rsidRPr="00D67902">
        <w:t>Annex B</w:t>
      </w:r>
      <w:r w:rsidR="009722EF">
        <w:t xml:space="preserve">, </w:t>
      </w:r>
      <w:r w:rsidR="009722EF" w:rsidRPr="00D67902">
        <w:t>Guidance on the development of definitions</w:t>
      </w:r>
      <w:r>
        <w:t xml:space="preserve"> </w:t>
      </w:r>
      <w:r w:rsidR="009722EF" w:rsidRPr="00362F43">
        <w:t>(extract from Annex B Authors Guide):</w:t>
      </w:r>
    </w:p>
    <w:p w14:paraId="79BF749A" w14:textId="77777777" w:rsidR="009722EF" w:rsidRPr="00362F43" w:rsidRDefault="009722EF" w:rsidP="009722EF">
      <w:r w:rsidRPr="00362F43">
        <w:t xml:space="preserve">A formal definition is a concise, logical statement that comprises three essential elements: </w:t>
      </w:r>
    </w:p>
    <w:p w14:paraId="40E93BBF" w14:textId="77777777" w:rsidR="009722EF" w:rsidRPr="00362F43" w:rsidRDefault="009722EF" w:rsidP="009722EF">
      <w:pPr>
        <w:pStyle w:val="enumlev1"/>
        <w:rPr>
          <w:szCs w:val="24"/>
        </w:rPr>
      </w:pPr>
      <w:proofErr w:type="spellStart"/>
      <w:r w:rsidRPr="00362F43">
        <w:rPr>
          <w:szCs w:val="24"/>
        </w:rPr>
        <w:t>i</w:t>
      </w:r>
      <w:proofErr w:type="spellEnd"/>
      <w:r w:rsidRPr="00362F43">
        <w:rPr>
          <w:szCs w:val="24"/>
        </w:rPr>
        <w:t>)</w:t>
      </w:r>
      <w:r w:rsidRPr="00362F43">
        <w:rPr>
          <w:szCs w:val="24"/>
        </w:rPr>
        <w:tab/>
        <w:t>The term (word or phrase) to be defined;</w:t>
      </w:r>
    </w:p>
    <w:p w14:paraId="4EA5D558" w14:textId="77777777" w:rsidR="009722EF" w:rsidRPr="00362F43" w:rsidRDefault="009722EF" w:rsidP="009722EF">
      <w:pPr>
        <w:pStyle w:val="enumlev1"/>
        <w:rPr>
          <w:szCs w:val="24"/>
        </w:rPr>
      </w:pPr>
      <w:r w:rsidRPr="00362F43">
        <w:rPr>
          <w:szCs w:val="24"/>
        </w:rPr>
        <w:t>ii)</w:t>
      </w:r>
      <w:r w:rsidRPr="00362F43">
        <w:rPr>
          <w:szCs w:val="24"/>
        </w:rPr>
        <w:tab/>
        <w:t>The class of object or concept to which the term belongs; and</w:t>
      </w:r>
    </w:p>
    <w:p w14:paraId="4AF66B55" w14:textId="77777777" w:rsidR="009722EF" w:rsidRPr="00362F43" w:rsidRDefault="009722EF" w:rsidP="009722EF">
      <w:pPr>
        <w:pStyle w:val="enumlev1"/>
        <w:rPr>
          <w:szCs w:val="24"/>
        </w:rPr>
      </w:pPr>
      <w:r w:rsidRPr="00362F43">
        <w:rPr>
          <w:szCs w:val="24"/>
        </w:rPr>
        <w:t>iii)</w:t>
      </w:r>
      <w:r w:rsidRPr="00362F43">
        <w:rPr>
          <w:szCs w:val="24"/>
        </w:rPr>
        <w:tab/>
        <w:t>The characteristics that distinguish it from all others of its class.</w:t>
      </w:r>
    </w:p>
    <w:p w14:paraId="6A8077F7" w14:textId="77777777" w:rsidR="009722EF" w:rsidRDefault="009722EF" w:rsidP="009722EF">
      <w:pPr>
        <w:jc w:val="both"/>
      </w:pPr>
      <w:r w:rsidRPr="00362F43">
        <w:t>Definitions with more than one explanation should be separated with semicolons.</w:t>
      </w:r>
    </w:p>
    <w:p w14:paraId="751A8712" w14:textId="55627C6F" w:rsidR="00287D07" w:rsidRDefault="00287D07" w:rsidP="009722EF">
      <w:pPr>
        <w:jc w:val="both"/>
      </w:pPr>
      <w:r>
        <w:t xml:space="preserve">Where abbreviations are used within a definition, an explanation or expansion of those abbreviations </w:t>
      </w:r>
      <w:r w:rsidRPr="0052589E">
        <w:rPr>
          <w:u w:val="single"/>
        </w:rPr>
        <w:t>must be</w:t>
      </w:r>
      <w:r>
        <w:t xml:space="preserve"> included. Standard symbols for measurement units should not be defined</w:t>
      </w:r>
      <w:r w:rsidR="009C667A">
        <w:t>.</w:t>
      </w:r>
    </w:p>
    <w:p w14:paraId="5D8721A2" w14:textId="77777777" w:rsidR="009722EF" w:rsidRPr="00362F43" w:rsidRDefault="009722EF" w:rsidP="009722EF">
      <w:pPr>
        <w:jc w:val="both"/>
      </w:pPr>
    </w:p>
    <w:p w14:paraId="0F063D36" w14:textId="4B6D7183" w:rsidR="00EC18B3" w:rsidRPr="00E04D36" w:rsidRDefault="001C32D0" w:rsidP="00E04D36">
      <w:pPr>
        <w:pStyle w:val="ListParagraph"/>
        <w:ind w:firstLine="0"/>
        <w:contextualSpacing/>
        <w:rPr>
          <w:lang w:val="ru-RU"/>
        </w:rPr>
      </w:pPr>
      <w:r>
        <w:rPr>
          <w:lang w:val="en-US" w:eastAsia="zh-CN"/>
        </w:rPr>
        <w:t>At</w:t>
      </w:r>
      <w:r w:rsidR="009C667A">
        <w:rPr>
          <w:lang w:val="en-US" w:eastAsia="zh-CN"/>
        </w:rPr>
        <w:t xml:space="preserve"> the</w:t>
      </w:r>
      <w:r>
        <w:rPr>
          <w:lang w:val="en-US" w:eastAsia="zh-CN"/>
        </w:rPr>
        <w:t xml:space="preserve"> </w:t>
      </w:r>
      <w:r w:rsidRPr="00816504">
        <w:t>ITU</w:t>
      </w:r>
      <w:r>
        <w:rPr>
          <w:lang w:val="en-US" w:eastAsia="zh-CN"/>
        </w:rPr>
        <w:t>-</w:t>
      </w:r>
      <w:r w:rsidRPr="00E04D36">
        <w:t xml:space="preserve">T </w:t>
      </w:r>
      <w:r w:rsidRPr="009D22A0">
        <w:t>Study Group</w:t>
      </w:r>
      <w:r w:rsidRPr="00E04D36">
        <w:t xml:space="preserve"> 2 meeting (</w:t>
      </w:r>
      <w:r w:rsidR="00287D07" w:rsidRPr="00E04D36">
        <w:t>Virtual, 13-22 March 2023</w:t>
      </w:r>
      <w:r w:rsidRPr="00E04D36">
        <w:t xml:space="preserve">) </w:t>
      </w:r>
      <w:r w:rsidR="009C667A">
        <w:t>the experts</w:t>
      </w:r>
      <w:r w:rsidRPr="00E04D36">
        <w:t xml:space="preserve"> discussed the </w:t>
      </w:r>
      <w:r w:rsidR="00064C08" w:rsidRPr="00E04D36">
        <w:t xml:space="preserve">proposal from </w:t>
      </w:r>
      <w:r w:rsidR="00287D07" w:rsidRPr="00E04D36">
        <w:t>different</w:t>
      </w:r>
      <w:r w:rsidR="00287D07">
        <w:rPr>
          <w:lang w:val="en-US" w:eastAsia="zh-CN"/>
        </w:rPr>
        <w:t xml:space="preserve"> SGs and </w:t>
      </w:r>
      <w:proofErr w:type="gramStart"/>
      <w:r w:rsidR="00287D07">
        <w:rPr>
          <w:lang w:val="en-US" w:eastAsia="zh-CN"/>
        </w:rPr>
        <w:t>FGs</w:t>
      </w:r>
      <w:r w:rsidR="009C667A">
        <w:rPr>
          <w:lang w:val="en-US" w:eastAsia="zh-CN"/>
        </w:rPr>
        <w:t>, and</w:t>
      </w:r>
      <w:proofErr w:type="gramEnd"/>
      <w:r w:rsidR="009C667A">
        <w:rPr>
          <w:lang w:val="en-US" w:eastAsia="zh-CN"/>
        </w:rPr>
        <w:t xml:space="preserve"> </w:t>
      </w:r>
      <w:r w:rsidR="0052589E">
        <w:rPr>
          <w:rStyle w:val="rynqvb"/>
          <w:lang w:val="en"/>
        </w:rPr>
        <w:t>made the following conclusions</w:t>
      </w:r>
      <w:r w:rsidR="0052589E">
        <w:rPr>
          <w:rStyle w:val="rynqvb"/>
          <w:lang w:val="ru-RU"/>
        </w:rPr>
        <w:t>.</w:t>
      </w:r>
    </w:p>
    <w:p w14:paraId="3422B2C9" w14:textId="1BC791D1" w:rsidR="00287D07" w:rsidRDefault="0052589E" w:rsidP="00E04D36">
      <w:pPr>
        <w:pStyle w:val="ListParagraph"/>
        <w:numPr>
          <w:ilvl w:val="0"/>
          <w:numId w:val="1"/>
        </w:numPr>
        <w:ind w:left="709" w:hanging="709"/>
        <w:contextualSpacing/>
        <w:rPr>
          <w:bCs/>
          <w:iCs/>
          <w:lang w:val="en-US"/>
        </w:rPr>
      </w:pPr>
      <w:r>
        <w:rPr>
          <w:bCs/>
          <w:iCs/>
          <w:lang w:val="en-US"/>
        </w:rPr>
        <w:t>The status of definitions developed in informal ITU-T documents</w:t>
      </w:r>
      <w:r w:rsidR="009C667A">
        <w:rPr>
          <w:bCs/>
          <w:iCs/>
          <w:lang w:val="en-US"/>
        </w:rPr>
        <w:t>, such</w:t>
      </w:r>
      <w:r>
        <w:rPr>
          <w:bCs/>
          <w:iCs/>
          <w:lang w:val="en-US"/>
        </w:rPr>
        <w:t xml:space="preserve"> as </w:t>
      </w:r>
      <w:proofErr w:type="gramStart"/>
      <w:r>
        <w:rPr>
          <w:bCs/>
          <w:iCs/>
          <w:lang w:val="en-US"/>
        </w:rPr>
        <w:t>Technical</w:t>
      </w:r>
      <w:proofErr w:type="gramEnd"/>
      <w:r>
        <w:rPr>
          <w:bCs/>
          <w:iCs/>
          <w:lang w:val="en-US"/>
        </w:rPr>
        <w:t xml:space="preserve"> report</w:t>
      </w:r>
      <w:r w:rsidR="009C667A">
        <w:rPr>
          <w:bCs/>
          <w:iCs/>
          <w:lang w:val="en-US"/>
        </w:rPr>
        <w:t>s</w:t>
      </w:r>
      <w:r>
        <w:rPr>
          <w:bCs/>
          <w:iCs/>
          <w:lang w:val="en-US"/>
        </w:rPr>
        <w:t>, Technical paper</w:t>
      </w:r>
      <w:r w:rsidR="009C667A">
        <w:rPr>
          <w:bCs/>
          <w:iCs/>
          <w:lang w:val="en-US"/>
        </w:rPr>
        <w:t>s</w:t>
      </w:r>
      <w:r>
        <w:rPr>
          <w:bCs/>
          <w:iCs/>
          <w:lang w:val="en-US"/>
        </w:rPr>
        <w:t>, Technical specification</w:t>
      </w:r>
      <w:r w:rsidR="009C667A">
        <w:rPr>
          <w:bCs/>
          <w:iCs/>
          <w:lang w:val="en-US"/>
        </w:rPr>
        <w:t>s</w:t>
      </w:r>
      <w:r>
        <w:rPr>
          <w:bCs/>
          <w:iCs/>
          <w:lang w:val="en-US"/>
        </w:rPr>
        <w:t xml:space="preserve">, Supplement is not quite clear. </w:t>
      </w:r>
      <w:r w:rsidR="00EC18B3">
        <w:rPr>
          <w:bCs/>
          <w:iCs/>
          <w:lang w:val="en-US"/>
        </w:rPr>
        <w:t xml:space="preserve">Mixing terms in the ITU Database that went through AAP and TAP procedures with terms that </w:t>
      </w:r>
      <w:r w:rsidR="009C667A">
        <w:rPr>
          <w:bCs/>
          <w:iCs/>
          <w:lang w:val="en-US"/>
        </w:rPr>
        <w:t xml:space="preserve">have </w:t>
      </w:r>
      <w:r w:rsidR="00EC18B3">
        <w:rPr>
          <w:bCs/>
          <w:iCs/>
          <w:lang w:val="en-US"/>
        </w:rPr>
        <w:t xml:space="preserve">just been agreed in informal documents looks dangerous. </w:t>
      </w:r>
      <w:r w:rsidR="00EC18B3" w:rsidRPr="00D13BA2">
        <w:rPr>
          <w:bCs/>
          <w:iCs/>
          <w:u w:val="single"/>
          <w:lang w:val="en-US"/>
        </w:rPr>
        <w:t>SG2</w:t>
      </w:r>
      <w:r w:rsidRPr="00D13BA2">
        <w:rPr>
          <w:bCs/>
          <w:iCs/>
          <w:u w:val="single"/>
          <w:lang w:val="en-US"/>
        </w:rPr>
        <w:t xml:space="preserve"> ask</w:t>
      </w:r>
      <w:r w:rsidR="00EC18B3" w:rsidRPr="00D13BA2">
        <w:rPr>
          <w:bCs/>
          <w:iCs/>
          <w:u w:val="single"/>
          <w:lang w:val="en-US"/>
        </w:rPr>
        <w:t>s</w:t>
      </w:r>
      <w:r w:rsidRPr="00D13BA2">
        <w:rPr>
          <w:bCs/>
          <w:iCs/>
          <w:u w:val="single"/>
          <w:lang w:val="en-US"/>
        </w:rPr>
        <w:t xml:space="preserve"> TSAG to evaluate </w:t>
      </w:r>
      <w:r w:rsidR="00EC18B3" w:rsidRPr="00D13BA2">
        <w:rPr>
          <w:bCs/>
          <w:iCs/>
          <w:u w:val="single"/>
          <w:lang w:val="en-US"/>
        </w:rPr>
        <w:t xml:space="preserve">possible </w:t>
      </w:r>
      <w:r w:rsidR="00EC18B3" w:rsidRPr="00D13BA2">
        <w:rPr>
          <w:bCs/>
          <w:iCs/>
          <w:u w:val="single"/>
          <w:lang w:val="en-US"/>
        </w:rPr>
        <w:lastRenderedPageBreak/>
        <w:t>issues, including possible deletion of Section 3.2 (Definitions developed in this text) from informal document templates</w:t>
      </w:r>
      <w:r w:rsidR="00EC18B3">
        <w:rPr>
          <w:bCs/>
          <w:iCs/>
          <w:lang w:val="en-US"/>
        </w:rPr>
        <w:t>.</w:t>
      </w:r>
    </w:p>
    <w:p w14:paraId="7D670566" w14:textId="77777777" w:rsidR="00EC18B3" w:rsidRPr="00EC18B3" w:rsidRDefault="00EC18B3" w:rsidP="00EC18B3">
      <w:pPr>
        <w:contextualSpacing/>
        <w:rPr>
          <w:bCs/>
          <w:iCs/>
          <w:lang w:val="en-US"/>
        </w:rPr>
      </w:pPr>
    </w:p>
    <w:p w14:paraId="5040AE47" w14:textId="73367684" w:rsidR="00FE3BB1" w:rsidRDefault="001C32D0" w:rsidP="00E04D36">
      <w:pPr>
        <w:pStyle w:val="ListParagraph"/>
        <w:numPr>
          <w:ilvl w:val="0"/>
          <w:numId w:val="1"/>
        </w:numPr>
        <w:ind w:left="709" w:hanging="709"/>
        <w:contextualSpacing/>
      </w:pPr>
      <w:r>
        <w:t>At this meeting</w:t>
      </w:r>
      <w:r w:rsidR="009C667A">
        <w:t>,</w:t>
      </w:r>
      <w:r w:rsidR="00786D7D">
        <w:t xml:space="preserve"> </w:t>
      </w:r>
      <w:r w:rsidR="007E4840">
        <w:t xml:space="preserve">SG2 </w:t>
      </w:r>
      <w:r w:rsidR="00C21C0C">
        <w:t xml:space="preserve">developing new </w:t>
      </w:r>
      <w:r>
        <w:t xml:space="preserve">definitions for </w:t>
      </w:r>
      <w:r w:rsidR="009C667A">
        <w:t xml:space="preserve">the </w:t>
      </w:r>
      <w:r>
        <w:t>following terms</w:t>
      </w:r>
      <w:r w:rsidR="006C7CA4">
        <w:t xml:space="preserve"> (planned for agreement at the next SG2 meeting)</w:t>
      </w:r>
      <w:r>
        <w:t>:</w:t>
      </w:r>
    </w:p>
    <w:p w14:paraId="7EC66CD4" w14:textId="148C138D" w:rsidR="00D13BA2" w:rsidRPr="0089642D" w:rsidRDefault="00D13BA2" w:rsidP="00E04D36">
      <w:pPr>
        <w:pStyle w:val="ListParagraph"/>
        <w:tabs>
          <w:tab w:val="left" w:pos="1871"/>
          <w:tab w:val="left" w:pos="2268"/>
        </w:tabs>
        <w:overflowPunct w:val="0"/>
        <w:autoSpaceDE w:val="0"/>
        <w:autoSpaceDN w:val="0"/>
        <w:adjustRightInd w:val="0"/>
        <w:ind w:left="709" w:firstLine="0"/>
        <w:contextualSpacing/>
        <w:textAlignment w:val="baseline"/>
      </w:pPr>
      <w:proofErr w:type="spellStart"/>
      <w:r w:rsidRPr="00D13BA2">
        <w:rPr>
          <w:rFonts w:eastAsia="Times New Roman"/>
          <w:b/>
        </w:rPr>
        <w:t>Wangiri</w:t>
      </w:r>
      <w:proofErr w:type="spellEnd"/>
      <w:r w:rsidRPr="0089642D">
        <w:t xml:space="preserve">: type of telecom fraud when using short or one ring calls (“one ring and drop”) to cheat subscribers to call back a premium rate number with </w:t>
      </w:r>
      <w:r w:rsidR="009C667A">
        <w:t xml:space="preserve">a </w:t>
      </w:r>
      <w:r w:rsidRPr="0089642D">
        <w:t>very expensive rate</w:t>
      </w:r>
      <w:r w:rsidR="009C667A">
        <w:t>.</w:t>
      </w:r>
    </w:p>
    <w:p w14:paraId="1D4A0112" w14:textId="77777777" w:rsidR="00D13BA2" w:rsidRDefault="00D13BA2" w:rsidP="00E04D36">
      <w:pPr>
        <w:pStyle w:val="ListParagraph"/>
        <w:tabs>
          <w:tab w:val="left" w:pos="1871"/>
          <w:tab w:val="left" w:pos="2268"/>
        </w:tabs>
        <w:overflowPunct w:val="0"/>
        <w:autoSpaceDE w:val="0"/>
        <w:autoSpaceDN w:val="0"/>
        <w:adjustRightInd w:val="0"/>
        <w:ind w:left="709" w:firstLine="0"/>
        <w:contextualSpacing/>
        <w:textAlignment w:val="baseline"/>
      </w:pPr>
      <w:r w:rsidRPr="00D13BA2">
        <w:rPr>
          <w:rFonts w:eastAsia="Times New Roman"/>
          <w:b/>
        </w:rPr>
        <w:t>Premium</w:t>
      </w:r>
      <w:r w:rsidRPr="00D13BA2">
        <w:rPr>
          <w:b/>
        </w:rPr>
        <w:t xml:space="preserve"> Rate Numbers</w:t>
      </w:r>
      <w:r w:rsidRPr="0089642D">
        <w:t xml:space="preserve">: </w:t>
      </w:r>
      <w:r w:rsidRPr="003C726E">
        <w:t xml:space="preserve">Special numbers dedicated to a certain service with declared rate higher than usual rate. </w:t>
      </w:r>
    </w:p>
    <w:p w14:paraId="1C13E5EF" w14:textId="05AD381F" w:rsidR="00D13BA2" w:rsidRPr="007E377A" w:rsidRDefault="00D13BA2" w:rsidP="00E04D36">
      <w:pPr>
        <w:pStyle w:val="ListParagraph"/>
        <w:ind w:left="709" w:firstLine="0"/>
        <w:contextualSpacing/>
        <w:rPr>
          <w:u w:val="single"/>
          <w:lang w:val="en-US" w:eastAsia="zh-CN"/>
        </w:rPr>
      </w:pPr>
      <w:r w:rsidRPr="007E377A">
        <w:rPr>
          <w:u w:val="single"/>
          <w:lang w:val="en-US" w:eastAsia="zh-CN"/>
        </w:rPr>
        <w:t xml:space="preserve">SG2 asks interested parties </w:t>
      </w:r>
      <w:r w:rsidR="009C667A">
        <w:rPr>
          <w:u w:val="single"/>
          <w:lang w:val="en-US" w:eastAsia="zh-CN"/>
        </w:rPr>
        <w:t xml:space="preserve">to provide </w:t>
      </w:r>
      <w:r w:rsidRPr="007E377A">
        <w:rPr>
          <w:u w:val="single"/>
          <w:lang w:val="en-US" w:eastAsia="zh-CN"/>
        </w:rPr>
        <w:t>feedback.</w:t>
      </w:r>
    </w:p>
    <w:p w14:paraId="6B26F936" w14:textId="3A89B777" w:rsidR="007E377A" w:rsidRPr="007E377A" w:rsidRDefault="00D13BA2" w:rsidP="00E04D36">
      <w:pPr>
        <w:numPr>
          <w:ilvl w:val="0"/>
          <w:numId w:val="1"/>
        </w:numPr>
        <w:tabs>
          <w:tab w:val="left" w:pos="1560"/>
          <w:tab w:val="left" w:pos="1588"/>
          <w:tab w:val="left" w:pos="1985"/>
        </w:tabs>
        <w:overflowPunct w:val="0"/>
        <w:ind w:left="709" w:hanging="709"/>
        <w:jc w:val="both"/>
      </w:pPr>
      <w:r>
        <w:rPr>
          <w:color w:val="000000"/>
        </w:rPr>
        <w:t xml:space="preserve">Working with definition of </w:t>
      </w:r>
      <w:r w:rsidRPr="00D13BA2">
        <w:rPr>
          <w:b/>
          <w:color w:val="000000"/>
        </w:rPr>
        <w:t>Asset</w:t>
      </w:r>
      <w:r>
        <w:rPr>
          <w:color w:val="000000"/>
        </w:rPr>
        <w:t xml:space="preserve"> we </w:t>
      </w:r>
      <w:r w:rsidR="009C667A">
        <w:rPr>
          <w:color w:val="000000"/>
        </w:rPr>
        <w:t>found</w:t>
      </w:r>
      <w:r>
        <w:rPr>
          <w:color w:val="000000"/>
        </w:rPr>
        <w:t xml:space="preserve"> out that it was copy</w:t>
      </w:r>
      <w:r w:rsidR="009C667A">
        <w:rPr>
          <w:color w:val="000000"/>
        </w:rPr>
        <w:t>-</w:t>
      </w:r>
      <w:r>
        <w:rPr>
          <w:color w:val="000000"/>
        </w:rPr>
        <w:t xml:space="preserve">pasted from ISO|IEC 27000:2009 in </w:t>
      </w:r>
      <w:r w:rsidR="007E377A">
        <w:rPr>
          <w:color w:val="000000"/>
        </w:rPr>
        <w:t>some</w:t>
      </w:r>
      <w:r>
        <w:rPr>
          <w:color w:val="000000"/>
        </w:rPr>
        <w:t xml:space="preserve"> ITU-T Recommendations</w:t>
      </w:r>
      <w:r w:rsidR="007E377A">
        <w:rPr>
          <w:color w:val="000000"/>
        </w:rPr>
        <w:t xml:space="preserve"> with reference to it</w:t>
      </w:r>
      <w:r>
        <w:rPr>
          <w:color w:val="000000"/>
        </w:rPr>
        <w:t xml:space="preserve">, but versions of ISO/IEC 27000:2016 and 2018 (the last one) do not have it at all. It shows us issues that </w:t>
      </w:r>
      <w:r w:rsidR="007E377A">
        <w:rPr>
          <w:color w:val="000000"/>
        </w:rPr>
        <w:t xml:space="preserve">we </w:t>
      </w:r>
      <w:proofErr w:type="spellStart"/>
      <w:r w:rsidR="007E377A">
        <w:rPr>
          <w:color w:val="000000"/>
        </w:rPr>
        <w:t>can not</w:t>
      </w:r>
      <w:proofErr w:type="spellEnd"/>
      <w:r w:rsidR="007E377A">
        <w:rPr>
          <w:color w:val="000000"/>
        </w:rPr>
        <w:t xml:space="preserve"> resolve in a fast way. </w:t>
      </w:r>
      <w:r w:rsidR="007E377A" w:rsidRPr="007E377A">
        <w:rPr>
          <w:color w:val="000000"/>
          <w:u w:val="single"/>
        </w:rPr>
        <w:t>One proposal could be as much as possible to avoid us</w:t>
      </w:r>
      <w:r w:rsidR="009C667A">
        <w:rPr>
          <w:color w:val="000000"/>
          <w:u w:val="single"/>
        </w:rPr>
        <w:t>ing</w:t>
      </w:r>
      <w:r w:rsidR="007E377A" w:rsidRPr="007E377A">
        <w:rPr>
          <w:color w:val="000000"/>
          <w:u w:val="single"/>
        </w:rPr>
        <w:t xml:space="preserve"> definition</w:t>
      </w:r>
      <w:r w:rsidR="009C667A">
        <w:rPr>
          <w:color w:val="000000"/>
          <w:u w:val="single"/>
        </w:rPr>
        <w:t>s</w:t>
      </w:r>
      <w:r w:rsidR="007E377A" w:rsidRPr="007E377A">
        <w:rPr>
          <w:color w:val="000000"/>
          <w:u w:val="single"/>
        </w:rPr>
        <w:t xml:space="preserve"> from outside sources. SG2 asks TSAG to evaluate this issue and amend </w:t>
      </w:r>
      <w:r w:rsidR="009C667A">
        <w:rPr>
          <w:color w:val="000000"/>
          <w:u w:val="single"/>
        </w:rPr>
        <w:t xml:space="preserve">the </w:t>
      </w:r>
      <w:r w:rsidR="007E377A" w:rsidRPr="007E377A">
        <w:rPr>
          <w:color w:val="000000"/>
          <w:u w:val="single"/>
        </w:rPr>
        <w:t>Author’s Guide and maybe some Recommendations of A-series if needed.</w:t>
      </w:r>
    </w:p>
    <w:p w14:paraId="20A3C20A" w14:textId="30EFB93B" w:rsidR="008B1FAD" w:rsidRPr="00E04D36" w:rsidRDefault="007E377A" w:rsidP="00E04D36">
      <w:pPr>
        <w:numPr>
          <w:ilvl w:val="0"/>
          <w:numId w:val="1"/>
        </w:numPr>
        <w:tabs>
          <w:tab w:val="left" w:pos="1560"/>
          <w:tab w:val="left" w:pos="1588"/>
          <w:tab w:val="left" w:pos="1985"/>
        </w:tabs>
        <w:overflowPunct w:val="0"/>
        <w:ind w:left="709" w:hanging="709"/>
        <w:jc w:val="both"/>
        <w:rPr>
          <w:u w:val="single"/>
        </w:rPr>
      </w:pPr>
      <w:r>
        <w:rPr>
          <w:color w:val="000000"/>
        </w:rPr>
        <w:t xml:space="preserve">Working with </w:t>
      </w:r>
      <w:r w:rsidR="007E4840">
        <w:rPr>
          <w:color w:val="000000"/>
        </w:rPr>
        <w:t xml:space="preserve">many </w:t>
      </w:r>
      <w:r w:rsidRPr="007E4840">
        <w:rPr>
          <w:color w:val="000000"/>
        </w:rPr>
        <w:t>definition</w:t>
      </w:r>
      <w:r w:rsidR="007E4840">
        <w:rPr>
          <w:color w:val="000000"/>
        </w:rPr>
        <w:t>s</w:t>
      </w:r>
      <w:r w:rsidRPr="007E4840">
        <w:rPr>
          <w:color w:val="000000"/>
        </w:rPr>
        <w:t xml:space="preserve"> from</w:t>
      </w:r>
      <w:r w:rsidRPr="007E4840">
        <w:rPr>
          <w:b/>
          <w:color w:val="000000"/>
        </w:rPr>
        <w:t xml:space="preserve"> IEEE</w:t>
      </w:r>
      <w:r>
        <w:rPr>
          <w:color w:val="000000"/>
        </w:rPr>
        <w:t xml:space="preserve"> </w:t>
      </w:r>
      <w:r w:rsidR="009C667A">
        <w:rPr>
          <w:color w:val="000000"/>
        </w:rPr>
        <w:t xml:space="preserve">for </w:t>
      </w:r>
      <w:r>
        <w:rPr>
          <w:color w:val="000000"/>
        </w:rPr>
        <w:t xml:space="preserve">possible inclusion in the new ITU-T Recommendations developed in SG2, </w:t>
      </w:r>
      <w:r w:rsidR="001C32D0">
        <w:rPr>
          <w:color w:val="000000"/>
        </w:rPr>
        <w:t xml:space="preserve">SG2 </w:t>
      </w:r>
      <w:r>
        <w:rPr>
          <w:color w:val="000000"/>
        </w:rPr>
        <w:t xml:space="preserve">sent </w:t>
      </w:r>
      <w:r w:rsidR="009C667A">
        <w:rPr>
          <w:color w:val="000000"/>
        </w:rPr>
        <w:t>a Liaison Statement</w:t>
      </w:r>
      <w:r>
        <w:rPr>
          <w:color w:val="000000"/>
        </w:rPr>
        <w:t xml:space="preserve"> to IEEE </w:t>
      </w:r>
      <w:r w:rsidR="009C667A">
        <w:rPr>
          <w:color w:val="000000"/>
        </w:rPr>
        <w:t xml:space="preserve">requesting </w:t>
      </w:r>
      <w:r>
        <w:rPr>
          <w:color w:val="000000"/>
        </w:rPr>
        <w:t>permission to copy past</w:t>
      </w:r>
      <w:r w:rsidR="009C667A">
        <w:rPr>
          <w:color w:val="000000"/>
        </w:rPr>
        <w:t>e</w:t>
      </w:r>
      <w:r>
        <w:rPr>
          <w:color w:val="000000"/>
        </w:rPr>
        <w:t xml:space="preserve"> in ITU-T Recommendation</w:t>
      </w:r>
      <w:r w:rsidR="009C667A">
        <w:rPr>
          <w:color w:val="000000"/>
        </w:rPr>
        <w:t>s</w:t>
      </w:r>
      <w:r>
        <w:rPr>
          <w:color w:val="000000"/>
        </w:rPr>
        <w:t xml:space="preserve"> under ITU-T IPR Policy </w:t>
      </w:r>
      <w:r w:rsidR="007E4840">
        <w:rPr>
          <w:color w:val="000000"/>
        </w:rPr>
        <w:t xml:space="preserve">rules. </w:t>
      </w:r>
      <w:r w:rsidR="007E4840" w:rsidRPr="007E4840">
        <w:rPr>
          <w:color w:val="000000"/>
          <w:u w:val="single"/>
        </w:rPr>
        <w:t>SG2 will inform you about results of this request.</w:t>
      </w:r>
    </w:p>
    <w:p w14:paraId="6C6039A7" w14:textId="6F468BAD" w:rsidR="007E4840" w:rsidRPr="007E4840" w:rsidRDefault="007E4840"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SG3</w:t>
      </w:r>
      <w:r w:rsidR="009C667A" w:rsidRPr="009C667A">
        <w:rPr>
          <w:color w:val="000000"/>
        </w:rPr>
        <w:t>:</w:t>
      </w:r>
    </w:p>
    <w:p w14:paraId="7121EB48" w14:textId="77777777" w:rsidR="007E4840" w:rsidRDefault="007E4840" w:rsidP="00E04D36">
      <w:pPr>
        <w:pStyle w:val="ListParagraph"/>
        <w:ind w:left="709" w:firstLine="0"/>
      </w:pPr>
      <w:r>
        <w:rPr>
          <w:b/>
          <w:bCs/>
        </w:rPr>
        <w:t>OTT voice bypass</w:t>
      </w:r>
      <w:r>
        <w:t>: Redirecting of terminating traffic from legitimate mobile calls onto Over-the-Top applications.</w:t>
      </w:r>
    </w:p>
    <w:p w14:paraId="0A40C067" w14:textId="262FDA4C" w:rsidR="007E4840" w:rsidRPr="007E4840" w:rsidRDefault="007E4840" w:rsidP="00E04D36">
      <w:pPr>
        <w:pStyle w:val="ListParagraph"/>
        <w:ind w:left="709" w:firstLine="0"/>
      </w:pPr>
      <w:r w:rsidRPr="007E4840">
        <w:rPr>
          <w:color w:val="000000"/>
          <w:u w:val="single"/>
        </w:rPr>
        <w:t xml:space="preserve">SG2 would like to </w:t>
      </w:r>
      <w:r>
        <w:rPr>
          <w:color w:val="000000"/>
          <w:u w:val="single"/>
        </w:rPr>
        <w:t>inform</w:t>
      </w:r>
      <w:r w:rsidRPr="007E4840">
        <w:rPr>
          <w:color w:val="000000"/>
          <w:u w:val="single"/>
        </w:rPr>
        <w:t xml:space="preserve"> SG</w:t>
      </w:r>
      <w:r>
        <w:rPr>
          <w:color w:val="000000"/>
          <w:u w:val="single"/>
        </w:rPr>
        <w:t>3</w:t>
      </w:r>
      <w:r w:rsidRPr="007E4840">
        <w:rPr>
          <w:color w:val="000000"/>
          <w:u w:val="single"/>
        </w:rPr>
        <w:t xml:space="preserve"> </w:t>
      </w:r>
      <w:r>
        <w:rPr>
          <w:bCs/>
          <w:u w:val="single"/>
          <w:lang w:eastAsia="zh-CN"/>
        </w:rPr>
        <w:t>that bypass can work in both directions and propose</w:t>
      </w:r>
      <w:r w:rsidR="009C667A">
        <w:rPr>
          <w:bCs/>
          <w:u w:val="single"/>
          <w:lang w:eastAsia="zh-CN"/>
        </w:rPr>
        <w:t>s</w:t>
      </w:r>
      <w:r>
        <w:rPr>
          <w:bCs/>
          <w:u w:val="single"/>
          <w:lang w:eastAsia="zh-CN"/>
        </w:rPr>
        <w:t xml:space="preserve"> to avoid </w:t>
      </w:r>
      <w:r w:rsidR="009C667A">
        <w:rPr>
          <w:bCs/>
          <w:u w:val="single"/>
          <w:lang w:eastAsia="zh-CN"/>
        </w:rPr>
        <w:t xml:space="preserve">the </w:t>
      </w:r>
      <w:r>
        <w:rPr>
          <w:bCs/>
          <w:u w:val="single"/>
          <w:lang w:eastAsia="zh-CN"/>
        </w:rPr>
        <w:t>word “legitimate” in the definition.</w:t>
      </w:r>
    </w:p>
    <w:p w14:paraId="5A32124A" w14:textId="3359B8BA" w:rsidR="00CB4F2C" w:rsidRPr="007E4840" w:rsidRDefault="00CB4F2C"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SG5</w:t>
      </w:r>
      <w:r w:rsidR="009C667A">
        <w:rPr>
          <w:color w:val="000000"/>
        </w:rPr>
        <w:t>:</w:t>
      </w:r>
    </w:p>
    <w:p w14:paraId="39F08216" w14:textId="77777777" w:rsidR="00CB4F2C" w:rsidRDefault="00CB4F2C" w:rsidP="00E04D36">
      <w:pPr>
        <w:pStyle w:val="ListParagraph"/>
        <w:ind w:left="709" w:firstLine="0"/>
        <w:rPr>
          <w:rFonts w:eastAsia="SimSun"/>
          <w:lang w:val="en-US"/>
        </w:rPr>
      </w:pPr>
      <w:r>
        <w:rPr>
          <w:rFonts w:eastAsia="SimSun"/>
          <w:b/>
          <w:bCs/>
        </w:rPr>
        <w:t>confidentiality</w:t>
      </w:r>
      <w:r>
        <w:rPr>
          <w:rFonts w:eastAsia="SimSun"/>
        </w:rPr>
        <w:t xml:space="preserve">: </w:t>
      </w:r>
      <w:r>
        <w:rPr>
          <w:rFonts w:eastAsia="SimSun"/>
          <w:lang w:val="en-US"/>
        </w:rPr>
        <w:t xml:space="preserve">Ensuring that information is accessible only to those authorized to have access. EMSEC deals with the risk of losing this confidentiality. </w:t>
      </w:r>
    </w:p>
    <w:p w14:paraId="5ABB53EB" w14:textId="2CD755EE" w:rsidR="00CB4F2C" w:rsidRDefault="00CB4F2C" w:rsidP="00E04D36">
      <w:pPr>
        <w:pStyle w:val="ListParagraph"/>
        <w:ind w:left="709" w:firstLine="0"/>
        <w:rPr>
          <w:rFonts w:eastAsia="SimSun"/>
        </w:rPr>
      </w:pPr>
      <w:bookmarkStart w:id="9" w:name="_Toc244509392"/>
      <w:r>
        <w:rPr>
          <w:rFonts w:eastAsia="SimSun"/>
          <w:b/>
          <w:bCs/>
        </w:rPr>
        <w:t>EM mitigation</w:t>
      </w:r>
      <w:bookmarkEnd w:id="9"/>
      <w:r>
        <w:rPr>
          <w:rFonts w:eastAsia="SimSun"/>
        </w:rPr>
        <w:t>: The preparations made to avoid either a malfunction due to a vulnerability caused by high-altitude electromagnetic pulses (HEMPs), high-power electromagnetic (HPEM) emissions or the lack of confidentiality due to insufficient emanation security (EMSEC). The level of the EM mitigation of the equipment can be calculated from the threat level and the vulnerability level.</w:t>
      </w:r>
    </w:p>
    <w:p w14:paraId="6ADDB285" w14:textId="5C0845D4" w:rsidR="00CB4F2C" w:rsidRDefault="00CB4F2C" w:rsidP="00E04D36">
      <w:pPr>
        <w:pStyle w:val="ListParagraph"/>
        <w:ind w:left="709" w:firstLine="0"/>
        <w:rPr>
          <w:rFonts w:eastAsia="MS Mincho"/>
        </w:rPr>
      </w:pPr>
      <w:r>
        <w:rPr>
          <w:rFonts w:eastAsia="MS Mincho"/>
          <w:b/>
          <w:bCs/>
        </w:rPr>
        <w:t>customer premises environment</w:t>
      </w:r>
      <w:r>
        <w:rPr>
          <w:rFonts w:eastAsia="MS Mincho"/>
        </w:rPr>
        <w:t xml:space="preserve">: Physical </w:t>
      </w:r>
      <w:r>
        <w:rPr>
          <w:rFonts w:eastAsia="SimSun"/>
        </w:rPr>
        <w:t>location</w:t>
      </w:r>
      <w:r>
        <w:rPr>
          <w:rFonts w:eastAsia="MS Mincho"/>
        </w:rPr>
        <w:t xml:space="preserve"> in the residential, commercial, public, and light-industrial locations where telecommunication equipment is installed or used. In this environment the electromagnetic disturbance protection and earthing and bonding conditions might be uncontrolled.</w:t>
      </w:r>
    </w:p>
    <w:p w14:paraId="56167AEC" w14:textId="446BC2F6" w:rsidR="00CB4F2C" w:rsidRDefault="00CB4F2C" w:rsidP="00E04D36">
      <w:pPr>
        <w:pStyle w:val="ListParagraph"/>
        <w:ind w:left="709" w:firstLine="0"/>
        <w:rPr>
          <w:rFonts w:eastAsia="MS Mincho"/>
        </w:rPr>
      </w:pPr>
      <w:r>
        <w:rPr>
          <w:rFonts w:eastAsia="MS Mincho"/>
          <w:b/>
          <w:bCs/>
        </w:rPr>
        <w:t>integral antenna base station</w:t>
      </w:r>
      <w:r>
        <w:rPr>
          <w:rFonts w:eastAsia="MS Mincho"/>
        </w:rPr>
        <w:t>: Base station with integral antenna, and antenna is portion of the RF unit. For this type of base station, antenna port and the enclosure ports are equivalent.</w:t>
      </w:r>
    </w:p>
    <w:p w14:paraId="59C21B7D" w14:textId="75233540" w:rsidR="00CB4F2C" w:rsidRDefault="00CB4F2C" w:rsidP="00E04D36">
      <w:pPr>
        <w:pStyle w:val="ListParagraph"/>
        <w:ind w:left="709" w:firstLine="0"/>
        <w:rPr>
          <w:rFonts w:eastAsia="MS Mincho"/>
          <w:lang w:val="en-US" w:eastAsia="zh-CN"/>
        </w:rPr>
      </w:pPr>
      <w:r>
        <w:rPr>
          <w:rFonts w:eastAsia="MS Mincho"/>
          <w:b/>
          <w:bCs/>
          <w:lang w:val="en-US" w:eastAsia="zh-CN"/>
        </w:rPr>
        <w:t xml:space="preserve">OTA AAS BS: </w:t>
      </w:r>
      <w:r>
        <w:rPr>
          <w:rFonts w:eastAsia="MS Mincho"/>
          <w:lang w:val="en-US" w:eastAsia="zh-CN"/>
        </w:rPr>
        <w:t xml:space="preserve">AAS BS </w:t>
      </w:r>
      <w:r>
        <w:rPr>
          <w:rFonts w:eastAsia="MS Mincho"/>
        </w:rPr>
        <w:t>which</w:t>
      </w:r>
      <w:r>
        <w:rPr>
          <w:rFonts w:eastAsia="MS Mincho"/>
          <w:lang w:val="en-US" w:eastAsia="zh-CN"/>
        </w:rPr>
        <w:t xml:space="preserve"> has </w:t>
      </w:r>
      <w:r>
        <w:rPr>
          <w:rFonts w:eastAsia="T10" w:hint="eastAsia"/>
          <w:lang w:val="en-US" w:eastAsia="zh-CN"/>
        </w:rPr>
        <w:t>≥</w:t>
      </w:r>
      <w:r>
        <w:rPr>
          <w:rFonts w:eastAsia="T10"/>
          <w:lang w:val="en-US" w:eastAsia="zh-CN"/>
        </w:rPr>
        <w:t xml:space="preserve"> </w:t>
      </w:r>
      <w:r>
        <w:rPr>
          <w:rFonts w:eastAsia="MS Mincho"/>
          <w:lang w:val="en-US" w:eastAsia="zh-CN"/>
        </w:rPr>
        <w:t xml:space="preserve">8 transceiver units for E-UTRA, NR or MSR and </w:t>
      </w:r>
      <w:r>
        <w:rPr>
          <w:rFonts w:eastAsia="T10" w:hint="eastAsia"/>
          <w:lang w:val="en-US" w:eastAsia="zh-CN"/>
        </w:rPr>
        <w:t>≥</w:t>
      </w:r>
      <w:r>
        <w:rPr>
          <w:rFonts w:eastAsia="T10"/>
          <w:lang w:val="en-US" w:eastAsia="zh-CN"/>
        </w:rPr>
        <w:t xml:space="preserve"> </w:t>
      </w:r>
      <w:r>
        <w:rPr>
          <w:rFonts w:eastAsia="MS Mincho"/>
          <w:lang w:val="en-US" w:eastAsia="zh-CN"/>
        </w:rPr>
        <w:t>4 transceiver units for UTRA</w:t>
      </w:r>
      <w:r>
        <w:rPr>
          <w:rFonts w:eastAsia="SimSun"/>
          <w:lang w:val="en-US" w:eastAsia="zh-CN"/>
        </w:rPr>
        <w:t xml:space="preserve"> </w:t>
      </w:r>
      <w:r>
        <w:rPr>
          <w:rFonts w:eastAsia="MS Mincho"/>
          <w:lang w:val="en-US" w:eastAsia="zh-CN"/>
        </w:rPr>
        <w:t>per cell and has a radiated RF interface only and conforms to the OTA requirements set.</w:t>
      </w:r>
    </w:p>
    <w:p w14:paraId="6FA8D041" w14:textId="3E3CF493" w:rsidR="000843EE" w:rsidRPr="00E04D36" w:rsidRDefault="00CB4F2C" w:rsidP="00E04D36">
      <w:pPr>
        <w:pStyle w:val="Note"/>
        <w:ind w:left="709"/>
        <w:rPr>
          <w:u w:val="single"/>
        </w:rPr>
      </w:pPr>
      <w:r w:rsidRPr="00CB4F2C">
        <w:rPr>
          <w:color w:val="000000"/>
          <w:u w:val="single"/>
        </w:rPr>
        <w:t xml:space="preserve">SG2 would like to propose to SG5 </w:t>
      </w:r>
      <w:r w:rsidRPr="00CB4F2C">
        <w:rPr>
          <w:bCs/>
          <w:u w:val="single"/>
          <w:lang w:val="en-US" w:eastAsia="zh-CN"/>
        </w:rPr>
        <w:t>to</w:t>
      </w:r>
      <w:r w:rsidRPr="00CB4F2C">
        <w:rPr>
          <w:rFonts w:hint="eastAsia"/>
          <w:bCs/>
          <w:u w:val="single"/>
          <w:lang w:val="en-US" w:eastAsia="zh-CN"/>
        </w:rPr>
        <w:t xml:space="preserve"> </w:t>
      </w:r>
      <w:r w:rsidRPr="00CB4F2C">
        <w:rPr>
          <w:bCs/>
          <w:u w:val="single"/>
          <w:lang w:val="en-US" w:eastAsia="zh-CN"/>
        </w:rPr>
        <w:t>a</w:t>
      </w:r>
      <w:r w:rsidRPr="00CB4F2C">
        <w:rPr>
          <w:rFonts w:hint="eastAsia"/>
          <w:bCs/>
          <w:u w:val="single"/>
          <w:lang w:val="en-US" w:eastAsia="zh-CN"/>
        </w:rPr>
        <w:t>void using abbreviations without explanation in a term definition</w:t>
      </w:r>
      <w:r w:rsidRPr="00CB4F2C">
        <w:rPr>
          <w:bCs/>
          <w:u w:val="single"/>
          <w:lang w:val="en-US" w:eastAsia="zh-CN"/>
        </w:rPr>
        <w:t xml:space="preserve"> (EM, OTA, AAS</w:t>
      </w:r>
      <w:r w:rsidR="009C667A">
        <w:rPr>
          <w:bCs/>
          <w:u w:val="single"/>
          <w:lang w:val="en-US" w:eastAsia="zh-CN"/>
        </w:rPr>
        <w:t>,</w:t>
      </w:r>
      <w:r w:rsidRPr="00CB4F2C">
        <w:rPr>
          <w:bCs/>
          <w:u w:val="single"/>
          <w:lang w:val="en-US" w:eastAsia="zh-CN"/>
        </w:rPr>
        <w:t xml:space="preserve"> and so on) and try to develop one</w:t>
      </w:r>
      <w:r w:rsidR="009C667A">
        <w:rPr>
          <w:bCs/>
          <w:u w:val="single"/>
          <w:lang w:val="en-US" w:eastAsia="zh-CN"/>
        </w:rPr>
        <w:noBreakHyphen/>
      </w:r>
      <w:r w:rsidRPr="00CB4F2C">
        <w:rPr>
          <w:bCs/>
          <w:u w:val="single"/>
          <w:lang w:val="en-US" w:eastAsia="zh-CN"/>
        </w:rPr>
        <w:t>sentence definition</w:t>
      </w:r>
      <w:r w:rsidR="009C667A">
        <w:rPr>
          <w:bCs/>
          <w:u w:val="single"/>
          <w:lang w:val="en-US" w:eastAsia="zh-CN"/>
        </w:rPr>
        <w:t>s</w:t>
      </w:r>
      <w:r w:rsidRPr="00CB4F2C">
        <w:rPr>
          <w:bCs/>
          <w:u w:val="single"/>
          <w:lang w:val="en-US" w:eastAsia="zh-CN"/>
        </w:rPr>
        <w:t xml:space="preserve"> </w:t>
      </w:r>
      <w:r w:rsidRPr="00CB4F2C">
        <w:rPr>
          <w:rStyle w:val="Bold"/>
          <w:b w:val="0"/>
          <w:u w:val="single"/>
        </w:rPr>
        <w:t xml:space="preserve">in accordance with </w:t>
      </w:r>
      <w:r w:rsidR="009C667A">
        <w:rPr>
          <w:rStyle w:val="Bold"/>
          <w:b w:val="0"/>
          <w:u w:val="single"/>
        </w:rPr>
        <w:t xml:space="preserve">the </w:t>
      </w:r>
      <w:r w:rsidRPr="00CB4F2C">
        <w:rPr>
          <w:rStyle w:val="Bold"/>
          <w:b w:val="0"/>
          <w:u w:val="single"/>
        </w:rPr>
        <w:t>Author’s Guide</w:t>
      </w:r>
      <w:r w:rsidR="009C667A">
        <w:rPr>
          <w:rStyle w:val="Bold"/>
          <w:b w:val="0"/>
          <w:u w:val="single"/>
        </w:rPr>
        <w:t>.</w:t>
      </w:r>
    </w:p>
    <w:p w14:paraId="08095638" w14:textId="79382A07" w:rsidR="000843EE" w:rsidRPr="007E4840" w:rsidRDefault="000843EE" w:rsidP="009C667A">
      <w:pPr>
        <w:keepNext/>
        <w:keepLines/>
        <w:numPr>
          <w:ilvl w:val="0"/>
          <w:numId w:val="1"/>
        </w:numPr>
        <w:tabs>
          <w:tab w:val="left" w:pos="1560"/>
          <w:tab w:val="left" w:pos="1588"/>
          <w:tab w:val="left" w:pos="1985"/>
        </w:tabs>
        <w:overflowPunct w:val="0"/>
        <w:ind w:left="709" w:hanging="709"/>
        <w:jc w:val="both"/>
      </w:pPr>
      <w:r>
        <w:rPr>
          <w:color w:val="000000"/>
        </w:rPr>
        <w:lastRenderedPageBreak/>
        <w:t xml:space="preserve">SG2 considered terms and definitions from </w:t>
      </w:r>
      <w:r>
        <w:rPr>
          <w:b/>
          <w:bCs/>
          <w:color w:val="000000"/>
        </w:rPr>
        <w:t>SG11</w:t>
      </w:r>
      <w:r w:rsidR="00BB051C">
        <w:rPr>
          <w:color w:val="000000"/>
        </w:rPr>
        <w:t>:</w:t>
      </w:r>
    </w:p>
    <w:p w14:paraId="7AFD9ADA" w14:textId="77777777" w:rsidR="000843EE" w:rsidRDefault="000843EE" w:rsidP="009C667A">
      <w:pPr>
        <w:pStyle w:val="ListParagraph"/>
        <w:keepNext/>
        <w:keepLines/>
        <w:ind w:left="709" w:firstLine="0"/>
        <w:jc w:val="both"/>
      </w:pPr>
      <w:r>
        <w:rPr>
          <w:rStyle w:val="Bold"/>
        </w:rPr>
        <w:t xml:space="preserve">calling line identification certificate (CLIC): </w:t>
      </w:r>
      <w:r>
        <w:t>a public certificate issued by CA is used to prove the originating local exchange owns the calling party number.</w:t>
      </w:r>
    </w:p>
    <w:p w14:paraId="73DF640F" w14:textId="3883BAA5" w:rsidR="000843EE" w:rsidRDefault="000843EE" w:rsidP="00E04D36">
      <w:pPr>
        <w:pStyle w:val="ListParagraph"/>
        <w:ind w:left="709" w:firstLine="0"/>
        <w:jc w:val="both"/>
        <w:rPr>
          <w:rStyle w:val="Bold"/>
          <w:b w:val="0"/>
        </w:rPr>
      </w:pPr>
      <w:r w:rsidRPr="000843EE">
        <w:rPr>
          <w:color w:val="000000"/>
          <w:u w:val="single"/>
        </w:rPr>
        <w:t xml:space="preserve">SG2 would like to propose </w:t>
      </w:r>
      <w:r w:rsidRPr="000843EE">
        <w:rPr>
          <w:rStyle w:val="Bold"/>
          <w:b w:val="0"/>
          <w:u w:val="single"/>
        </w:rPr>
        <w:t>not to use abbreviations</w:t>
      </w:r>
      <w:r w:rsidR="00CB4F2C">
        <w:rPr>
          <w:rStyle w:val="Bold"/>
          <w:b w:val="0"/>
          <w:u w:val="single"/>
        </w:rPr>
        <w:t xml:space="preserve"> </w:t>
      </w:r>
      <w:r w:rsidR="00CB4F2C" w:rsidRPr="00CB4F2C">
        <w:rPr>
          <w:rFonts w:hint="eastAsia"/>
          <w:bCs/>
          <w:u w:val="single"/>
          <w:lang w:val="en-US" w:eastAsia="zh-CN"/>
        </w:rPr>
        <w:t>without explanation</w:t>
      </w:r>
      <w:r w:rsidRPr="000843EE">
        <w:rPr>
          <w:rStyle w:val="Bold"/>
          <w:b w:val="0"/>
          <w:u w:val="single"/>
        </w:rPr>
        <w:t xml:space="preserve"> in the definition in accordance with</w:t>
      </w:r>
      <w:r w:rsidR="00BB051C">
        <w:rPr>
          <w:rStyle w:val="Bold"/>
          <w:b w:val="0"/>
          <w:u w:val="single"/>
        </w:rPr>
        <w:t xml:space="preserve"> the</w:t>
      </w:r>
      <w:r w:rsidRPr="000843EE">
        <w:rPr>
          <w:rStyle w:val="Bold"/>
          <w:b w:val="0"/>
          <w:u w:val="single"/>
        </w:rPr>
        <w:t xml:space="preserve"> Author’s Guide</w:t>
      </w:r>
      <w:r>
        <w:rPr>
          <w:rStyle w:val="Bold"/>
          <w:b w:val="0"/>
        </w:rPr>
        <w:t>.</w:t>
      </w:r>
    </w:p>
    <w:p w14:paraId="7C1F23CF" w14:textId="2DC250EA" w:rsidR="000843EE" w:rsidRPr="007E4840" w:rsidRDefault="000843EE"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SG13</w:t>
      </w:r>
      <w:r w:rsidR="00BB051C">
        <w:rPr>
          <w:color w:val="000000"/>
        </w:rPr>
        <w:t>:</w:t>
      </w:r>
    </w:p>
    <w:p w14:paraId="65092D7A" w14:textId="77777777" w:rsidR="000843EE" w:rsidRDefault="000843EE" w:rsidP="00E04D36">
      <w:pPr>
        <w:pStyle w:val="ListParagraph"/>
        <w:tabs>
          <w:tab w:val="left" w:pos="1588"/>
          <w:tab w:val="left" w:pos="1985"/>
        </w:tabs>
        <w:ind w:left="709" w:firstLine="0"/>
        <w:jc w:val="both"/>
        <w:rPr>
          <w:bCs/>
          <w:lang w:val="en-US" w:eastAsia="zh-CN"/>
        </w:rPr>
      </w:pPr>
      <w:r>
        <w:rPr>
          <w:b/>
          <w:bCs/>
          <w:lang w:val="en-US" w:eastAsia="zh-CN"/>
        </w:rPr>
        <w:t>multi-cloud</w:t>
      </w:r>
      <w:r>
        <w:rPr>
          <w:bCs/>
          <w:lang w:val="en-US" w:eastAsia="zh-CN"/>
        </w:rPr>
        <w:t xml:space="preserve">: Use of cloud services in public cloud from two or more independent </w:t>
      </w:r>
      <w:r>
        <w:rPr>
          <w:rFonts w:hint="eastAsia"/>
          <w:bCs/>
          <w:lang w:val="en-US" w:eastAsia="zh-CN"/>
        </w:rPr>
        <w:t>cloud</w:t>
      </w:r>
      <w:r>
        <w:rPr>
          <w:bCs/>
          <w:lang w:val="en-US" w:eastAsia="zh-CN"/>
        </w:rPr>
        <w:t xml:space="preserve"> </w:t>
      </w:r>
      <w:r>
        <w:rPr>
          <w:rFonts w:hint="eastAsia"/>
          <w:bCs/>
          <w:lang w:val="en-US" w:eastAsia="zh-CN"/>
        </w:rPr>
        <w:t>service</w:t>
      </w:r>
      <w:r>
        <w:rPr>
          <w:bCs/>
          <w:lang w:val="en-US" w:eastAsia="zh-CN"/>
        </w:rPr>
        <w:t xml:space="preserve"> </w:t>
      </w:r>
      <w:r>
        <w:rPr>
          <w:rFonts w:hint="eastAsia"/>
          <w:bCs/>
          <w:lang w:val="en-US" w:eastAsia="zh-CN"/>
        </w:rPr>
        <w:t>providers</w:t>
      </w:r>
      <w:r>
        <w:rPr>
          <w:bCs/>
          <w:lang w:val="en-US" w:eastAsia="zh-CN"/>
        </w:rPr>
        <w:t xml:space="preserve"> at the same time for business. </w:t>
      </w:r>
    </w:p>
    <w:p w14:paraId="2C227F95" w14:textId="77777777" w:rsidR="000843EE" w:rsidRDefault="000843EE" w:rsidP="00E04D36">
      <w:pPr>
        <w:pStyle w:val="ListParagraph"/>
        <w:tabs>
          <w:tab w:val="left" w:pos="1588"/>
          <w:tab w:val="left" w:pos="1985"/>
        </w:tabs>
        <w:ind w:left="709" w:firstLine="0"/>
        <w:jc w:val="both"/>
        <w:rPr>
          <w:bCs/>
          <w:lang w:val="en-US" w:eastAsia="zh-CN"/>
        </w:rPr>
      </w:pPr>
      <w:bookmarkStart w:id="10" w:name="_Hlk71659082"/>
      <w:r>
        <w:rPr>
          <w:bCs/>
          <w:lang w:val="en-US" w:eastAsia="zh-CN"/>
        </w:rPr>
        <w:t>NOTE – Multi-cloud, as known as multi-cloud computing is distinguished from multiple cloud which is an environment involving two or more CSPs.</w:t>
      </w:r>
      <w:bookmarkEnd w:id="10"/>
    </w:p>
    <w:p w14:paraId="42853DF0" w14:textId="0EE2C93C"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color w:val="000000"/>
          <w:u w:val="single"/>
        </w:rPr>
        <w:t xml:space="preserve">SG2 would like to propose to SG13 </w:t>
      </w:r>
      <w:r w:rsidRPr="000843EE">
        <w:rPr>
          <w:bCs/>
          <w:u w:val="single"/>
          <w:lang w:val="en-US" w:eastAsia="zh-CN"/>
        </w:rPr>
        <w:t>to</w:t>
      </w:r>
      <w:r w:rsidRPr="000843EE">
        <w:rPr>
          <w:rFonts w:hint="eastAsia"/>
          <w:bCs/>
          <w:u w:val="single"/>
          <w:lang w:val="en-US" w:eastAsia="zh-CN"/>
        </w:rPr>
        <w:t xml:space="preserve"> </w:t>
      </w:r>
      <w:r w:rsidRPr="000843EE">
        <w:rPr>
          <w:bCs/>
          <w:u w:val="single"/>
          <w:lang w:val="en-US" w:eastAsia="zh-CN"/>
        </w:rPr>
        <w:t>a</w:t>
      </w:r>
      <w:r w:rsidRPr="000843EE">
        <w:rPr>
          <w:rFonts w:hint="eastAsia"/>
          <w:bCs/>
          <w:u w:val="single"/>
          <w:lang w:val="en-US" w:eastAsia="zh-CN"/>
        </w:rPr>
        <w:t>void using abbreviations without explanation in a term definition (CSP in this case).</w:t>
      </w:r>
    </w:p>
    <w:p w14:paraId="0CA5EC9E" w14:textId="77777777" w:rsidR="000843EE" w:rsidRDefault="000843EE" w:rsidP="00E04D36">
      <w:pPr>
        <w:pStyle w:val="ListParagraph"/>
        <w:tabs>
          <w:tab w:val="left" w:pos="1588"/>
          <w:tab w:val="left" w:pos="1985"/>
        </w:tabs>
        <w:ind w:left="709" w:firstLine="0"/>
        <w:jc w:val="both"/>
        <w:rPr>
          <w:bCs/>
          <w:lang w:val="en-US" w:eastAsia="zh-CN"/>
        </w:rPr>
      </w:pPr>
      <w:r w:rsidRPr="000843EE">
        <w:rPr>
          <w:rFonts w:hint="eastAsia"/>
          <w:bCs/>
          <w:u w:val="single"/>
          <w:lang w:val="en-US" w:eastAsia="zh-CN"/>
        </w:rPr>
        <w:t xml:space="preserve">Suggested changes </w:t>
      </w:r>
      <w:proofErr w:type="gramStart"/>
      <w:r w:rsidRPr="000843EE">
        <w:rPr>
          <w:rFonts w:hint="eastAsia"/>
          <w:bCs/>
          <w:u w:val="single"/>
          <w:lang w:val="en-US" w:eastAsia="zh-CN"/>
        </w:rPr>
        <w:t>are:</w:t>
      </w:r>
      <w:proofErr w:type="gramEnd"/>
      <w:r w:rsidRPr="000843EE">
        <w:rPr>
          <w:rFonts w:hint="eastAsia"/>
          <w:bCs/>
          <w:u w:val="single"/>
          <w:lang w:val="en-US" w:eastAsia="zh-CN"/>
        </w:rPr>
        <w:t xml:space="preserve"> </w:t>
      </w:r>
      <w:r w:rsidRPr="000843EE">
        <w:rPr>
          <w:b/>
          <w:bCs/>
          <w:u w:val="single"/>
          <w:lang w:val="en-US" w:eastAsia="zh-CN"/>
        </w:rPr>
        <w:t>multi-cloud</w:t>
      </w:r>
      <w:r w:rsidRPr="000843EE">
        <w:rPr>
          <w:bCs/>
          <w:u w:val="single"/>
          <w:lang w:val="en-US" w:eastAsia="zh-CN"/>
        </w:rPr>
        <w:t xml:space="preserve">: Use of cloud services in public cloud from two or more independent </w:t>
      </w:r>
      <w:r w:rsidRPr="000843EE">
        <w:rPr>
          <w:rFonts w:hint="eastAsia"/>
          <w:bCs/>
          <w:u w:val="single"/>
          <w:lang w:val="en-US" w:eastAsia="zh-CN"/>
        </w:rPr>
        <w:t>cloud</w:t>
      </w:r>
      <w:r w:rsidRPr="000843EE">
        <w:rPr>
          <w:bCs/>
          <w:u w:val="single"/>
          <w:lang w:val="en-US" w:eastAsia="zh-CN"/>
        </w:rPr>
        <w:t xml:space="preserve"> </w:t>
      </w:r>
      <w:r w:rsidRPr="000843EE">
        <w:rPr>
          <w:rFonts w:hint="eastAsia"/>
          <w:bCs/>
          <w:u w:val="single"/>
          <w:lang w:val="en-US" w:eastAsia="zh-CN"/>
        </w:rPr>
        <w:t>service</w:t>
      </w:r>
      <w:r w:rsidRPr="000843EE">
        <w:rPr>
          <w:bCs/>
          <w:u w:val="single"/>
          <w:lang w:val="en-US" w:eastAsia="zh-CN"/>
        </w:rPr>
        <w:t xml:space="preserve"> </w:t>
      </w:r>
      <w:r w:rsidRPr="000843EE">
        <w:rPr>
          <w:rFonts w:hint="eastAsia"/>
          <w:bCs/>
          <w:u w:val="single"/>
          <w:lang w:val="en-US" w:eastAsia="zh-CN"/>
        </w:rPr>
        <w:t>providers (CSPs)</w:t>
      </w:r>
      <w:r w:rsidRPr="000843EE">
        <w:rPr>
          <w:bCs/>
          <w:u w:val="single"/>
          <w:lang w:val="en-US" w:eastAsia="zh-CN"/>
        </w:rPr>
        <w:t xml:space="preserve"> at the same time for business</w:t>
      </w:r>
      <w:r>
        <w:rPr>
          <w:bCs/>
          <w:lang w:val="en-US" w:eastAsia="zh-CN"/>
        </w:rPr>
        <w:t>.</w:t>
      </w:r>
    </w:p>
    <w:p w14:paraId="0F630F46" w14:textId="77777777" w:rsidR="000843EE" w:rsidRDefault="000843EE" w:rsidP="00E04D36">
      <w:pPr>
        <w:pStyle w:val="ListParagraph"/>
        <w:tabs>
          <w:tab w:val="left" w:pos="1588"/>
          <w:tab w:val="left" w:pos="1985"/>
        </w:tabs>
        <w:ind w:left="709" w:firstLine="0"/>
        <w:jc w:val="both"/>
      </w:pPr>
      <w:r>
        <w:rPr>
          <w:b/>
          <w:color w:val="000000" w:themeColor="text1"/>
        </w:rPr>
        <w:t>evaluation ML pipeline:</w:t>
      </w:r>
      <w:r>
        <w:t xml:space="preserve"> chaining of pipeline nodes and simulated network functions (NFs) with served ML models whose goal is to evaluate a particular ML use case.</w:t>
      </w:r>
    </w:p>
    <w:p w14:paraId="664DA76D" w14:textId="21D18073"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color w:val="000000"/>
          <w:u w:val="single"/>
        </w:rPr>
        <w:t xml:space="preserve">SG2 would like to propose to SG13 </w:t>
      </w:r>
      <w:r w:rsidRPr="000843EE">
        <w:rPr>
          <w:bCs/>
          <w:u w:val="single"/>
          <w:lang w:val="en-US" w:eastAsia="zh-CN"/>
        </w:rPr>
        <w:t>to</w:t>
      </w:r>
      <w:r w:rsidRPr="000843EE">
        <w:rPr>
          <w:rFonts w:hint="eastAsia"/>
          <w:bCs/>
          <w:u w:val="single"/>
          <w:lang w:val="en-US" w:eastAsia="zh-CN"/>
        </w:rPr>
        <w:t xml:space="preserve"> </w:t>
      </w:r>
      <w:r w:rsidRPr="000843EE">
        <w:rPr>
          <w:bCs/>
          <w:u w:val="single"/>
          <w:lang w:val="en-US" w:eastAsia="zh-CN"/>
        </w:rPr>
        <w:t>a</w:t>
      </w:r>
      <w:r w:rsidRPr="000843EE">
        <w:rPr>
          <w:rFonts w:hint="eastAsia"/>
          <w:bCs/>
          <w:u w:val="single"/>
          <w:lang w:val="en-US" w:eastAsia="zh-CN"/>
        </w:rPr>
        <w:t>void using abbreviations without explanation in a term definition (ML in this case).</w:t>
      </w:r>
    </w:p>
    <w:p w14:paraId="4C1CE6E0" w14:textId="1DB9BD28"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rFonts w:hint="eastAsia"/>
          <w:bCs/>
          <w:u w:val="single"/>
          <w:lang w:val="en-US" w:eastAsia="zh-CN"/>
        </w:rPr>
        <w:t xml:space="preserve">Suggested changes </w:t>
      </w:r>
      <w:proofErr w:type="gramStart"/>
      <w:r w:rsidRPr="000843EE">
        <w:rPr>
          <w:rFonts w:hint="eastAsia"/>
          <w:bCs/>
          <w:u w:val="single"/>
          <w:lang w:val="en-US" w:eastAsia="zh-CN"/>
        </w:rPr>
        <w:t>are:</w:t>
      </w:r>
      <w:proofErr w:type="gramEnd"/>
      <w:r w:rsidRPr="000843EE">
        <w:rPr>
          <w:rFonts w:hint="eastAsia"/>
          <w:bCs/>
          <w:u w:val="single"/>
          <w:lang w:val="en-US" w:eastAsia="zh-CN"/>
        </w:rPr>
        <w:t xml:space="preserve"> </w:t>
      </w:r>
      <w:r w:rsidR="003F0E60" w:rsidRPr="003F0E60">
        <w:rPr>
          <w:b/>
          <w:color w:val="000000" w:themeColor="text1"/>
          <w:u w:val="single"/>
        </w:rPr>
        <w:t xml:space="preserve">evaluation </w:t>
      </w:r>
      <w:r w:rsidRPr="003F0E60">
        <w:rPr>
          <w:b/>
          <w:color w:val="000000" w:themeColor="text1"/>
          <w:u w:val="single"/>
        </w:rPr>
        <w:t>ML pipeline</w:t>
      </w:r>
      <w:r w:rsidRPr="000843EE">
        <w:rPr>
          <w:b/>
          <w:color w:val="000000" w:themeColor="text1"/>
          <w:u w:val="single"/>
        </w:rPr>
        <w:t>:</w:t>
      </w:r>
      <w:r w:rsidRPr="000843EE">
        <w:rPr>
          <w:u w:val="single"/>
        </w:rPr>
        <w:t xml:space="preserve"> chaining of pipeline nodes and simulated network functions (NFs) with served </w:t>
      </w:r>
      <w:r w:rsidRPr="000843EE">
        <w:rPr>
          <w:rFonts w:eastAsia="SimSun" w:hint="eastAsia"/>
          <w:u w:val="single"/>
          <w:lang w:val="en-US" w:eastAsia="zh-CN"/>
        </w:rPr>
        <w:t>machine learning (</w:t>
      </w:r>
      <w:r w:rsidRPr="000843EE">
        <w:rPr>
          <w:u w:val="single"/>
        </w:rPr>
        <w:t>ML</w:t>
      </w:r>
      <w:r w:rsidRPr="000843EE">
        <w:rPr>
          <w:rFonts w:eastAsia="SimSun" w:hint="eastAsia"/>
          <w:u w:val="single"/>
          <w:lang w:val="en-US" w:eastAsia="zh-CN"/>
        </w:rPr>
        <w:t>)</w:t>
      </w:r>
      <w:r w:rsidRPr="000843EE">
        <w:rPr>
          <w:u w:val="single"/>
        </w:rPr>
        <w:t xml:space="preserve"> models whose goal is to evaluate a particular ML use case.</w:t>
      </w:r>
    </w:p>
    <w:p w14:paraId="0BD1F6E5" w14:textId="77777777" w:rsidR="000843EE" w:rsidRDefault="000843EE" w:rsidP="00E04D36">
      <w:pPr>
        <w:pStyle w:val="ListParagraph"/>
        <w:tabs>
          <w:tab w:val="left" w:pos="1588"/>
          <w:tab w:val="left" w:pos="1985"/>
        </w:tabs>
        <w:ind w:left="709" w:firstLine="0"/>
        <w:jc w:val="both"/>
      </w:pPr>
      <w:r w:rsidRPr="000843EE">
        <w:rPr>
          <w:szCs w:val="20"/>
          <w:u w:val="single"/>
        </w:rPr>
        <w:t xml:space="preserve">Without explaining the term “pipeline” itself, it is recommended to refer to the definition of the artificial intelligence pipeline in [ITU-T </w:t>
      </w:r>
      <w:r w:rsidRPr="000843EE">
        <w:rPr>
          <w:u w:val="single"/>
        </w:rPr>
        <w:t>M</w:t>
      </w:r>
      <w:r w:rsidRPr="000843EE">
        <w:rPr>
          <w:szCs w:val="20"/>
          <w:u w:val="single"/>
        </w:rPr>
        <w:t>.3080] and modify the pipeline nodes to logical nodes</w:t>
      </w:r>
      <w:r w:rsidRPr="0089642D">
        <w:rPr>
          <w:szCs w:val="20"/>
        </w:rPr>
        <w:t>.</w:t>
      </w:r>
    </w:p>
    <w:p w14:paraId="10F968AA" w14:textId="276132BA" w:rsidR="000843EE" w:rsidRDefault="000843EE" w:rsidP="00E04D36">
      <w:pPr>
        <w:pStyle w:val="ListParagraph"/>
        <w:tabs>
          <w:tab w:val="left" w:pos="1588"/>
          <w:tab w:val="left" w:pos="1985"/>
        </w:tabs>
        <w:ind w:left="709" w:firstLine="0"/>
        <w:jc w:val="both"/>
        <w:rPr>
          <w:color w:val="000000" w:themeColor="text1"/>
        </w:rPr>
      </w:pPr>
      <w:r>
        <w:rPr>
          <w:b/>
          <w:color w:val="000000" w:themeColor="text1"/>
        </w:rPr>
        <w:t xml:space="preserve">simulation component metadata: </w:t>
      </w:r>
      <w:r>
        <w:rPr>
          <w:color w:val="000000" w:themeColor="text1"/>
        </w:rPr>
        <w:t xml:space="preserve">data describing the characteristics of a particular simulation component. </w:t>
      </w:r>
    </w:p>
    <w:p w14:paraId="4B310172" w14:textId="77777777" w:rsidR="000843EE" w:rsidRDefault="000843EE" w:rsidP="00E04D36">
      <w:pPr>
        <w:pStyle w:val="ListParagraph"/>
        <w:tabs>
          <w:tab w:val="left" w:pos="1588"/>
          <w:tab w:val="left" w:pos="1985"/>
        </w:tabs>
        <w:ind w:left="709" w:firstLine="0"/>
        <w:jc w:val="both"/>
        <w:rPr>
          <w:color w:val="000000" w:themeColor="text1"/>
        </w:rPr>
      </w:pPr>
      <w:r>
        <w:rPr>
          <w:color w:val="000000" w:themeColor="text1"/>
        </w:rPr>
        <w:t>NOTE – Examples of simulation component metadata are capabilities of simulated NFs, configurable parameters, performance indicators, monitored parameters and interfaces.</w:t>
      </w:r>
    </w:p>
    <w:p w14:paraId="32115B64" w14:textId="6B96863D"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color w:val="000000"/>
          <w:u w:val="single"/>
        </w:rPr>
        <w:t xml:space="preserve">SG2 would like to propose to SG13 </w:t>
      </w:r>
      <w:r w:rsidRPr="000843EE">
        <w:rPr>
          <w:bCs/>
          <w:u w:val="single"/>
          <w:lang w:val="en-US" w:eastAsia="zh-CN"/>
        </w:rPr>
        <w:t>to</w:t>
      </w:r>
      <w:r w:rsidRPr="000843EE">
        <w:rPr>
          <w:rFonts w:hint="eastAsia"/>
          <w:bCs/>
          <w:u w:val="single"/>
          <w:lang w:val="en-US" w:eastAsia="zh-CN"/>
        </w:rPr>
        <w:t xml:space="preserve"> </w:t>
      </w:r>
      <w:r w:rsidRPr="000843EE">
        <w:rPr>
          <w:bCs/>
          <w:u w:val="single"/>
          <w:lang w:val="en-US" w:eastAsia="zh-CN"/>
        </w:rPr>
        <w:t>a</w:t>
      </w:r>
      <w:r w:rsidRPr="000843EE">
        <w:rPr>
          <w:rFonts w:hint="eastAsia"/>
          <w:bCs/>
          <w:u w:val="single"/>
          <w:lang w:val="en-US" w:eastAsia="zh-CN"/>
        </w:rPr>
        <w:t>void using abbreviations without explanation in a term definition (NF in this case).</w:t>
      </w:r>
    </w:p>
    <w:p w14:paraId="5EEBD129" w14:textId="3B64DC38" w:rsidR="000843EE" w:rsidRPr="000843EE" w:rsidRDefault="000843EE" w:rsidP="00E04D36">
      <w:pPr>
        <w:pStyle w:val="ListParagraph"/>
        <w:tabs>
          <w:tab w:val="left" w:pos="1588"/>
          <w:tab w:val="left" w:pos="1985"/>
        </w:tabs>
        <w:ind w:left="709" w:firstLine="0"/>
        <w:jc w:val="both"/>
        <w:rPr>
          <w:bCs/>
          <w:u w:val="single"/>
          <w:lang w:val="en-US" w:eastAsia="zh-CN"/>
        </w:rPr>
      </w:pPr>
      <w:r w:rsidRPr="000843EE">
        <w:rPr>
          <w:rFonts w:hint="eastAsia"/>
          <w:bCs/>
          <w:u w:val="single"/>
          <w:lang w:val="en-US" w:eastAsia="zh-CN"/>
        </w:rPr>
        <w:t xml:space="preserve">Suggested changes </w:t>
      </w:r>
      <w:proofErr w:type="gramStart"/>
      <w:r w:rsidRPr="000843EE">
        <w:rPr>
          <w:rFonts w:hint="eastAsia"/>
          <w:bCs/>
          <w:u w:val="single"/>
          <w:lang w:val="en-US" w:eastAsia="zh-CN"/>
        </w:rPr>
        <w:t>are:</w:t>
      </w:r>
      <w:proofErr w:type="gramEnd"/>
      <w:r w:rsidRPr="000843EE">
        <w:rPr>
          <w:rFonts w:hint="eastAsia"/>
          <w:bCs/>
          <w:u w:val="single"/>
          <w:lang w:val="en-US" w:eastAsia="zh-CN"/>
        </w:rPr>
        <w:t xml:space="preserve"> </w:t>
      </w:r>
      <w:r w:rsidRPr="000843EE">
        <w:rPr>
          <w:color w:val="000000" w:themeColor="text1"/>
          <w:u w:val="single"/>
        </w:rPr>
        <w:t xml:space="preserve">NOTE – Examples of simulation component metadata are capabilities of simulated </w:t>
      </w:r>
      <w:r w:rsidRPr="000843EE">
        <w:rPr>
          <w:u w:val="single"/>
        </w:rPr>
        <w:t>network functions</w:t>
      </w:r>
      <w:r w:rsidRPr="000843EE">
        <w:rPr>
          <w:rFonts w:eastAsia="SimSun" w:hint="eastAsia"/>
          <w:u w:val="single"/>
          <w:lang w:val="en-US" w:eastAsia="zh-CN"/>
        </w:rPr>
        <w:t xml:space="preserve"> (</w:t>
      </w:r>
      <w:r w:rsidRPr="000843EE">
        <w:rPr>
          <w:color w:val="000000" w:themeColor="text1"/>
          <w:u w:val="single"/>
        </w:rPr>
        <w:t>NFs</w:t>
      </w:r>
      <w:r w:rsidRPr="000843EE">
        <w:rPr>
          <w:rFonts w:eastAsia="SimSun" w:hint="eastAsia"/>
          <w:color w:val="000000" w:themeColor="text1"/>
          <w:u w:val="single"/>
          <w:lang w:val="en-US" w:eastAsia="zh-CN"/>
        </w:rPr>
        <w:t>)</w:t>
      </w:r>
      <w:r w:rsidRPr="000843EE">
        <w:rPr>
          <w:color w:val="000000" w:themeColor="text1"/>
          <w:u w:val="single"/>
        </w:rPr>
        <w:t>, configurable parameters, performance indicators, monitored parameters and interfaces</w:t>
      </w:r>
      <w:r w:rsidRPr="000843EE">
        <w:rPr>
          <w:u w:val="single"/>
        </w:rPr>
        <w:t>.</w:t>
      </w:r>
    </w:p>
    <w:p w14:paraId="17C3F6D3" w14:textId="77777777" w:rsidR="000843EE" w:rsidRPr="000843EE" w:rsidRDefault="000843EE" w:rsidP="00E04D36">
      <w:pPr>
        <w:pStyle w:val="ListParagraph"/>
        <w:tabs>
          <w:tab w:val="left" w:pos="1588"/>
          <w:tab w:val="left" w:pos="1985"/>
        </w:tabs>
        <w:ind w:left="709" w:firstLine="0"/>
        <w:jc w:val="both"/>
        <w:rPr>
          <w:color w:val="000000" w:themeColor="text1"/>
          <w:u w:val="single"/>
        </w:rPr>
      </w:pPr>
      <w:r w:rsidRPr="000843EE">
        <w:rPr>
          <w:color w:val="000000" w:themeColor="text1"/>
          <w:szCs w:val="20"/>
          <w:u w:val="single"/>
        </w:rPr>
        <w:t>The concept or meaning of “simulation component” is not explained and the term cannot be explained by itself</w:t>
      </w:r>
      <w:r w:rsidRPr="000843EE">
        <w:rPr>
          <w:color w:val="000000" w:themeColor="text1"/>
          <w:u w:val="single"/>
        </w:rPr>
        <w:t>.</w:t>
      </w:r>
    </w:p>
    <w:p w14:paraId="53E0C9D4" w14:textId="56E3D000" w:rsidR="000843EE" w:rsidRDefault="000843EE" w:rsidP="00E04D36">
      <w:pPr>
        <w:pStyle w:val="ListParagraph"/>
        <w:tabs>
          <w:tab w:val="left" w:pos="1588"/>
          <w:tab w:val="left" w:pos="1985"/>
        </w:tabs>
        <w:ind w:left="709" w:firstLine="0"/>
        <w:jc w:val="both"/>
        <w:rPr>
          <w:color w:val="000000" w:themeColor="text1"/>
        </w:rPr>
      </w:pPr>
      <w:r>
        <w:rPr>
          <w:b/>
          <w:color w:val="000000" w:themeColor="text1"/>
        </w:rPr>
        <w:t xml:space="preserve">simulation environment metadata: </w:t>
      </w:r>
      <w:r>
        <w:rPr>
          <w:color w:val="000000" w:themeColor="text1"/>
        </w:rPr>
        <w:t xml:space="preserve">data describing the characteristics of a particular simulation environment. </w:t>
      </w:r>
    </w:p>
    <w:p w14:paraId="71ABA74C" w14:textId="77777777" w:rsidR="000843EE" w:rsidRDefault="000843EE" w:rsidP="00E04D36">
      <w:pPr>
        <w:pStyle w:val="ListParagraph"/>
        <w:tabs>
          <w:tab w:val="left" w:pos="1588"/>
          <w:tab w:val="left" w:pos="1985"/>
        </w:tabs>
        <w:ind w:left="709" w:firstLine="0"/>
        <w:jc w:val="both"/>
        <w:rPr>
          <w:color w:val="000000" w:themeColor="text1"/>
        </w:rPr>
      </w:pPr>
      <w:r>
        <w:rPr>
          <w:color w:val="000000" w:themeColor="text1"/>
        </w:rPr>
        <w:t>NOTE 1 – Simulation environment metadata can contain information such as installation/execution requirements, simulation component metadata, performance indicators, connections, and maturity indicators (e.g., alpha/beta versions).</w:t>
      </w:r>
    </w:p>
    <w:p w14:paraId="613E1448" w14:textId="77777777" w:rsidR="000843EE" w:rsidRDefault="000843EE" w:rsidP="00E04D36">
      <w:pPr>
        <w:pStyle w:val="ListParagraph"/>
        <w:tabs>
          <w:tab w:val="left" w:pos="1588"/>
          <w:tab w:val="left" w:pos="1985"/>
        </w:tabs>
        <w:ind w:left="709" w:firstLine="0"/>
        <w:jc w:val="both"/>
        <w:rPr>
          <w:color w:val="000000" w:themeColor="text1"/>
        </w:rPr>
      </w:pPr>
      <w:r>
        <w:rPr>
          <w:color w:val="000000" w:themeColor="text1"/>
        </w:rPr>
        <w:t>NOTE 2 – Examples of format for representing simulation environment metadata are JavaScript object notation (JSON) [b-JSON], comma-separated values (CSV) [b-CSV], or extensible markup language (XML) [b-XML].</w:t>
      </w:r>
    </w:p>
    <w:p w14:paraId="3A4A3072" w14:textId="737A9A03" w:rsidR="000843EE" w:rsidRPr="00BB051C" w:rsidRDefault="008B1FAD" w:rsidP="00BB051C">
      <w:pPr>
        <w:pStyle w:val="ListParagraph"/>
        <w:tabs>
          <w:tab w:val="left" w:pos="1588"/>
          <w:tab w:val="left" w:pos="1985"/>
        </w:tabs>
        <w:ind w:left="709" w:firstLine="0"/>
        <w:jc w:val="both"/>
        <w:rPr>
          <w:color w:val="000000" w:themeColor="text1"/>
        </w:rPr>
      </w:pPr>
      <w:r w:rsidRPr="008B1FAD">
        <w:rPr>
          <w:color w:val="000000" w:themeColor="text1"/>
          <w:u w:val="single"/>
        </w:rPr>
        <w:lastRenderedPageBreak/>
        <w:t xml:space="preserve">SG2 </w:t>
      </w:r>
      <w:r w:rsidR="000843EE" w:rsidRPr="008B1FAD">
        <w:rPr>
          <w:color w:val="000000" w:themeColor="text1"/>
          <w:u w:val="single"/>
        </w:rPr>
        <w:t xml:space="preserve">agreed that the </w:t>
      </w:r>
      <w:r w:rsidR="000843EE" w:rsidRPr="008B1FAD">
        <w:rPr>
          <w:color w:val="000000" w:themeColor="text1"/>
          <w:szCs w:val="20"/>
          <w:u w:val="single"/>
        </w:rPr>
        <w:t xml:space="preserve">concept or meaning of “simulation </w:t>
      </w:r>
      <w:r w:rsidR="000843EE" w:rsidRPr="008B1FAD">
        <w:rPr>
          <w:color w:val="000000" w:themeColor="text1"/>
          <w:u w:val="single"/>
        </w:rPr>
        <w:t>environment</w:t>
      </w:r>
      <w:r w:rsidR="000843EE" w:rsidRPr="008B1FAD">
        <w:rPr>
          <w:color w:val="000000" w:themeColor="text1"/>
          <w:szCs w:val="20"/>
          <w:u w:val="single"/>
        </w:rPr>
        <w:t>” is not explained and the term cannot be explained by itself</w:t>
      </w:r>
      <w:r w:rsidR="000843EE">
        <w:rPr>
          <w:color w:val="000000" w:themeColor="text1"/>
        </w:rPr>
        <w:t>.</w:t>
      </w:r>
    </w:p>
    <w:p w14:paraId="60063EDC" w14:textId="672FDE34" w:rsidR="006D6898" w:rsidRPr="007E4840" w:rsidRDefault="006D6898"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SG16</w:t>
      </w:r>
      <w:r w:rsidR="00BB051C">
        <w:rPr>
          <w:color w:val="000000"/>
        </w:rPr>
        <w:t>:</w:t>
      </w:r>
    </w:p>
    <w:p w14:paraId="6AA667A5" w14:textId="77777777" w:rsidR="006D6898" w:rsidRDefault="006D6898" w:rsidP="00E04D36">
      <w:pPr>
        <w:pStyle w:val="ListParagraph"/>
        <w:ind w:left="709" w:firstLine="0"/>
        <w:rPr>
          <w:rFonts w:asciiTheme="majorBidi" w:hAnsiTheme="majorBidi" w:cstheme="majorBidi"/>
        </w:rPr>
      </w:pPr>
      <w:r>
        <w:rPr>
          <w:rFonts w:asciiTheme="majorBidi" w:hAnsiTheme="majorBidi" w:cstheme="majorBidi"/>
          <w:b/>
          <w:bCs/>
        </w:rPr>
        <w:t>over-the-top (OTT)</w:t>
      </w:r>
      <w:r>
        <w:rPr>
          <w:rFonts w:asciiTheme="majorBidi" w:hAnsiTheme="majorBidi" w:cstheme="majorBidi"/>
        </w:rPr>
        <w:t>: An application accessed and delivered over the public Internet that may be a direct technical/functional substitute for traditional international telecommunication services.</w:t>
      </w:r>
    </w:p>
    <w:p w14:paraId="0CE30A19" w14:textId="77777777" w:rsidR="006D6898" w:rsidRDefault="006D6898" w:rsidP="00E04D36">
      <w:pPr>
        <w:pStyle w:val="Note"/>
        <w:ind w:left="709"/>
      </w:pPr>
      <w:r>
        <w:t>NOTE – The definition of OTT is a matter of national sovereignty and may vary among Member States.</w:t>
      </w:r>
    </w:p>
    <w:p w14:paraId="7D071CCC" w14:textId="77777777" w:rsidR="006D6898" w:rsidRDefault="006D6898" w:rsidP="00E04D36">
      <w:pPr>
        <w:pStyle w:val="Note"/>
        <w:ind w:left="709"/>
      </w:pPr>
      <w:r w:rsidRPr="007E4840">
        <w:rPr>
          <w:color w:val="000000"/>
          <w:u w:val="single"/>
        </w:rPr>
        <w:t xml:space="preserve">SG2 would like to propose to SG16 </w:t>
      </w:r>
      <w:r w:rsidRPr="007E4840">
        <w:rPr>
          <w:u w:val="single"/>
        </w:rPr>
        <w:t xml:space="preserve">to change in this definition wording </w:t>
      </w:r>
      <w:r>
        <w:rPr>
          <w:u w:val="single"/>
        </w:rPr>
        <w:t>“</w:t>
      </w:r>
      <w:r w:rsidRPr="007E4840">
        <w:rPr>
          <w:u w:val="single"/>
        </w:rPr>
        <w:t>Public Internet</w:t>
      </w:r>
      <w:r>
        <w:rPr>
          <w:u w:val="single"/>
        </w:rPr>
        <w:t>”</w:t>
      </w:r>
      <w:r w:rsidRPr="007E4840">
        <w:rPr>
          <w:u w:val="single"/>
        </w:rPr>
        <w:t xml:space="preserve"> to </w:t>
      </w:r>
      <w:r>
        <w:rPr>
          <w:u w:val="single"/>
        </w:rPr>
        <w:t>“</w:t>
      </w:r>
      <w:r w:rsidRPr="007E4840">
        <w:rPr>
          <w:u w:val="single"/>
        </w:rPr>
        <w:t>IP (Internet Protocol)</w:t>
      </w:r>
      <w:r>
        <w:rPr>
          <w:u w:val="single"/>
        </w:rPr>
        <w:t>”</w:t>
      </w:r>
      <w:r w:rsidRPr="007E4840">
        <w:rPr>
          <w:u w:val="single"/>
        </w:rPr>
        <w:t xml:space="preserve"> to be more precise and correct</w:t>
      </w:r>
      <w:r>
        <w:t>.</w:t>
      </w:r>
    </w:p>
    <w:p w14:paraId="14E8B566" w14:textId="77777777" w:rsidR="006D6898" w:rsidRDefault="006D6898" w:rsidP="00E04D36">
      <w:pPr>
        <w:pStyle w:val="ListParagraph"/>
        <w:ind w:left="709" w:firstLine="0"/>
      </w:pPr>
      <w:bookmarkStart w:id="11" w:name="_Toc112772919"/>
      <w:r w:rsidRPr="008B1FAD">
        <w:rPr>
          <w:b/>
        </w:rPr>
        <w:t xml:space="preserve">Smartphone </w:t>
      </w:r>
      <w:r w:rsidRPr="008B1FAD">
        <w:rPr>
          <w:rFonts w:asciiTheme="majorBidi" w:hAnsiTheme="majorBidi" w:cstheme="majorBidi"/>
          <w:b/>
          <w:bCs/>
        </w:rPr>
        <w:t>Infotainment</w:t>
      </w:r>
      <w:r w:rsidRPr="008B1FAD">
        <w:rPr>
          <w:b/>
        </w:rPr>
        <w:t xml:space="preserve"> Assistant</w:t>
      </w:r>
      <w:r>
        <w:t>:</w:t>
      </w:r>
      <w:bookmarkEnd w:id="11"/>
      <w:r>
        <w:t xml:space="preserve"> A Smartphone Infotainment Assistant is an application allowing to combine smartphone and vehicle resources and utilize them within the car infotainment system, thus allowing usage of some smartphone functionalities with the vehicle HMI, by the driver, while keeping attention to the driving task, avoiding thus distraction</w:t>
      </w:r>
    </w:p>
    <w:p w14:paraId="3E83C420" w14:textId="77777777" w:rsidR="006D6898" w:rsidRDefault="006D6898" w:rsidP="00E04D36">
      <w:pPr>
        <w:pStyle w:val="ListParagraph"/>
        <w:ind w:left="709" w:firstLine="0"/>
      </w:pPr>
      <w:bookmarkStart w:id="12" w:name="_Toc112772920"/>
      <w:r w:rsidRPr="008B1FAD">
        <w:rPr>
          <w:rFonts w:asciiTheme="majorBidi" w:hAnsiTheme="majorBidi" w:cstheme="majorBidi"/>
          <w:b/>
          <w:bCs/>
        </w:rPr>
        <w:t>HF processing SW Module:</w:t>
      </w:r>
      <w:bookmarkEnd w:id="12"/>
      <w:r>
        <w:rPr>
          <w:rFonts w:asciiTheme="majorBidi" w:hAnsiTheme="majorBidi" w:cstheme="majorBidi"/>
          <w:b/>
          <w:bCs/>
        </w:rPr>
        <w:t xml:space="preserve"> </w:t>
      </w:r>
      <w:r>
        <w:t>Hands Free proce</w:t>
      </w:r>
      <w:r>
        <w:rPr>
          <w:bCs/>
        </w:rPr>
        <w:t xml:space="preserve">ssing Software Module, including </w:t>
      </w:r>
      <w:r>
        <w:t>digital signal processing algorithms for speech signal enhancement,</w:t>
      </w:r>
      <w:r>
        <w:rPr>
          <w:bCs/>
        </w:rPr>
        <w:t xml:space="preserve"> </w:t>
      </w:r>
      <w:r>
        <w:t>like for instance: Echo Cancelling, Echo Suppression, Equalisation, Dynamic Range Compression, Limiters, No</w:t>
      </w:r>
      <w:r>
        <w:rPr>
          <w:bCs/>
        </w:rPr>
        <w:t xml:space="preserve">ise Reduction, Beamforming, Comfort Noise injection </w:t>
      </w:r>
      <w:r>
        <w:t>…</w:t>
      </w:r>
    </w:p>
    <w:p w14:paraId="6007D0B2" w14:textId="77777777" w:rsidR="006D6898" w:rsidRDefault="006D6898" w:rsidP="00E04D36">
      <w:pPr>
        <w:pStyle w:val="ListParagraph"/>
        <w:ind w:left="709" w:firstLine="0"/>
      </w:pPr>
      <w:bookmarkStart w:id="13" w:name="_Toc112772921"/>
      <w:r w:rsidRPr="008B1FAD">
        <w:rPr>
          <w:rFonts w:asciiTheme="majorBidi" w:hAnsiTheme="majorBidi" w:cstheme="majorBidi"/>
          <w:b/>
          <w:bCs/>
        </w:rPr>
        <w:t>T-Box (Telematics-Box):</w:t>
      </w:r>
      <w:bookmarkEnd w:id="13"/>
      <w:r>
        <w:rPr>
          <w:rFonts w:asciiTheme="majorBidi" w:hAnsiTheme="majorBidi" w:cstheme="majorBidi"/>
          <w:b/>
          <w:bCs/>
        </w:rPr>
        <w:t xml:space="preserve"> </w:t>
      </w:r>
      <w:r>
        <w:t>Is a functional unit in the vehicle responsible for the remote connection of the different vehicle functions, including multimedia, through WAN or LAN</w:t>
      </w:r>
    </w:p>
    <w:p w14:paraId="26DE2B09" w14:textId="195C0921" w:rsidR="006D6898" w:rsidRDefault="006D6898" w:rsidP="00E04D36">
      <w:pPr>
        <w:pStyle w:val="Note"/>
        <w:ind w:left="709"/>
      </w:pPr>
      <w:r w:rsidRPr="000843EE">
        <w:rPr>
          <w:color w:val="000000"/>
          <w:u w:val="single"/>
        </w:rPr>
        <w:t xml:space="preserve">SG2 would like to propose to SG16 </w:t>
      </w:r>
      <w:r w:rsidRPr="000843EE">
        <w:rPr>
          <w:rStyle w:val="Bold"/>
          <w:b w:val="0"/>
          <w:u w:val="single"/>
        </w:rPr>
        <w:t xml:space="preserve">not to use abbreviations </w:t>
      </w:r>
      <w:r w:rsidRPr="00CB4F2C">
        <w:rPr>
          <w:rFonts w:hint="eastAsia"/>
          <w:bCs/>
          <w:u w:val="single"/>
          <w:lang w:val="en-US" w:eastAsia="zh-CN"/>
        </w:rPr>
        <w:t xml:space="preserve">without explanation </w:t>
      </w:r>
      <w:r w:rsidRPr="000843EE">
        <w:rPr>
          <w:rStyle w:val="Bold"/>
          <w:b w:val="0"/>
          <w:u w:val="single"/>
        </w:rPr>
        <w:t xml:space="preserve">in the definition in accordance with </w:t>
      </w:r>
      <w:r w:rsidR="00BB051C">
        <w:rPr>
          <w:rStyle w:val="Bold"/>
          <w:b w:val="0"/>
          <w:u w:val="single"/>
        </w:rPr>
        <w:t xml:space="preserve">the </w:t>
      </w:r>
      <w:r w:rsidRPr="000843EE">
        <w:rPr>
          <w:rStyle w:val="Bold"/>
          <w:b w:val="0"/>
          <w:u w:val="single"/>
        </w:rPr>
        <w:t>Author’s Guide</w:t>
      </w:r>
    </w:p>
    <w:p w14:paraId="6493E475" w14:textId="0F163F8F" w:rsidR="006D6898" w:rsidRPr="007E4840" w:rsidRDefault="006D6898"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FG-AN</w:t>
      </w:r>
      <w:r w:rsidR="00BB051C">
        <w:rPr>
          <w:color w:val="000000"/>
        </w:rPr>
        <w:t>:</w:t>
      </w:r>
    </w:p>
    <w:p w14:paraId="18B03FA4" w14:textId="77777777" w:rsidR="006D6898" w:rsidRDefault="006D6898" w:rsidP="00E04D36">
      <w:pPr>
        <w:pStyle w:val="ListParagraph"/>
        <w:ind w:left="709" w:firstLine="0"/>
      </w:pPr>
      <w:r>
        <w:rPr>
          <w:b/>
          <w:bCs/>
          <w:sz w:val="23"/>
          <w:szCs w:val="23"/>
          <w:lang w:val="en-US"/>
        </w:rPr>
        <w:t xml:space="preserve">AN Sandbox: </w:t>
      </w:r>
      <w:r>
        <w:rPr>
          <w:sz w:val="23"/>
          <w:szCs w:val="23"/>
          <w:lang w:val="en-US"/>
        </w:rPr>
        <w:t xml:space="preserve">An environment in which controllers can be deployed, experimentally validated with the help of (domain specific) </w:t>
      </w:r>
      <w:r>
        <w:t xml:space="preserve">models of underlays, and their effects upon an underlay evaluated, without affecting the underlay. </w:t>
      </w:r>
    </w:p>
    <w:p w14:paraId="3C86269C" w14:textId="77777777" w:rsidR="006D6898" w:rsidRDefault="006D6898" w:rsidP="00E04D36">
      <w:pPr>
        <w:pStyle w:val="ListParagraph"/>
        <w:ind w:left="709" w:firstLine="0"/>
      </w:pPr>
      <w:r>
        <w:t xml:space="preserve">NOTE 1- AN Sandbox generates reports regarding the experimental validation of controllers. These reports are collated by the Experimentation controller and the Knowledge Base is updated. </w:t>
      </w:r>
    </w:p>
    <w:p w14:paraId="0183F2B6" w14:textId="77777777" w:rsidR="006D6898" w:rsidRDefault="006D6898" w:rsidP="00E04D36">
      <w:pPr>
        <w:pStyle w:val="ListParagraph"/>
        <w:ind w:left="709" w:firstLine="0"/>
        <w:rPr>
          <w:sz w:val="23"/>
          <w:szCs w:val="23"/>
          <w:lang w:val="en-US"/>
        </w:rPr>
      </w:pPr>
      <w:r>
        <w:t>NOTE 2- The domain specific models of underlays are generated using inputs from underlays. These inputs are used in configuring simulators</w:t>
      </w:r>
      <w:r>
        <w:rPr>
          <w:sz w:val="23"/>
          <w:szCs w:val="23"/>
          <w:lang w:val="en-US"/>
        </w:rPr>
        <w:t xml:space="preserve"> in AN Sandbox. For </w:t>
      </w:r>
      <w:proofErr w:type="gramStart"/>
      <w:r>
        <w:rPr>
          <w:sz w:val="23"/>
          <w:szCs w:val="23"/>
          <w:lang w:val="en-US"/>
        </w:rPr>
        <w:t>example</w:t>
      </w:r>
      <w:proofErr w:type="gramEnd"/>
      <w:r>
        <w:rPr>
          <w:sz w:val="23"/>
          <w:szCs w:val="23"/>
          <w:lang w:val="en-US"/>
        </w:rPr>
        <w:t xml:space="preserve"> the packets per second to be used to simulate a real world scenario. In addition, AN Sandbox simulates scenarios which are rarely or never seen in underlays. For </w:t>
      </w:r>
      <w:proofErr w:type="gramStart"/>
      <w:r>
        <w:rPr>
          <w:sz w:val="23"/>
          <w:szCs w:val="23"/>
          <w:lang w:val="en-US"/>
        </w:rPr>
        <w:t>example</w:t>
      </w:r>
      <w:proofErr w:type="gramEnd"/>
      <w:r>
        <w:rPr>
          <w:sz w:val="23"/>
          <w:szCs w:val="23"/>
          <w:lang w:val="en-US"/>
        </w:rPr>
        <w:t xml:space="preserve"> a burst of traffic which rarely occurs in real network. </w:t>
      </w:r>
    </w:p>
    <w:p w14:paraId="3E02E0E5" w14:textId="77777777" w:rsidR="006D6898" w:rsidRDefault="006D6898" w:rsidP="00E04D36">
      <w:pPr>
        <w:pStyle w:val="ListParagraph"/>
        <w:ind w:left="709" w:firstLine="0"/>
        <w:rPr>
          <w:sz w:val="23"/>
          <w:szCs w:val="23"/>
          <w:lang w:val="en-US"/>
        </w:rPr>
      </w:pPr>
      <w:r>
        <w:rPr>
          <w:b/>
          <w:bCs/>
          <w:sz w:val="23"/>
          <w:szCs w:val="23"/>
          <w:lang w:val="en-US"/>
        </w:rPr>
        <w:t xml:space="preserve">Knowledge base: </w:t>
      </w:r>
      <w:r>
        <w:rPr>
          <w:sz w:val="23"/>
          <w:szCs w:val="23"/>
          <w:lang w:val="en-US"/>
        </w:rPr>
        <w:t xml:space="preserve">A subsystem which manages storage, querying, export, import and optimization and update knowledge, including that derived from different sources including structured or unstructured data from various components or other subsystems. </w:t>
      </w:r>
    </w:p>
    <w:p w14:paraId="0F7A948D" w14:textId="77777777" w:rsidR="006D6898" w:rsidRDefault="006D6898" w:rsidP="00E04D36">
      <w:pPr>
        <w:pStyle w:val="ListParagraph"/>
        <w:ind w:left="709" w:firstLine="0"/>
        <w:rPr>
          <w:sz w:val="23"/>
          <w:szCs w:val="23"/>
          <w:lang w:val="en-US"/>
        </w:rPr>
      </w:pPr>
      <w:r>
        <w:rPr>
          <w:sz w:val="23"/>
          <w:szCs w:val="23"/>
          <w:lang w:val="en-US"/>
        </w:rPr>
        <w:t xml:space="preserve">NOTE 1- Knowledge includes metadata which is derived from the capabilities, status of AN components. This knowledge is stored and exchanged as part of interactions of AN </w:t>
      </w:r>
      <w:proofErr w:type="gramStart"/>
      <w:r>
        <w:rPr>
          <w:sz w:val="23"/>
          <w:szCs w:val="23"/>
          <w:lang w:val="en-US"/>
        </w:rPr>
        <w:t>components</w:t>
      </w:r>
      <w:proofErr w:type="gramEnd"/>
      <w:r>
        <w:rPr>
          <w:sz w:val="23"/>
          <w:szCs w:val="23"/>
          <w:lang w:val="en-US"/>
        </w:rPr>
        <w:t xml:space="preserve"> with knowledge base. Knowledge can be derived from different sources including structured or unstructured data from various actors involved in a use case and/or various experiments in AN Sandbox. </w:t>
      </w:r>
    </w:p>
    <w:p w14:paraId="6CA19E9E" w14:textId="77777777" w:rsidR="006D6898" w:rsidRDefault="006D6898" w:rsidP="00E04D36">
      <w:pPr>
        <w:pStyle w:val="ListParagraph"/>
        <w:ind w:left="709" w:firstLine="0"/>
        <w:rPr>
          <w:sz w:val="23"/>
          <w:szCs w:val="23"/>
          <w:lang w:val="en-US"/>
        </w:rPr>
      </w:pPr>
      <w:r>
        <w:rPr>
          <w:sz w:val="23"/>
          <w:szCs w:val="23"/>
          <w:lang w:val="en-US"/>
        </w:rPr>
        <w:t xml:space="preserve">NOTE 2 – managing knowledge includes storing, querying, export, import and optimize the knowledge. AN </w:t>
      </w:r>
      <w:proofErr w:type="gramStart"/>
      <w:r>
        <w:rPr>
          <w:sz w:val="23"/>
          <w:szCs w:val="23"/>
          <w:lang w:val="en-US"/>
        </w:rPr>
        <w:t>workflows</w:t>
      </w:r>
      <w:proofErr w:type="gramEnd"/>
      <w:r>
        <w:rPr>
          <w:sz w:val="23"/>
          <w:szCs w:val="23"/>
          <w:lang w:val="en-US"/>
        </w:rPr>
        <w:t xml:space="preserve">, including exchange of knowledge between AN components, may in turn result in update of knowledge base. </w:t>
      </w:r>
    </w:p>
    <w:p w14:paraId="0F4EF27C" w14:textId="77777777" w:rsidR="006D6898" w:rsidRDefault="006D6898" w:rsidP="00E04D36">
      <w:pPr>
        <w:pStyle w:val="ListParagraph"/>
        <w:ind w:left="709" w:firstLine="0"/>
        <w:rPr>
          <w:sz w:val="23"/>
          <w:szCs w:val="23"/>
          <w:lang w:val="en-US"/>
        </w:rPr>
      </w:pPr>
      <w:r>
        <w:rPr>
          <w:sz w:val="23"/>
          <w:szCs w:val="23"/>
          <w:lang w:val="en-US"/>
        </w:rPr>
        <w:lastRenderedPageBreak/>
        <w:t xml:space="preserve">NOTE 3 – Uses of knowledge stored in knowledge base by other components include to facilitate the deployment and management of controllers in underlays, and selection and optimization of experimentation strategies in the experimentation stage. </w:t>
      </w:r>
    </w:p>
    <w:p w14:paraId="78B9AEFB" w14:textId="5C234081" w:rsidR="006D6898" w:rsidRPr="00E04D36" w:rsidRDefault="006D6898" w:rsidP="00E04D36">
      <w:pPr>
        <w:pStyle w:val="Note"/>
        <w:ind w:left="709"/>
      </w:pPr>
      <w:r w:rsidRPr="000843EE">
        <w:rPr>
          <w:color w:val="000000"/>
          <w:u w:val="single"/>
        </w:rPr>
        <w:t xml:space="preserve">SG2 would like to propose to </w:t>
      </w:r>
      <w:r>
        <w:rPr>
          <w:color w:val="000000"/>
          <w:u w:val="single"/>
        </w:rPr>
        <w:t>FG-AN</w:t>
      </w:r>
      <w:r w:rsidRPr="000843EE">
        <w:rPr>
          <w:color w:val="000000"/>
          <w:u w:val="single"/>
        </w:rPr>
        <w:t xml:space="preserve"> </w:t>
      </w:r>
      <w:r w:rsidRPr="000843EE">
        <w:rPr>
          <w:rStyle w:val="Bold"/>
          <w:b w:val="0"/>
          <w:u w:val="single"/>
        </w:rPr>
        <w:t xml:space="preserve">not to use abbreviations </w:t>
      </w:r>
      <w:r w:rsidRPr="00CB4F2C">
        <w:rPr>
          <w:rFonts w:hint="eastAsia"/>
          <w:bCs/>
          <w:u w:val="single"/>
          <w:lang w:val="en-US" w:eastAsia="zh-CN"/>
        </w:rPr>
        <w:t xml:space="preserve">without explanation </w:t>
      </w:r>
      <w:r w:rsidRPr="000843EE">
        <w:rPr>
          <w:rStyle w:val="Bold"/>
          <w:b w:val="0"/>
          <w:u w:val="single"/>
        </w:rPr>
        <w:t xml:space="preserve">in the definition </w:t>
      </w:r>
      <w:r>
        <w:rPr>
          <w:rStyle w:val="Bold"/>
          <w:b w:val="0"/>
          <w:u w:val="single"/>
        </w:rPr>
        <w:t xml:space="preserve">(AN in these cases) </w:t>
      </w:r>
      <w:r w:rsidRPr="000843EE">
        <w:rPr>
          <w:rStyle w:val="Bold"/>
          <w:b w:val="0"/>
          <w:u w:val="single"/>
        </w:rPr>
        <w:t>in accordance with Author’s Guide</w:t>
      </w:r>
    </w:p>
    <w:p w14:paraId="067ADDE1" w14:textId="77777777" w:rsidR="006D6898" w:rsidRDefault="006D6898" w:rsidP="00E04D36">
      <w:pPr>
        <w:pStyle w:val="ListParagraph"/>
        <w:ind w:left="709" w:firstLine="0"/>
        <w:rPr>
          <w:sz w:val="23"/>
          <w:szCs w:val="23"/>
          <w:lang w:val="en-US"/>
        </w:rPr>
      </w:pPr>
      <w:r>
        <w:rPr>
          <w:b/>
          <w:bCs/>
          <w:sz w:val="23"/>
          <w:szCs w:val="23"/>
          <w:lang w:val="en-US"/>
        </w:rPr>
        <w:t xml:space="preserve">Autonomy Engine: </w:t>
      </w:r>
      <w:r>
        <w:rPr>
          <w:sz w:val="23"/>
          <w:szCs w:val="23"/>
          <w:lang w:val="en-US"/>
        </w:rPr>
        <w:t xml:space="preserve">A </w:t>
      </w:r>
      <w:r>
        <w:t>collection</w:t>
      </w:r>
      <w:r>
        <w:rPr>
          <w:sz w:val="23"/>
          <w:szCs w:val="23"/>
          <w:lang w:val="en-US"/>
        </w:rPr>
        <w:t xml:space="preserve"> of subsystems where trial and error process </w:t>
      </w:r>
      <w:proofErr w:type="gramStart"/>
      <w:r>
        <w:rPr>
          <w:sz w:val="23"/>
          <w:szCs w:val="23"/>
          <w:lang w:val="en-US"/>
        </w:rPr>
        <w:t>is</w:t>
      </w:r>
      <w:proofErr w:type="gramEnd"/>
      <w:r>
        <w:rPr>
          <w:sz w:val="23"/>
          <w:szCs w:val="23"/>
          <w:lang w:val="en-US"/>
        </w:rPr>
        <w:t xml:space="preserve"> applied on controllers to generate new candidate controllers and validate them. </w:t>
      </w:r>
    </w:p>
    <w:p w14:paraId="329EBC9B" w14:textId="77777777" w:rsidR="006D6898" w:rsidRDefault="006D6898" w:rsidP="00E04D36">
      <w:pPr>
        <w:pStyle w:val="ListParagraph"/>
        <w:ind w:left="709" w:firstLine="0"/>
        <w:rPr>
          <w:sz w:val="23"/>
          <w:szCs w:val="23"/>
          <w:lang w:val="en-US"/>
        </w:rPr>
      </w:pPr>
      <w:r>
        <w:rPr>
          <w:sz w:val="23"/>
          <w:szCs w:val="23"/>
          <w:lang w:val="en-US"/>
        </w:rPr>
        <w:t xml:space="preserve">NOTE – For example, the grouping of the evolutionary exploration subsystem and the real-time responsive online experimentation subsystem together forms Autonomy Engine. </w:t>
      </w:r>
    </w:p>
    <w:p w14:paraId="0EB6652C" w14:textId="77777777" w:rsidR="006D6898" w:rsidRPr="008B1FAD" w:rsidRDefault="006D6898" w:rsidP="00E04D36">
      <w:pPr>
        <w:pStyle w:val="ListParagraph"/>
        <w:ind w:left="709" w:firstLine="0"/>
        <w:rPr>
          <w:sz w:val="23"/>
          <w:szCs w:val="23"/>
          <w:u w:val="single"/>
          <w:lang w:val="en-US"/>
        </w:rPr>
      </w:pPr>
      <w:r w:rsidRPr="008B1FAD">
        <w:rPr>
          <w:color w:val="000000"/>
          <w:u w:val="single"/>
        </w:rPr>
        <w:t xml:space="preserve">SG2 would like to inform FG-AN </w:t>
      </w:r>
      <w:r w:rsidRPr="008B1FAD">
        <w:rPr>
          <w:sz w:val="23"/>
          <w:szCs w:val="23"/>
          <w:u w:val="single"/>
          <w:lang w:val="en-US"/>
        </w:rPr>
        <w:t>that the explanation of the “engine” differs from that of the “artificial intelligence engine” in [ITU-T M.3080], and it is recommended to refer to the existing definition of the “artificial intelligence engine”, which can be explained to “the realization and mechanization”.</w:t>
      </w:r>
    </w:p>
    <w:p w14:paraId="3BF3560C" w14:textId="73A4DC3C" w:rsidR="006D6898" w:rsidRPr="007E4840" w:rsidRDefault="006D6898" w:rsidP="00E04D36">
      <w:pPr>
        <w:numPr>
          <w:ilvl w:val="0"/>
          <w:numId w:val="1"/>
        </w:numPr>
        <w:tabs>
          <w:tab w:val="left" w:pos="1560"/>
          <w:tab w:val="left" w:pos="1588"/>
          <w:tab w:val="left" w:pos="1985"/>
        </w:tabs>
        <w:overflowPunct w:val="0"/>
        <w:ind w:left="709" w:hanging="709"/>
        <w:jc w:val="both"/>
      </w:pPr>
      <w:r>
        <w:rPr>
          <w:color w:val="000000"/>
        </w:rPr>
        <w:t xml:space="preserve">SG2 considered terms and definitions from </w:t>
      </w:r>
      <w:r>
        <w:rPr>
          <w:b/>
          <w:bCs/>
          <w:color w:val="000000"/>
        </w:rPr>
        <w:t>FG-AI4EE</w:t>
      </w:r>
      <w:r w:rsidR="00BB051C">
        <w:rPr>
          <w:color w:val="000000"/>
        </w:rPr>
        <w:t>:</w:t>
      </w:r>
    </w:p>
    <w:p w14:paraId="0138E028" w14:textId="77777777" w:rsidR="006D6898" w:rsidRDefault="006D6898" w:rsidP="00E04D36">
      <w:pPr>
        <w:pStyle w:val="ListParagraph"/>
        <w:ind w:left="709" w:firstLine="0"/>
      </w:pPr>
      <w:r>
        <w:rPr>
          <w:b/>
          <w:bCs/>
        </w:rPr>
        <w:t>artificial intelligence (AI) and machine learning (ML) input and output</w:t>
      </w:r>
      <w:r>
        <w:t>:</w:t>
      </w:r>
      <w:r>
        <w:rPr>
          <w:b/>
          <w:bCs/>
        </w:rPr>
        <w:t xml:space="preserve"> </w:t>
      </w:r>
      <w:r>
        <w:t>Independent of the definitions of AI and ML, mathematical algorithms can be developed and/or trained on input data in order to provide actionable knowledge.</w:t>
      </w:r>
    </w:p>
    <w:p w14:paraId="7DFC112E" w14:textId="77777777" w:rsidR="006D6898" w:rsidRDefault="006D6898" w:rsidP="00E04D36">
      <w:pPr>
        <w:pStyle w:val="ListParagraph"/>
        <w:ind w:left="709" w:firstLine="0"/>
      </w:pPr>
      <w:r>
        <w:rPr>
          <w:b/>
          <w:bCs/>
        </w:rPr>
        <w:t>input data</w:t>
      </w:r>
      <w:r>
        <w:t>: Can be timeseries of Internet of things (IoT) sensors (temperature, CO</w:t>
      </w:r>
      <w:r>
        <w:rPr>
          <w:vertAlign w:val="subscript"/>
        </w:rPr>
        <w:t>2</w:t>
      </w:r>
      <w:r>
        <w:t xml:space="preserve"> level, humidity, noise, particulate matter (</w:t>
      </w:r>
      <w:proofErr w:type="spellStart"/>
      <w:r>
        <w:t>PMx</w:t>
      </w:r>
      <w:proofErr w:type="spellEnd"/>
      <w:r>
        <w:t>), nitrogen oxides (NOx), sulphur oxides (</w:t>
      </w:r>
      <w:proofErr w:type="spellStart"/>
      <w:r>
        <w:t>SOx</w:t>
      </w:r>
      <w:proofErr w:type="spellEnd"/>
      <w:r>
        <w:t xml:space="preserve">), pressure, power consumption etc.); remote pictures of satellites; video streams of online, </w:t>
      </w:r>
      <w:r>
        <w:rPr>
          <w:lang w:bidi="ar-DZ"/>
        </w:rPr>
        <w:t>closed circuit television</w:t>
      </w:r>
      <w:r>
        <w:t xml:space="preserve"> (CCTV); light detection and ranging (LIDAR) footage; tagged or untagged pictures; handwritten text; structured and unstructured online accessible text; natural language soundtracks of songs; phone calls; home assistant devices; and so on. Most of the input data is </w:t>
      </w:r>
      <w:proofErr w:type="spellStart"/>
      <w:r>
        <w:t>geolocalizable</w:t>
      </w:r>
      <w:proofErr w:type="spellEnd"/>
      <w:r>
        <w:t xml:space="preserve"> with some degree of precision and can thus be displayed and visualized for human inspection.</w:t>
      </w:r>
    </w:p>
    <w:p w14:paraId="4A2C09D2" w14:textId="77777777" w:rsidR="006D6898" w:rsidRDefault="006D6898" w:rsidP="00E04D36">
      <w:pPr>
        <w:pStyle w:val="ListParagraph"/>
        <w:ind w:left="709" w:firstLine="0"/>
      </w:pPr>
      <w:r>
        <w:rPr>
          <w:b/>
          <w:bCs/>
        </w:rPr>
        <w:t>output data</w:t>
      </w:r>
      <w:r>
        <w:t>:</w:t>
      </w:r>
      <w:r>
        <w:rPr>
          <w:b/>
          <w:bCs/>
        </w:rPr>
        <w:t xml:space="preserve"> </w:t>
      </w:r>
      <w:r>
        <w:t xml:space="preserve">The purpose of ML and AI algorithms is to solve complex problems by providing recommendations with uncertainty range and/or actionable information. The recommendations and information are thus the outputs of the algorithms. The outputs can be smoother and filtered timeseries showing short-term and long-term predictions; IoT commands to controllers such as video game controllers or house automation and heating ventilation air conditioning (HVAC); synthetic images, video streams and soundtracks; chess or go game steps; probability contours of sea level rise, deforestation or avalanche; heatmaps of urban heat islands; urban, industrial and traffic pollution prediction, and so on. Most of the output can be </w:t>
      </w:r>
      <w:proofErr w:type="spellStart"/>
      <w:r>
        <w:t>geolocalized</w:t>
      </w:r>
      <w:proofErr w:type="spellEnd"/>
      <w:r>
        <w:t xml:space="preserve"> with some degree of precision.</w:t>
      </w:r>
    </w:p>
    <w:p w14:paraId="1681A943" w14:textId="0FD92BC6" w:rsidR="006D6898" w:rsidRDefault="006D6898" w:rsidP="00E04D36">
      <w:pPr>
        <w:pStyle w:val="ListParagraph"/>
        <w:ind w:left="709" w:firstLine="0"/>
        <w:rPr>
          <w:u w:val="single"/>
          <w:lang w:val="en-US"/>
        </w:rPr>
      </w:pPr>
      <w:r w:rsidRPr="000843EE">
        <w:rPr>
          <w:bCs/>
          <w:u w:val="single"/>
          <w:lang w:val="en-US"/>
        </w:rPr>
        <w:t xml:space="preserve">It was agreed that all </w:t>
      </w:r>
      <w:r w:rsidR="00BB051C">
        <w:rPr>
          <w:bCs/>
          <w:u w:val="single"/>
          <w:lang w:val="en-US"/>
        </w:rPr>
        <w:t>three</w:t>
      </w:r>
      <w:r w:rsidRPr="000843EE">
        <w:rPr>
          <w:bCs/>
          <w:u w:val="single"/>
          <w:lang w:val="en-US"/>
        </w:rPr>
        <w:t xml:space="preserve"> definitions </w:t>
      </w:r>
      <w:r w:rsidR="00BB051C">
        <w:rPr>
          <w:bCs/>
          <w:u w:val="single"/>
          <w:lang w:val="en-US"/>
        </w:rPr>
        <w:t>do</w:t>
      </w:r>
      <w:r w:rsidRPr="000843EE">
        <w:rPr>
          <w:bCs/>
          <w:u w:val="single"/>
          <w:lang w:val="en-US"/>
        </w:rPr>
        <w:t xml:space="preserve"> not comply with ITU-T requirements.</w:t>
      </w:r>
      <w:r>
        <w:rPr>
          <w:b/>
          <w:bCs/>
          <w:lang w:val="en-US"/>
        </w:rPr>
        <w:t xml:space="preserve"> </w:t>
      </w:r>
      <w:r w:rsidRPr="007E4840">
        <w:rPr>
          <w:color w:val="000000"/>
          <w:u w:val="single"/>
        </w:rPr>
        <w:t xml:space="preserve">SG2 would like to </w:t>
      </w:r>
      <w:r>
        <w:rPr>
          <w:color w:val="000000"/>
          <w:u w:val="single"/>
        </w:rPr>
        <w:t>invite</w:t>
      </w:r>
      <w:r w:rsidRPr="007E4840">
        <w:rPr>
          <w:color w:val="000000"/>
          <w:u w:val="single"/>
        </w:rPr>
        <w:t xml:space="preserve"> </w:t>
      </w:r>
      <w:r w:rsidR="00BB051C">
        <w:rPr>
          <w:color w:val="000000"/>
          <w:u w:val="single"/>
        </w:rPr>
        <w:t>ITU-T experts</w:t>
      </w:r>
      <w:r>
        <w:rPr>
          <w:u w:val="single"/>
          <w:lang w:val="en-US"/>
        </w:rPr>
        <w:t xml:space="preserve"> to follow </w:t>
      </w:r>
      <w:r w:rsidR="00BB051C">
        <w:rPr>
          <w:u w:val="single"/>
          <w:lang w:val="en-US"/>
        </w:rPr>
        <w:t xml:space="preserve">the </w:t>
      </w:r>
      <w:r>
        <w:rPr>
          <w:u w:val="single"/>
          <w:lang w:val="en-US"/>
        </w:rPr>
        <w:t>Author’s Guide requirements when dealing with terms and definitions.</w:t>
      </w:r>
    </w:p>
    <w:p w14:paraId="52CA6A15" w14:textId="77777777" w:rsidR="007B1376" w:rsidRPr="006D6898" w:rsidRDefault="007B1376" w:rsidP="007B1376">
      <w:pPr>
        <w:tabs>
          <w:tab w:val="left" w:pos="851"/>
        </w:tabs>
        <w:contextualSpacing/>
        <w:jc w:val="both"/>
        <w:rPr>
          <w:rFonts w:eastAsia="Malgun Gothic"/>
          <w:lang w:val="en-US" w:eastAsia="ko-KR"/>
        </w:rPr>
      </w:pPr>
    </w:p>
    <w:p w14:paraId="56063521" w14:textId="0BF38785" w:rsidR="00206C14" w:rsidRDefault="005C232B" w:rsidP="00206C14">
      <w:pPr>
        <w:tabs>
          <w:tab w:val="left" w:pos="1560"/>
          <w:tab w:val="left" w:pos="1588"/>
          <w:tab w:val="left" w:pos="1985"/>
        </w:tabs>
        <w:overflowPunct w:val="0"/>
        <w:jc w:val="both"/>
        <w:rPr>
          <w:color w:val="000000"/>
        </w:rPr>
      </w:pPr>
      <w:r w:rsidRPr="0071229D">
        <w:t>SG</w:t>
      </w:r>
      <w:r>
        <w:t>2</w:t>
      </w:r>
      <w:r w:rsidRPr="0071229D">
        <w:t xml:space="preserve"> looks forward to collaborating closely with all the relevant parties</w:t>
      </w:r>
      <w:r>
        <w:t>.</w:t>
      </w:r>
    </w:p>
    <w:p w14:paraId="47310D47" w14:textId="77777777" w:rsidR="003B7D26" w:rsidRDefault="003B7D26" w:rsidP="00817F0C">
      <w:pPr>
        <w:jc w:val="center"/>
      </w:pPr>
    </w:p>
    <w:p w14:paraId="3FD731E9" w14:textId="77777777" w:rsidR="00FE3BB1" w:rsidRDefault="001C32D0" w:rsidP="004E557A">
      <w:pPr>
        <w:jc w:val="center"/>
      </w:pPr>
      <w:r>
        <w:t>_______________________</w:t>
      </w:r>
    </w:p>
    <w:sectPr w:rsidR="00FE3BB1" w:rsidSect="009D22A0">
      <w:headerReference w:type="default" r:id="rId13"/>
      <w:pgSz w:w="11906" w:h="16838"/>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3ED4" w14:textId="77777777" w:rsidR="00A309DD" w:rsidRDefault="00A309DD">
      <w:pPr>
        <w:spacing w:before="0"/>
      </w:pPr>
      <w:r>
        <w:separator/>
      </w:r>
    </w:p>
  </w:endnote>
  <w:endnote w:type="continuationSeparator" w:id="0">
    <w:p w14:paraId="5DC1A8EF" w14:textId="77777777" w:rsidR="00A309DD" w:rsidRDefault="00A309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10">
    <w:altName w:val="Microsoft YaHei"/>
    <w:charset w:val="86"/>
    <w:family w:val="swiss"/>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8598" w14:textId="77777777" w:rsidR="00A309DD" w:rsidRDefault="00A309DD">
      <w:pPr>
        <w:spacing w:before="0"/>
      </w:pPr>
      <w:r>
        <w:separator/>
      </w:r>
    </w:p>
  </w:footnote>
  <w:footnote w:type="continuationSeparator" w:id="0">
    <w:p w14:paraId="274E0358" w14:textId="77777777" w:rsidR="00A309DD" w:rsidRDefault="00A309D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C598" w14:textId="6854E3C8" w:rsidR="00E04D36" w:rsidRPr="009D22A0" w:rsidRDefault="009D22A0" w:rsidP="009D22A0">
    <w:pPr>
      <w:pStyle w:val="Header"/>
      <w:rPr>
        <w:sz w:val="18"/>
      </w:rPr>
    </w:pPr>
    <w:r w:rsidRPr="009D22A0">
      <w:rPr>
        <w:sz w:val="18"/>
      </w:rPr>
      <w:t xml:space="preserve">- </w:t>
    </w:r>
    <w:r w:rsidRPr="009D22A0">
      <w:rPr>
        <w:sz w:val="18"/>
      </w:rPr>
      <w:fldChar w:fldCharType="begin"/>
    </w:r>
    <w:r w:rsidRPr="009D22A0">
      <w:rPr>
        <w:sz w:val="18"/>
      </w:rPr>
      <w:instrText xml:space="preserve"> PAGE  \* MERGEFORMAT </w:instrText>
    </w:r>
    <w:r w:rsidRPr="009D22A0">
      <w:rPr>
        <w:sz w:val="18"/>
      </w:rPr>
      <w:fldChar w:fldCharType="separate"/>
    </w:r>
    <w:r w:rsidRPr="009D22A0">
      <w:rPr>
        <w:noProof/>
        <w:sz w:val="18"/>
      </w:rPr>
      <w:t>1</w:t>
    </w:r>
    <w:r w:rsidRPr="009D22A0">
      <w:rPr>
        <w:sz w:val="18"/>
      </w:rPr>
      <w:fldChar w:fldCharType="end"/>
    </w:r>
    <w:r w:rsidRPr="009D22A0">
      <w:rPr>
        <w:sz w:val="18"/>
      </w:rPr>
      <w:t xml:space="preserve"> -</w:t>
    </w:r>
  </w:p>
  <w:p w14:paraId="1BB3533D" w14:textId="06D3B05A" w:rsidR="009D22A0" w:rsidRPr="009D22A0" w:rsidRDefault="009D22A0" w:rsidP="009D22A0">
    <w:pPr>
      <w:pStyle w:val="Header"/>
      <w:spacing w:after="240"/>
      <w:rPr>
        <w:sz w:val="18"/>
      </w:rPr>
    </w:pPr>
    <w:r w:rsidRPr="009D22A0">
      <w:rPr>
        <w:sz w:val="18"/>
      </w:rPr>
      <w:fldChar w:fldCharType="begin"/>
    </w:r>
    <w:r w:rsidRPr="009D22A0">
      <w:rPr>
        <w:sz w:val="18"/>
      </w:rPr>
      <w:instrText xml:space="preserve"> STYLEREF  Docnumber  </w:instrText>
    </w:r>
    <w:r w:rsidRPr="009D22A0">
      <w:rPr>
        <w:sz w:val="18"/>
      </w:rPr>
      <w:fldChar w:fldCharType="separate"/>
    </w:r>
    <w:r w:rsidR="00885052">
      <w:rPr>
        <w:noProof/>
        <w:sz w:val="18"/>
      </w:rPr>
      <w:t>SCV-TD37</w:t>
    </w:r>
    <w:r w:rsidRPr="009D22A0">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206FC"/>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0FA19F6"/>
    <w:multiLevelType w:val="multilevel"/>
    <w:tmpl w:val="60FA19F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3686335">
    <w:abstractNumId w:val="5"/>
  </w:num>
  <w:num w:numId="2" w16cid:durableId="1399400260">
    <w:abstractNumId w:val="11"/>
  </w:num>
  <w:num w:numId="3" w16cid:durableId="1550921122">
    <w:abstractNumId w:val="8"/>
  </w:num>
  <w:num w:numId="4" w16cid:durableId="742459375">
    <w:abstractNumId w:val="2"/>
  </w:num>
  <w:num w:numId="5" w16cid:durableId="1163157114">
    <w:abstractNumId w:val="1"/>
  </w:num>
  <w:num w:numId="6" w16cid:durableId="1150097482">
    <w:abstractNumId w:val="0"/>
  </w:num>
  <w:num w:numId="7" w16cid:durableId="662781547">
    <w:abstractNumId w:val="7"/>
  </w:num>
  <w:num w:numId="8" w16cid:durableId="32317014">
    <w:abstractNumId w:val="10"/>
  </w:num>
  <w:num w:numId="9" w16cid:durableId="1141113793">
    <w:abstractNumId w:val="4"/>
  </w:num>
  <w:num w:numId="10" w16cid:durableId="1809123746">
    <w:abstractNumId w:val="3"/>
  </w:num>
  <w:num w:numId="11" w16cid:durableId="306279264">
    <w:abstractNumId w:val="6"/>
  </w:num>
  <w:num w:numId="12" w16cid:durableId="463038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3BB1"/>
    <w:rsid w:val="00006161"/>
    <w:rsid w:val="000178E5"/>
    <w:rsid w:val="00064C08"/>
    <w:rsid w:val="000843EE"/>
    <w:rsid w:val="000A4878"/>
    <w:rsid w:val="000B2BDA"/>
    <w:rsid w:val="00153A39"/>
    <w:rsid w:val="00163E8D"/>
    <w:rsid w:val="00164489"/>
    <w:rsid w:val="001A5C52"/>
    <w:rsid w:val="001C10D5"/>
    <w:rsid w:val="001C32D0"/>
    <w:rsid w:val="001E23D2"/>
    <w:rsid w:val="00206C14"/>
    <w:rsid w:val="00243391"/>
    <w:rsid w:val="00265C8A"/>
    <w:rsid w:val="00287D07"/>
    <w:rsid w:val="002A018E"/>
    <w:rsid w:val="002B1912"/>
    <w:rsid w:val="00332914"/>
    <w:rsid w:val="00385723"/>
    <w:rsid w:val="003B61C7"/>
    <w:rsid w:val="003B7D26"/>
    <w:rsid w:val="003C0801"/>
    <w:rsid w:val="003C16C2"/>
    <w:rsid w:val="003C7CFC"/>
    <w:rsid w:val="003F0E60"/>
    <w:rsid w:val="004A0968"/>
    <w:rsid w:val="004E557A"/>
    <w:rsid w:val="0052589E"/>
    <w:rsid w:val="0053279E"/>
    <w:rsid w:val="00551CDB"/>
    <w:rsid w:val="0057678C"/>
    <w:rsid w:val="005C232B"/>
    <w:rsid w:val="005C2CDF"/>
    <w:rsid w:val="006B4BA1"/>
    <w:rsid w:val="006C7CA4"/>
    <w:rsid w:val="006D6898"/>
    <w:rsid w:val="00743BC3"/>
    <w:rsid w:val="00765E1E"/>
    <w:rsid w:val="0077283B"/>
    <w:rsid w:val="0078151A"/>
    <w:rsid w:val="00786D7D"/>
    <w:rsid w:val="007A470B"/>
    <w:rsid w:val="007B1376"/>
    <w:rsid w:val="007C39CD"/>
    <w:rsid w:val="007E377A"/>
    <w:rsid w:val="007E4840"/>
    <w:rsid w:val="00800D0F"/>
    <w:rsid w:val="00816504"/>
    <w:rsid w:val="00817F0C"/>
    <w:rsid w:val="00823351"/>
    <w:rsid w:val="0084427D"/>
    <w:rsid w:val="00857A01"/>
    <w:rsid w:val="00864BFE"/>
    <w:rsid w:val="00885052"/>
    <w:rsid w:val="008B1FAD"/>
    <w:rsid w:val="008C6570"/>
    <w:rsid w:val="008C7B4A"/>
    <w:rsid w:val="008D3BC6"/>
    <w:rsid w:val="00904CA3"/>
    <w:rsid w:val="0091254D"/>
    <w:rsid w:val="00931011"/>
    <w:rsid w:val="00936122"/>
    <w:rsid w:val="009505B4"/>
    <w:rsid w:val="00966451"/>
    <w:rsid w:val="009722EF"/>
    <w:rsid w:val="0099486F"/>
    <w:rsid w:val="009B62B4"/>
    <w:rsid w:val="009C667A"/>
    <w:rsid w:val="009D22A0"/>
    <w:rsid w:val="00A309DD"/>
    <w:rsid w:val="00A31ACF"/>
    <w:rsid w:val="00A344D6"/>
    <w:rsid w:val="00A4451D"/>
    <w:rsid w:val="00A95B17"/>
    <w:rsid w:val="00AC41D7"/>
    <w:rsid w:val="00B06023"/>
    <w:rsid w:val="00B218C3"/>
    <w:rsid w:val="00B4539D"/>
    <w:rsid w:val="00B7377B"/>
    <w:rsid w:val="00BB051C"/>
    <w:rsid w:val="00C04A67"/>
    <w:rsid w:val="00C21C0C"/>
    <w:rsid w:val="00C54AD2"/>
    <w:rsid w:val="00C63DF3"/>
    <w:rsid w:val="00C7734B"/>
    <w:rsid w:val="00CB4F2C"/>
    <w:rsid w:val="00CC15A7"/>
    <w:rsid w:val="00CE5801"/>
    <w:rsid w:val="00D13BA2"/>
    <w:rsid w:val="00D3606D"/>
    <w:rsid w:val="00D81E67"/>
    <w:rsid w:val="00D84F2F"/>
    <w:rsid w:val="00DB1FB6"/>
    <w:rsid w:val="00DC0669"/>
    <w:rsid w:val="00DD469B"/>
    <w:rsid w:val="00E04D36"/>
    <w:rsid w:val="00E126ED"/>
    <w:rsid w:val="00E14AC2"/>
    <w:rsid w:val="00E1749B"/>
    <w:rsid w:val="00E37586"/>
    <w:rsid w:val="00E742F6"/>
    <w:rsid w:val="00EC18B3"/>
    <w:rsid w:val="00ED7318"/>
    <w:rsid w:val="00EE1EF2"/>
    <w:rsid w:val="00EE5A5D"/>
    <w:rsid w:val="00EF53E8"/>
    <w:rsid w:val="00F1527F"/>
    <w:rsid w:val="00F21E23"/>
    <w:rsid w:val="00F25755"/>
    <w:rsid w:val="00F67ACB"/>
    <w:rsid w:val="00FA79AA"/>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uiPriority w:val="99"/>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customStyle="1" w:styleId="rynqvb">
    <w:name w:val="rynqvb"/>
    <w:basedOn w:val="DefaultParagraphFont"/>
    <w:rsid w:val="0052589E"/>
  </w:style>
  <w:style w:type="paragraph" w:customStyle="1" w:styleId="Note">
    <w:name w:val="Note"/>
    <w:basedOn w:val="Normal"/>
    <w:qFormat/>
    <w:rsid w:val="007E4840"/>
    <w:pPr>
      <w:tabs>
        <w:tab w:val="left" w:pos="794"/>
        <w:tab w:val="left" w:pos="1191"/>
        <w:tab w:val="left" w:pos="1588"/>
        <w:tab w:val="left" w:pos="1985"/>
      </w:tabs>
      <w:overflowPunct w:val="0"/>
      <w:autoSpaceDE w:val="0"/>
      <w:autoSpaceDN w:val="0"/>
      <w:adjustRightInd w:val="0"/>
      <w:spacing w:before="80"/>
      <w:jc w:val="both"/>
    </w:pPr>
    <w:rPr>
      <w:rFonts w:eastAsia="Times New Roman"/>
      <w:sz w:val="22"/>
      <w:szCs w:val="20"/>
      <w:lang w:eastAsia="en-US"/>
    </w:rPr>
  </w:style>
  <w:style w:type="character" w:customStyle="1" w:styleId="Bold">
    <w:name w:val="Bold"/>
    <w:basedOn w:val="DefaultParagraphFont"/>
    <w:qFormat/>
    <w:rsid w:val="000843EE"/>
    <w:rPr>
      <w:b/>
    </w:rPr>
  </w:style>
  <w:style w:type="paragraph" w:customStyle="1" w:styleId="TSBHeaderQuestion">
    <w:name w:val="TSBHeaderQuestion"/>
    <w:basedOn w:val="Normal"/>
    <w:qFormat/>
    <w:rsid w:val="00E04D36"/>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E04D36"/>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E04D36"/>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E04D36"/>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E04D36"/>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styleId="UnresolvedMention">
    <w:name w:val="Unresolved Mention"/>
    <w:basedOn w:val="DefaultParagraphFont"/>
    <w:uiPriority w:val="99"/>
    <w:semiHidden/>
    <w:unhideWhenUsed/>
    <w:rsid w:val="00E0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herkesov@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217819A7-D0FA-4F84-829F-8CE4B53ACE9C}"/>
</file>

<file path=customXml/itemProps4.xml><?xml version="1.0" encoding="utf-8"?>
<ds:datastoreItem xmlns:ds="http://schemas.openxmlformats.org/officeDocument/2006/customXml" ds:itemID="{FF55208B-DAB8-4819-ADA6-93373960A277}"/>
</file>

<file path=docProps/app.xml><?xml version="1.0" encoding="utf-8"?>
<Properties xmlns="http://schemas.openxmlformats.org/officeDocument/2006/extended-properties" xmlns:vt="http://schemas.openxmlformats.org/officeDocument/2006/docPropsVTypes">
  <Template>Normal.dotm</Template>
  <TotalTime>5</TotalTime>
  <Pages>5</Pages>
  <Words>2166</Words>
  <Characters>12347</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on SCV activity in SG2 [to SCV/CCV/CCT, TSAG, ITU-T SG3, SG5, SG9, SG11, SG12, SG13, SG15, SG16, SG17, SG20, FG-AI4EE]</vt:lpstr>
      <vt:lpstr>LS/o to SG20 regarding SG2 work on certain aspects of IoT naming, numbering and identification [to ITU-T SG20]</vt:lpstr>
    </vt:vector>
  </TitlesOfParts>
  <Manager>ITU-T</Manager>
  <Company>International Telecommunication Union (ITU)</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SCV activity in SG2</dc:title>
  <dc:creator>ITU-T Study Group 2</dc:creator>
  <cp:keywords>SCV; terms; definitions</cp:keywords>
  <dc:description>IPR-TD37  For: Virtual, 18 April 2023_x000d_Document date: _x000d_Saved by ITU51015586 at 17:55:35 on 06/04/2023</dc:description>
  <cp:lastModifiedBy>TSB-AC</cp:lastModifiedBy>
  <cp:revision>4</cp:revision>
  <cp:lastPrinted>2016-12-23T12:52:00Z</cp:lastPrinted>
  <dcterms:created xsi:type="dcterms:W3CDTF">2023-04-06T15:54:00Z</dcterms:created>
  <dcterms:modified xsi:type="dcterms:W3CDTF">2023-04-11T12:18:00Z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All/2</vt:lpwstr>
  </property>
  <property fmtid="{D5CDD505-2E9C-101B-9397-08002B2CF9AE}" pid="7" name="Docdate">
    <vt:lpwstr/>
  </property>
  <property fmtid="{D5CDD505-2E9C-101B-9397-08002B2CF9AE}" pid="8" name="Docdest">
    <vt:lpwstr>Virtual, 18 April 2023</vt:lpwstr>
  </property>
  <property fmtid="{D5CDD505-2E9C-101B-9397-08002B2CF9AE}" pid="9" name="Docnum">
    <vt:lpwstr>IPR-TD37</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