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12"/>
        <w:gridCol w:w="43"/>
        <w:gridCol w:w="617"/>
        <w:gridCol w:w="3251"/>
        <w:gridCol w:w="158"/>
        <w:gridCol w:w="4026"/>
      </w:tblGrid>
      <w:tr w:rsidR="0019110B" w:rsidRPr="0019110B" w14:paraId="49B9C172" w14:textId="77777777" w:rsidTr="0019110B">
        <w:trPr>
          <w:cantSplit/>
        </w:trPr>
        <w:tc>
          <w:tcPr>
            <w:tcW w:w="1132" w:type="dxa"/>
            <w:vMerge w:val="restart"/>
            <w:vAlign w:val="center"/>
          </w:tcPr>
          <w:p w14:paraId="3F2ACE54" w14:textId="77777777" w:rsidR="0019110B" w:rsidRPr="0019110B" w:rsidRDefault="0019110B" w:rsidP="0019110B">
            <w:pPr>
              <w:spacing w:before="0"/>
              <w:jc w:val="center"/>
              <w:rPr>
                <w:sz w:val="20"/>
                <w:szCs w:val="20"/>
              </w:rPr>
            </w:pPr>
            <w:bookmarkStart w:id="0" w:name="dnum" w:colFirst="2" w:colLast="2"/>
            <w:bookmarkStart w:id="1" w:name="dtableau"/>
            <w:r w:rsidRPr="0019110B">
              <w:rPr>
                <w:noProof/>
              </w:rPr>
              <w:drawing>
                <wp:inline distT="0" distB="0" distL="0" distR="0" wp14:anchorId="501077E1" wp14:editId="22D3D6F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683A43CE" w14:textId="77777777" w:rsidR="0019110B" w:rsidRPr="0019110B" w:rsidRDefault="0019110B" w:rsidP="0019110B">
            <w:pPr>
              <w:rPr>
                <w:sz w:val="16"/>
                <w:szCs w:val="16"/>
              </w:rPr>
            </w:pPr>
            <w:r w:rsidRPr="0019110B">
              <w:rPr>
                <w:sz w:val="16"/>
                <w:szCs w:val="16"/>
              </w:rPr>
              <w:t>INTERNATIONAL TELECOMMUNICATION UNION</w:t>
            </w:r>
          </w:p>
          <w:p w14:paraId="1E482721" w14:textId="77777777" w:rsidR="0019110B" w:rsidRPr="0019110B" w:rsidRDefault="0019110B" w:rsidP="0019110B">
            <w:pPr>
              <w:rPr>
                <w:b/>
                <w:bCs/>
                <w:sz w:val="26"/>
                <w:szCs w:val="26"/>
              </w:rPr>
            </w:pPr>
            <w:r w:rsidRPr="0019110B">
              <w:rPr>
                <w:b/>
                <w:bCs/>
                <w:sz w:val="26"/>
                <w:szCs w:val="26"/>
              </w:rPr>
              <w:t>TELECOMMUNICATION</w:t>
            </w:r>
            <w:r w:rsidRPr="0019110B">
              <w:rPr>
                <w:b/>
                <w:bCs/>
                <w:sz w:val="26"/>
                <w:szCs w:val="26"/>
              </w:rPr>
              <w:br/>
              <w:t>STANDARDIZATION SECTOR</w:t>
            </w:r>
          </w:p>
          <w:p w14:paraId="5111E90A" w14:textId="77777777" w:rsidR="0019110B" w:rsidRPr="0019110B" w:rsidRDefault="0019110B" w:rsidP="0019110B">
            <w:pPr>
              <w:rPr>
                <w:sz w:val="20"/>
                <w:szCs w:val="20"/>
              </w:rPr>
            </w:pPr>
            <w:r w:rsidRPr="0019110B">
              <w:rPr>
                <w:sz w:val="20"/>
                <w:szCs w:val="20"/>
              </w:rPr>
              <w:t xml:space="preserve">STUDY PERIOD </w:t>
            </w:r>
            <w:bookmarkStart w:id="2" w:name="dstudyperiod"/>
            <w:r w:rsidRPr="0019110B">
              <w:rPr>
                <w:sz w:val="20"/>
              </w:rPr>
              <w:t>2022</w:t>
            </w:r>
            <w:r w:rsidRPr="0019110B">
              <w:rPr>
                <w:sz w:val="20"/>
                <w:szCs w:val="20"/>
              </w:rPr>
              <w:t>-</w:t>
            </w:r>
            <w:r w:rsidRPr="0019110B">
              <w:rPr>
                <w:sz w:val="20"/>
              </w:rPr>
              <w:t>2024</w:t>
            </w:r>
            <w:bookmarkEnd w:id="2"/>
          </w:p>
        </w:tc>
        <w:tc>
          <w:tcPr>
            <w:tcW w:w="4026" w:type="dxa"/>
            <w:vAlign w:val="center"/>
          </w:tcPr>
          <w:p w14:paraId="37260C7C" w14:textId="78E6C0F0" w:rsidR="0019110B" w:rsidRPr="0019110B" w:rsidRDefault="006B030D" w:rsidP="0019110B">
            <w:pPr>
              <w:pStyle w:val="Docnumber"/>
            </w:pPr>
            <w:r>
              <w:t>SCV</w:t>
            </w:r>
            <w:r w:rsidR="0019110B">
              <w:t>-TD29</w:t>
            </w:r>
          </w:p>
        </w:tc>
      </w:tr>
      <w:tr w:rsidR="0019110B" w:rsidRPr="0019110B" w14:paraId="645D2679" w14:textId="77777777" w:rsidTr="0019110B">
        <w:trPr>
          <w:cantSplit/>
        </w:trPr>
        <w:tc>
          <w:tcPr>
            <w:tcW w:w="1132" w:type="dxa"/>
            <w:vMerge/>
          </w:tcPr>
          <w:p w14:paraId="763F086E" w14:textId="77777777" w:rsidR="0019110B" w:rsidRPr="0019110B" w:rsidRDefault="0019110B" w:rsidP="0019110B">
            <w:pPr>
              <w:rPr>
                <w:smallCaps/>
                <w:sz w:val="20"/>
              </w:rPr>
            </w:pPr>
            <w:bookmarkStart w:id="3" w:name="dsg" w:colFirst="2" w:colLast="2"/>
            <w:bookmarkEnd w:id="0"/>
          </w:p>
        </w:tc>
        <w:tc>
          <w:tcPr>
            <w:tcW w:w="4481" w:type="dxa"/>
            <w:gridSpan w:val="5"/>
            <w:vMerge/>
          </w:tcPr>
          <w:p w14:paraId="6B3351E1" w14:textId="77777777" w:rsidR="0019110B" w:rsidRPr="0019110B" w:rsidRDefault="0019110B" w:rsidP="0019110B">
            <w:pPr>
              <w:rPr>
                <w:smallCaps/>
                <w:sz w:val="20"/>
              </w:rPr>
            </w:pPr>
          </w:p>
        </w:tc>
        <w:tc>
          <w:tcPr>
            <w:tcW w:w="4026" w:type="dxa"/>
          </w:tcPr>
          <w:p w14:paraId="2AD91090" w14:textId="7F844502" w:rsidR="0019110B" w:rsidRPr="0019110B" w:rsidRDefault="006B030D" w:rsidP="0019110B">
            <w:pPr>
              <w:pStyle w:val="TSBHeaderRight14"/>
              <w:rPr>
                <w:smallCaps/>
              </w:rPr>
            </w:pPr>
            <w:r>
              <w:rPr>
                <w:smallCaps/>
              </w:rPr>
              <w:t>SCV</w:t>
            </w:r>
          </w:p>
        </w:tc>
      </w:tr>
      <w:bookmarkEnd w:id="3"/>
      <w:tr w:rsidR="0019110B" w:rsidRPr="0019110B" w14:paraId="664BE4EF" w14:textId="77777777" w:rsidTr="0019110B">
        <w:trPr>
          <w:cantSplit/>
        </w:trPr>
        <w:tc>
          <w:tcPr>
            <w:tcW w:w="1132" w:type="dxa"/>
            <w:vMerge/>
            <w:tcBorders>
              <w:bottom w:val="single" w:sz="12" w:space="0" w:color="auto"/>
            </w:tcBorders>
          </w:tcPr>
          <w:p w14:paraId="6499D8B4" w14:textId="77777777" w:rsidR="0019110B" w:rsidRPr="0019110B" w:rsidRDefault="0019110B" w:rsidP="0019110B">
            <w:pPr>
              <w:rPr>
                <w:b/>
                <w:bCs/>
                <w:sz w:val="26"/>
              </w:rPr>
            </w:pPr>
          </w:p>
        </w:tc>
        <w:tc>
          <w:tcPr>
            <w:tcW w:w="4481" w:type="dxa"/>
            <w:gridSpan w:val="5"/>
            <w:vMerge/>
            <w:tcBorders>
              <w:bottom w:val="single" w:sz="12" w:space="0" w:color="auto"/>
            </w:tcBorders>
          </w:tcPr>
          <w:p w14:paraId="7D1B6F0B" w14:textId="77777777" w:rsidR="0019110B" w:rsidRPr="0019110B" w:rsidRDefault="0019110B" w:rsidP="0019110B">
            <w:pPr>
              <w:rPr>
                <w:b/>
                <w:bCs/>
                <w:sz w:val="26"/>
              </w:rPr>
            </w:pPr>
          </w:p>
        </w:tc>
        <w:tc>
          <w:tcPr>
            <w:tcW w:w="4026" w:type="dxa"/>
            <w:tcBorders>
              <w:bottom w:val="single" w:sz="12" w:space="0" w:color="auto"/>
            </w:tcBorders>
            <w:vAlign w:val="center"/>
          </w:tcPr>
          <w:p w14:paraId="207FEA4A" w14:textId="77777777" w:rsidR="0019110B" w:rsidRPr="0019110B" w:rsidRDefault="0019110B" w:rsidP="0019110B">
            <w:pPr>
              <w:pStyle w:val="TSBHeaderRight14"/>
            </w:pPr>
            <w:r w:rsidRPr="0019110B">
              <w:t>Original: English</w:t>
            </w:r>
          </w:p>
        </w:tc>
      </w:tr>
      <w:tr w:rsidR="0019110B" w:rsidRPr="0019110B" w14:paraId="7B031AD6" w14:textId="77777777" w:rsidTr="0019110B">
        <w:trPr>
          <w:cantSplit/>
        </w:trPr>
        <w:tc>
          <w:tcPr>
            <w:tcW w:w="1587" w:type="dxa"/>
            <w:gridSpan w:val="3"/>
          </w:tcPr>
          <w:p w14:paraId="089A8CAE" w14:textId="77777777" w:rsidR="0019110B" w:rsidRPr="0019110B" w:rsidRDefault="0019110B" w:rsidP="0019110B">
            <w:pPr>
              <w:rPr>
                <w:b/>
                <w:bCs/>
              </w:rPr>
            </w:pPr>
            <w:bookmarkStart w:id="4" w:name="dbluepink" w:colFirst="1" w:colLast="1"/>
            <w:bookmarkStart w:id="5" w:name="dmeeting" w:colFirst="2" w:colLast="2"/>
            <w:r w:rsidRPr="0019110B">
              <w:rPr>
                <w:b/>
                <w:bCs/>
              </w:rPr>
              <w:t>Question(s):</w:t>
            </w:r>
          </w:p>
        </w:tc>
        <w:tc>
          <w:tcPr>
            <w:tcW w:w="4026" w:type="dxa"/>
            <w:gridSpan w:val="3"/>
          </w:tcPr>
          <w:p w14:paraId="2C13993F" w14:textId="6CE20C7A" w:rsidR="0019110B" w:rsidRPr="0019110B" w:rsidRDefault="0019110B" w:rsidP="0019110B">
            <w:pPr>
              <w:pStyle w:val="TSBHeaderQuestion"/>
            </w:pPr>
            <w:r w:rsidRPr="0019110B">
              <w:t>8, All/5</w:t>
            </w:r>
          </w:p>
        </w:tc>
        <w:tc>
          <w:tcPr>
            <w:tcW w:w="4026" w:type="dxa"/>
          </w:tcPr>
          <w:p w14:paraId="06EADBE9" w14:textId="3705898D" w:rsidR="0019110B" w:rsidRPr="0019110B" w:rsidRDefault="0019110B" w:rsidP="0019110B">
            <w:pPr>
              <w:pStyle w:val="VenueDate"/>
            </w:pPr>
            <w:r w:rsidRPr="0019110B">
              <w:t>Virtual, 10 November 2022</w:t>
            </w:r>
          </w:p>
        </w:tc>
      </w:tr>
      <w:tr w:rsidR="0019110B" w:rsidRPr="0019110B" w14:paraId="6DA6F00A" w14:textId="77777777" w:rsidTr="005F7827">
        <w:trPr>
          <w:cantSplit/>
        </w:trPr>
        <w:tc>
          <w:tcPr>
            <w:tcW w:w="9639" w:type="dxa"/>
            <w:gridSpan w:val="7"/>
          </w:tcPr>
          <w:p w14:paraId="65FEFD89" w14:textId="77777777" w:rsidR="0019110B" w:rsidRPr="0019110B" w:rsidRDefault="0019110B" w:rsidP="0019110B">
            <w:pPr>
              <w:jc w:val="center"/>
              <w:rPr>
                <w:b/>
                <w:bCs/>
              </w:rPr>
            </w:pPr>
            <w:bookmarkStart w:id="6" w:name="ddoctype"/>
            <w:bookmarkEnd w:id="4"/>
            <w:bookmarkEnd w:id="5"/>
            <w:r w:rsidRPr="0019110B">
              <w:rPr>
                <w:b/>
                <w:bCs/>
              </w:rPr>
              <w:t>TD</w:t>
            </w:r>
          </w:p>
          <w:p w14:paraId="41296F7D" w14:textId="02514E0F" w:rsidR="0019110B" w:rsidRPr="0019110B" w:rsidRDefault="0019110B" w:rsidP="0019110B">
            <w:pPr>
              <w:jc w:val="center"/>
              <w:rPr>
                <w:b/>
                <w:bCs/>
              </w:rPr>
            </w:pPr>
            <w:r w:rsidRPr="0019110B">
              <w:rPr>
                <w:b/>
                <w:bCs/>
              </w:rPr>
              <w:t>(Ref.: SG5-LS58)</w:t>
            </w:r>
          </w:p>
        </w:tc>
      </w:tr>
      <w:tr w:rsidR="0019110B" w:rsidRPr="0019110B" w14:paraId="23A819AE" w14:textId="77777777" w:rsidTr="0019110B">
        <w:trPr>
          <w:cantSplit/>
        </w:trPr>
        <w:tc>
          <w:tcPr>
            <w:tcW w:w="1587" w:type="dxa"/>
            <w:gridSpan w:val="3"/>
          </w:tcPr>
          <w:p w14:paraId="3853A379" w14:textId="77777777" w:rsidR="0019110B" w:rsidRPr="0019110B" w:rsidRDefault="0019110B" w:rsidP="0019110B">
            <w:pPr>
              <w:rPr>
                <w:b/>
                <w:bCs/>
              </w:rPr>
            </w:pPr>
            <w:bookmarkStart w:id="7" w:name="dsource" w:colFirst="1" w:colLast="1"/>
            <w:bookmarkEnd w:id="6"/>
            <w:r w:rsidRPr="0019110B">
              <w:rPr>
                <w:b/>
                <w:bCs/>
              </w:rPr>
              <w:t>Source:</w:t>
            </w:r>
          </w:p>
        </w:tc>
        <w:tc>
          <w:tcPr>
            <w:tcW w:w="8052" w:type="dxa"/>
            <w:gridSpan w:val="4"/>
          </w:tcPr>
          <w:p w14:paraId="7BB32BE6" w14:textId="6A7AA8FB" w:rsidR="0019110B" w:rsidRPr="0019110B" w:rsidRDefault="0019110B" w:rsidP="0019110B">
            <w:pPr>
              <w:pStyle w:val="TSBHeaderSource"/>
            </w:pPr>
            <w:r w:rsidRPr="0019110B">
              <w:t>ITU-T Study Group 5</w:t>
            </w:r>
          </w:p>
        </w:tc>
      </w:tr>
      <w:tr w:rsidR="0019110B" w:rsidRPr="0019110B" w14:paraId="11504915" w14:textId="77777777" w:rsidTr="0019110B">
        <w:trPr>
          <w:cantSplit/>
        </w:trPr>
        <w:tc>
          <w:tcPr>
            <w:tcW w:w="1587" w:type="dxa"/>
            <w:gridSpan w:val="3"/>
            <w:tcBorders>
              <w:bottom w:val="single" w:sz="8" w:space="0" w:color="auto"/>
            </w:tcBorders>
          </w:tcPr>
          <w:p w14:paraId="02EDFD42" w14:textId="77777777" w:rsidR="0019110B" w:rsidRPr="0019110B" w:rsidRDefault="0019110B" w:rsidP="0019110B">
            <w:pPr>
              <w:rPr>
                <w:b/>
                <w:bCs/>
              </w:rPr>
            </w:pPr>
            <w:bookmarkStart w:id="8" w:name="dtitle1" w:colFirst="1" w:colLast="1"/>
            <w:bookmarkEnd w:id="7"/>
            <w:r w:rsidRPr="0019110B">
              <w:rPr>
                <w:b/>
                <w:bCs/>
              </w:rPr>
              <w:t>Title:</w:t>
            </w:r>
          </w:p>
        </w:tc>
        <w:tc>
          <w:tcPr>
            <w:tcW w:w="8052" w:type="dxa"/>
            <w:gridSpan w:val="4"/>
            <w:tcBorders>
              <w:bottom w:val="single" w:sz="8" w:space="0" w:color="auto"/>
            </w:tcBorders>
          </w:tcPr>
          <w:p w14:paraId="7F1986AB" w14:textId="7EB19F50" w:rsidR="0019110B" w:rsidRPr="0019110B" w:rsidRDefault="0019110B" w:rsidP="0019110B">
            <w:pPr>
              <w:pStyle w:val="TSBHeaderTitle"/>
            </w:pPr>
            <w:r w:rsidRPr="0019110B">
              <w:t>LS on SG5 Recommendations appearing in the AAP 2022 processing list</w:t>
            </w:r>
          </w:p>
        </w:tc>
      </w:tr>
      <w:bookmarkEnd w:id="1"/>
      <w:bookmarkEnd w:id="8"/>
      <w:tr w:rsidR="00682F1F" w14:paraId="3F865ECE" w14:textId="77777777" w:rsidTr="009F2C64">
        <w:trPr>
          <w:cantSplit/>
          <w:trHeight w:val="357"/>
        </w:trPr>
        <w:tc>
          <w:tcPr>
            <w:tcW w:w="9639" w:type="dxa"/>
            <w:gridSpan w:val="7"/>
            <w:tcBorders>
              <w:top w:val="single" w:sz="12" w:space="0" w:color="auto"/>
            </w:tcBorders>
          </w:tcPr>
          <w:p w14:paraId="63CCB69C" w14:textId="77777777" w:rsidR="00682F1F" w:rsidRDefault="00682F1F" w:rsidP="00682F1F">
            <w:pPr>
              <w:jc w:val="center"/>
              <w:rPr>
                <w:b/>
              </w:rPr>
            </w:pPr>
            <w:r>
              <w:rPr>
                <w:b/>
              </w:rPr>
              <w:t>LIAISON STATEMENT</w:t>
            </w:r>
          </w:p>
        </w:tc>
      </w:tr>
      <w:tr w:rsidR="00682F1F" w14:paraId="35F69F31" w14:textId="77777777" w:rsidTr="0019110B">
        <w:trPr>
          <w:cantSplit/>
          <w:trHeight w:val="357"/>
        </w:trPr>
        <w:tc>
          <w:tcPr>
            <w:tcW w:w="2204" w:type="dxa"/>
            <w:gridSpan w:val="4"/>
          </w:tcPr>
          <w:p w14:paraId="20EFE067" w14:textId="77777777" w:rsidR="00682F1F" w:rsidRPr="003869CD" w:rsidRDefault="00682F1F" w:rsidP="00682F1F">
            <w:pPr>
              <w:rPr>
                <w:b/>
                <w:bCs/>
              </w:rPr>
            </w:pPr>
            <w:r w:rsidRPr="003869CD">
              <w:rPr>
                <w:b/>
                <w:bCs/>
              </w:rPr>
              <w:t>For action to:</w:t>
            </w:r>
          </w:p>
        </w:tc>
        <w:tc>
          <w:tcPr>
            <w:tcW w:w="7435" w:type="dxa"/>
            <w:gridSpan w:val="3"/>
          </w:tcPr>
          <w:p w14:paraId="2D80818C" w14:textId="65F9390C" w:rsidR="00682F1F" w:rsidRDefault="00475757" w:rsidP="00682F1F">
            <w:pPr>
              <w:pStyle w:val="LSForAction"/>
            </w:pPr>
            <w:r w:rsidRPr="00682F1F">
              <w:t>SCV</w:t>
            </w:r>
          </w:p>
        </w:tc>
      </w:tr>
      <w:tr w:rsidR="00682F1F" w14:paraId="4ABA2A03" w14:textId="77777777" w:rsidTr="0019110B">
        <w:trPr>
          <w:cantSplit/>
          <w:trHeight w:val="357"/>
        </w:trPr>
        <w:tc>
          <w:tcPr>
            <w:tcW w:w="2204" w:type="dxa"/>
            <w:gridSpan w:val="4"/>
          </w:tcPr>
          <w:p w14:paraId="5145F1A4" w14:textId="77777777" w:rsidR="00682F1F" w:rsidRPr="003869CD" w:rsidRDefault="00682F1F" w:rsidP="00682F1F">
            <w:pPr>
              <w:rPr>
                <w:b/>
                <w:bCs/>
              </w:rPr>
            </w:pPr>
            <w:r w:rsidRPr="003869CD">
              <w:rPr>
                <w:b/>
                <w:bCs/>
              </w:rPr>
              <w:t>For information to:</w:t>
            </w:r>
          </w:p>
        </w:tc>
        <w:tc>
          <w:tcPr>
            <w:tcW w:w="7435" w:type="dxa"/>
            <w:gridSpan w:val="3"/>
          </w:tcPr>
          <w:p w14:paraId="03540E6D" w14:textId="6F1F36D1" w:rsidR="00682F1F" w:rsidRDefault="00682F1F" w:rsidP="00682F1F">
            <w:pPr>
              <w:pStyle w:val="LSForInfo"/>
            </w:pPr>
            <w:r w:rsidRPr="00682F1F">
              <w:t>ITU-T SG2, SG3, SG5, SG9, SG11, SG12, SG13, SG15, SG16, SG17, SG20</w:t>
            </w:r>
            <w:r w:rsidR="00475757">
              <w:t xml:space="preserve">, </w:t>
            </w:r>
            <w:r w:rsidR="00475757" w:rsidRPr="00682F1F">
              <w:t>CCV</w:t>
            </w:r>
          </w:p>
        </w:tc>
      </w:tr>
      <w:tr w:rsidR="00682F1F" w14:paraId="19B7E4E0" w14:textId="77777777" w:rsidTr="0019110B">
        <w:trPr>
          <w:cantSplit/>
          <w:trHeight w:val="357"/>
        </w:trPr>
        <w:tc>
          <w:tcPr>
            <w:tcW w:w="2204" w:type="dxa"/>
            <w:gridSpan w:val="4"/>
          </w:tcPr>
          <w:p w14:paraId="62EA9AB1" w14:textId="77777777" w:rsidR="00682F1F" w:rsidRDefault="00682F1F" w:rsidP="00682F1F">
            <w:pPr>
              <w:rPr>
                <w:b/>
                <w:bCs/>
              </w:rPr>
            </w:pPr>
            <w:r>
              <w:rPr>
                <w:b/>
                <w:bCs/>
              </w:rPr>
              <w:t>Approval:</w:t>
            </w:r>
          </w:p>
        </w:tc>
        <w:tc>
          <w:tcPr>
            <w:tcW w:w="7435" w:type="dxa"/>
            <w:gridSpan w:val="3"/>
          </w:tcPr>
          <w:p w14:paraId="5D3D74D5" w14:textId="72F12F1E" w:rsidR="00682F1F" w:rsidRPr="00682F1F" w:rsidRDefault="00682F1F" w:rsidP="00682F1F">
            <w:pPr>
              <w:pStyle w:val="LSApproval"/>
              <w:rPr>
                <w:b w:val="0"/>
                <w:bCs w:val="0"/>
              </w:rPr>
            </w:pPr>
            <w:r w:rsidRPr="00682F1F">
              <w:rPr>
                <w:b w:val="0"/>
                <w:bCs w:val="0"/>
              </w:rPr>
              <w:t>ITU-T Study Group 5 meeting, (</w:t>
            </w:r>
            <w:r w:rsidR="008E0D4F" w:rsidRPr="008E0D4F">
              <w:rPr>
                <w:b w:val="0"/>
                <w:bCs w:val="0"/>
              </w:rPr>
              <w:t>Rome, 27 October 2022</w:t>
            </w:r>
            <w:r w:rsidRPr="00682F1F">
              <w:rPr>
                <w:b w:val="0"/>
                <w:bCs w:val="0"/>
              </w:rPr>
              <w:t>)</w:t>
            </w:r>
          </w:p>
        </w:tc>
      </w:tr>
      <w:tr w:rsidR="00682F1F" w14:paraId="1ED65DF0" w14:textId="77777777" w:rsidTr="0019110B">
        <w:trPr>
          <w:cantSplit/>
          <w:trHeight w:val="357"/>
        </w:trPr>
        <w:tc>
          <w:tcPr>
            <w:tcW w:w="2204" w:type="dxa"/>
            <w:gridSpan w:val="4"/>
            <w:tcBorders>
              <w:bottom w:val="single" w:sz="12" w:space="0" w:color="auto"/>
            </w:tcBorders>
          </w:tcPr>
          <w:p w14:paraId="3ED42284" w14:textId="77777777" w:rsidR="00682F1F" w:rsidRDefault="00682F1F" w:rsidP="00682F1F">
            <w:pPr>
              <w:rPr>
                <w:b/>
                <w:bCs/>
              </w:rPr>
            </w:pPr>
            <w:r>
              <w:rPr>
                <w:b/>
                <w:bCs/>
              </w:rPr>
              <w:t>Deadline:</w:t>
            </w:r>
          </w:p>
        </w:tc>
        <w:tc>
          <w:tcPr>
            <w:tcW w:w="7435" w:type="dxa"/>
            <w:gridSpan w:val="3"/>
            <w:tcBorders>
              <w:bottom w:val="single" w:sz="12" w:space="0" w:color="auto"/>
            </w:tcBorders>
          </w:tcPr>
          <w:p w14:paraId="6B3D042F" w14:textId="0DB4AA16" w:rsidR="00682F1F" w:rsidRDefault="00682F1F" w:rsidP="00682F1F">
            <w:pPr>
              <w:pStyle w:val="LSDeadline"/>
            </w:pPr>
            <w:r>
              <w:t>N/A</w:t>
            </w:r>
          </w:p>
        </w:tc>
      </w:tr>
      <w:tr w:rsidR="00682F1F" w:rsidRPr="00B35623" w14:paraId="500A09DD" w14:textId="77777777" w:rsidTr="0019110B">
        <w:trPr>
          <w:cantSplit/>
        </w:trPr>
        <w:tc>
          <w:tcPr>
            <w:tcW w:w="1544" w:type="dxa"/>
            <w:gridSpan w:val="2"/>
            <w:tcBorders>
              <w:top w:val="single" w:sz="8" w:space="0" w:color="auto"/>
              <w:bottom w:val="single" w:sz="8" w:space="0" w:color="auto"/>
            </w:tcBorders>
          </w:tcPr>
          <w:p w14:paraId="20DE722B" w14:textId="77777777" w:rsidR="00682F1F" w:rsidRPr="00136DDD" w:rsidRDefault="00682F1F" w:rsidP="00682F1F">
            <w:pPr>
              <w:rPr>
                <w:b/>
                <w:bCs/>
              </w:rPr>
            </w:pPr>
            <w:r w:rsidRPr="00136DDD">
              <w:rPr>
                <w:b/>
                <w:bCs/>
              </w:rPr>
              <w:t>Contact:</w:t>
            </w:r>
          </w:p>
        </w:tc>
        <w:tc>
          <w:tcPr>
            <w:tcW w:w="3911" w:type="dxa"/>
            <w:gridSpan w:val="3"/>
            <w:tcBorders>
              <w:top w:val="single" w:sz="8" w:space="0" w:color="auto"/>
              <w:bottom w:val="single" w:sz="8" w:space="0" w:color="auto"/>
            </w:tcBorders>
          </w:tcPr>
          <w:p w14:paraId="10CE9505" w14:textId="016C6799" w:rsidR="00682F1F" w:rsidRPr="00AF5A57" w:rsidRDefault="00682F1F" w:rsidP="00682F1F">
            <w:r>
              <w:t>Michael Maytum</w:t>
            </w:r>
            <w:r>
              <w:br/>
              <w:t>IEEE</w:t>
            </w:r>
            <w:r>
              <w:br/>
              <w:t>United States of America</w:t>
            </w:r>
          </w:p>
        </w:tc>
        <w:tc>
          <w:tcPr>
            <w:tcW w:w="4184" w:type="dxa"/>
            <w:gridSpan w:val="2"/>
            <w:tcBorders>
              <w:top w:val="single" w:sz="8" w:space="0" w:color="auto"/>
              <w:bottom w:val="single" w:sz="8" w:space="0" w:color="auto"/>
            </w:tcBorders>
          </w:tcPr>
          <w:p w14:paraId="60379989" w14:textId="1DB28A21" w:rsidR="00682F1F" w:rsidRPr="00B35623" w:rsidRDefault="00682F1F" w:rsidP="00682F1F">
            <w:pPr>
              <w:tabs>
                <w:tab w:val="left" w:pos="794"/>
              </w:tabs>
              <w:rPr>
                <w:lang w:val="de-DE"/>
              </w:rPr>
            </w:pPr>
            <w:r w:rsidRPr="00B35623">
              <w:rPr>
                <w:lang w:val="de-DE"/>
              </w:rPr>
              <w:t>Tel:</w:t>
            </w:r>
            <w:r w:rsidRPr="00B35623">
              <w:rPr>
                <w:lang w:val="de-DE"/>
              </w:rPr>
              <w:tab/>
              <w:t>+44 1234838589</w:t>
            </w:r>
            <w:r w:rsidRPr="00B35623">
              <w:rPr>
                <w:lang w:val="de-DE"/>
              </w:rPr>
              <w:br/>
              <w:t>E-mail:</w:t>
            </w:r>
            <w:r w:rsidRPr="00B35623">
              <w:rPr>
                <w:lang w:val="de-DE"/>
              </w:rPr>
              <w:tab/>
              <w:t>maytummichael3@gmail.com</w:t>
            </w:r>
          </w:p>
        </w:tc>
      </w:tr>
      <w:tr w:rsidR="00695FC2" w:rsidRPr="00136DDD" w14:paraId="76C4A506" w14:textId="77777777" w:rsidTr="0019110B">
        <w:trPr>
          <w:cantSplit/>
        </w:trPr>
        <w:tc>
          <w:tcPr>
            <w:tcW w:w="1587" w:type="dxa"/>
            <w:gridSpan w:val="3"/>
          </w:tcPr>
          <w:p w14:paraId="22982571" w14:textId="77777777" w:rsidR="00695FC2" w:rsidRPr="00136DDD" w:rsidRDefault="00695FC2" w:rsidP="00EF060D">
            <w:pPr>
              <w:rPr>
                <w:b/>
                <w:bCs/>
              </w:rPr>
            </w:pPr>
            <w:r w:rsidRPr="00136DDD">
              <w:rPr>
                <w:b/>
                <w:bCs/>
              </w:rPr>
              <w:t>Abstract:</w:t>
            </w:r>
          </w:p>
        </w:tc>
        <w:tc>
          <w:tcPr>
            <w:tcW w:w="8052" w:type="dxa"/>
            <w:gridSpan w:val="4"/>
          </w:tcPr>
          <w:p w14:paraId="41E12E93" w14:textId="5DB9C225" w:rsidR="00695FC2" w:rsidRPr="008249A7" w:rsidRDefault="00947C54" w:rsidP="00EF060D">
            <w:pPr>
              <w:pStyle w:val="TSBHeaderSummary"/>
              <w:rPr>
                <w:highlight w:val="yellow"/>
              </w:rPr>
            </w:pPr>
            <w:r>
              <w:t>At</w:t>
            </w:r>
            <w:r w:rsidR="008E0D4F">
              <w:t xml:space="preserve"> the SG5 meeting</w:t>
            </w:r>
            <w:r w:rsidR="00D2067C">
              <w:t>,</w:t>
            </w:r>
            <w:r w:rsidR="008E0D4F">
              <w:t xml:space="preserve"> the SG5 </w:t>
            </w:r>
            <w:r w:rsidR="008E0D4F" w:rsidRPr="008E0D4F">
              <w:t xml:space="preserve">Recommendations appearing in the AAP 2022 processing list </w:t>
            </w:r>
            <w:r w:rsidR="008E0D4F">
              <w:t xml:space="preserve">were reviewed for Author’s Guide compliance. </w:t>
            </w:r>
            <w:r w:rsidR="00682F1F" w:rsidRPr="00682F1F">
              <w:t xml:space="preserve">This document </w:t>
            </w:r>
            <w:r w:rsidR="008E0D4F">
              <w:t xml:space="preserve">contains the review results. In </w:t>
            </w:r>
            <w:r>
              <w:t>addition,</w:t>
            </w:r>
            <w:r w:rsidR="008E0D4F">
              <w:t xml:space="preserve"> a tutorial on </w:t>
            </w:r>
            <w:r w:rsidR="007E5620">
              <w:t>“</w:t>
            </w:r>
            <w:r w:rsidR="007E5620" w:rsidRPr="007E5620">
              <w:t>Applying the Author's Guide</w:t>
            </w:r>
            <w:r w:rsidR="007E5620">
              <w:t>” (TD</w:t>
            </w:r>
            <w:r w:rsidR="007E5620" w:rsidRPr="007E5620">
              <w:t>457</w:t>
            </w:r>
            <w:r w:rsidR="007E5620">
              <w:t>)</w:t>
            </w:r>
            <w:r>
              <w:t xml:space="preserve"> presented to SG5 to improve compliance</w:t>
            </w:r>
            <w:r w:rsidR="007E5620">
              <w:t>.</w:t>
            </w:r>
          </w:p>
        </w:tc>
      </w:tr>
    </w:tbl>
    <w:p w14:paraId="71FF6B59" w14:textId="3AA0D1E2" w:rsidR="00947C54" w:rsidRDefault="00330567" w:rsidP="003B4CF8">
      <w:r>
        <w:t xml:space="preserve">ITU-T Study Group 5 would like to provide the </w:t>
      </w:r>
      <w:r w:rsidRPr="00330567">
        <w:t>Standardization Committee for Vocabulary</w:t>
      </w:r>
      <w:r>
        <w:t xml:space="preserve"> (SCV) information on the Recommendations that were approved</w:t>
      </w:r>
      <w:r w:rsidR="004C465C">
        <w:t>,</w:t>
      </w:r>
      <w:r>
        <w:t xml:space="preserve"> and </w:t>
      </w:r>
      <w:r w:rsidR="00947C54">
        <w:t>perceived problems</w:t>
      </w:r>
      <w:r>
        <w:t xml:space="preserve"> related to the compliance of the Author’s Guide.</w:t>
      </w:r>
    </w:p>
    <w:p w14:paraId="1B8D8EB3" w14:textId="1E367CDD" w:rsidR="002F28EE" w:rsidRPr="002118ED"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lang w:val="fr-CH"/>
        </w:rPr>
      </w:pPr>
      <w:r w:rsidRPr="002118ED">
        <w:rPr>
          <w:rFonts w:eastAsia="MS Mincho"/>
          <w:b/>
          <w:bCs/>
          <w:lang w:val="fr-CH"/>
        </w:rPr>
        <w:t>1</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K.21 (K.21)</w:t>
      </w:r>
    </w:p>
    <w:p w14:paraId="20A82B7E" w14:textId="6578E56B"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No new terms and definitions</w:t>
      </w:r>
      <w:r w:rsidR="00993A3A">
        <w:rPr>
          <w:rFonts w:eastAsia="MS Mincho"/>
        </w:rPr>
        <w:t>.</w:t>
      </w:r>
    </w:p>
    <w:p w14:paraId="6E9938AB" w14:textId="69A7D07B" w:rsidR="002F28EE" w:rsidRPr="004C465C"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lang w:val="fr-CH"/>
        </w:rPr>
      </w:pPr>
      <w:r w:rsidRPr="004C465C">
        <w:rPr>
          <w:rFonts w:eastAsia="MS Mincho"/>
          <w:b/>
          <w:bCs/>
          <w:lang w:val="fr-CH"/>
        </w:rPr>
        <w:t>2</w:t>
      </w:r>
      <w:r w:rsidRPr="004C465C">
        <w:rPr>
          <w:rFonts w:eastAsia="MS Mincho"/>
          <w:b/>
          <w:bCs/>
          <w:lang w:val="fr-CH"/>
        </w:rPr>
        <w:tab/>
      </w:r>
      <w:proofErr w:type="spellStart"/>
      <w:r w:rsidR="00330567" w:rsidRPr="004C465C">
        <w:rPr>
          <w:rFonts w:eastAsia="MS Mincho"/>
          <w:b/>
          <w:bCs/>
          <w:lang w:val="fr-CH"/>
        </w:rPr>
        <w:t>Recommendation</w:t>
      </w:r>
      <w:proofErr w:type="spellEnd"/>
      <w:r w:rsidR="00330567" w:rsidRPr="004C465C">
        <w:rPr>
          <w:rFonts w:eastAsia="MS Mincho"/>
          <w:b/>
          <w:bCs/>
          <w:lang w:val="fr-CH"/>
        </w:rPr>
        <w:t xml:space="preserve"> ITU-T </w:t>
      </w:r>
      <w:r w:rsidRPr="004C465C">
        <w:rPr>
          <w:rFonts w:eastAsia="MS Mincho"/>
          <w:b/>
          <w:bCs/>
          <w:lang w:val="fr-CH"/>
        </w:rPr>
        <w:t>K.76 (K.76)</w:t>
      </w:r>
    </w:p>
    <w:p w14:paraId="071FE54C"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bookmarkStart w:id="9" w:name="_Hlk117593053"/>
      <w:r w:rsidRPr="002F28EE">
        <w:rPr>
          <w:rFonts w:eastAsia="MS Mincho"/>
        </w:rPr>
        <w:t>Terms and definitions comply with Author’s Guide.</w:t>
      </w:r>
      <w:bookmarkEnd w:id="9"/>
    </w:p>
    <w:p w14:paraId="6DAC3ABF" w14:textId="4DE78B08"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F28EE">
        <w:rPr>
          <w:rFonts w:eastAsia="MS Mincho"/>
          <w:b/>
          <w:bCs/>
        </w:rPr>
        <w:t>3</w:t>
      </w:r>
      <w:r w:rsidRPr="002F28EE">
        <w:rPr>
          <w:rFonts w:eastAsia="MS Mincho"/>
          <w:b/>
          <w:bCs/>
        </w:rPr>
        <w:tab/>
      </w:r>
      <w:r w:rsidR="00330567">
        <w:rPr>
          <w:rFonts w:eastAsia="MS Mincho"/>
          <w:b/>
          <w:bCs/>
        </w:rPr>
        <w:t xml:space="preserve">Recommendation ITU-T </w:t>
      </w:r>
      <w:r w:rsidRPr="002F28EE">
        <w:rPr>
          <w:rFonts w:eastAsia="MS Mincho"/>
          <w:b/>
          <w:bCs/>
        </w:rPr>
        <w:t>K.87 (K.87) Guide for the application of electromagnetic security requirements – Overview</w:t>
      </w:r>
    </w:p>
    <w:p w14:paraId="03569CB0" w14:textId="1809FB65"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 xml:space="preserve">Two sentences in definitions 3.2.1 EMSEC </w:t>
      </w:r>
      <w:r w:rsidR="00993A3A">
        <w:rPr>
          <w:rFonts w:eastAsia="MS Mincho"/>
        </w:rPr>
        <w:t>are</w:t>
      </w:r>
      <w:r w:rsidR="00993A3A" w:rsidRPr="002F28EE">
        <w:rPr>
          <w:rFonts w:eastAsia="MS Mincho"/>
        </w:rPr>
        <w:t xml:space="preserve"> </w:t>
      </w:r>
      <w:r w:rsidRPr="002F28EE">
        <w:rPr>
          <w:rFonts w:eastAsia="MS Mincho"/>
        </w:rPr>
        <w:t>not explained</w:t>
      </w:r>
      <w:r w:rsidR="00993A3A">
        <w:rPr>
          <w:rFonts w:eastAsia="MS Mincho"/>
        </w:rPr>
        <w:t xml:space="preserve"> and</w:t>
      </w:r>
      <w:r w:rsidRPr="002F28EE">
        <w:rPr>
          <w:rFonts w:eastAsia="MS Mincho"/>
        </w:rPr>
        <w:t xml:space="preserve"> 3.2.3 is recursive. </w:t>
      </w:r>
    </w:p>
    <w:p w14:paraId="2CC5C39C" w14:textId="5BE56B7A" w:rsidR="002F28EE" w:rsidRPr="002F28EE" w:rsidRDefault="002F28EE" w:rsidP="002F28EE">
      <w:pPr>
        <w:rPr>
          <w:rFonts w:eastAsia="SimSun"/>
          <w:lang w:val="en-US"/>
        </w:rPr>
      </w:pPr>
      <w:bookmarkStart w:id="10" w:name="_Toc244509390"/>
      <w:r w:rsidRPr="002F28EE">
        <w:rPr>
          <w:rFonts w:eastAsia="SimSun"/>
          <w:b/>
          <w:bCs/>
        </w:rPr>
        <w:t>3.2.1</w:t>
      </w:r>
      <w:r w:rsidRPr="002F28EE">
        <w:rPr>
          <w:rFonts w:eastAsia="SimSun"/>
          <w:b/>
          <w:bCs/>
        </w:rPr>
        <w:tab/>
        <w:t>confidentiality</w:t>
      </w:r>
      <w:bookmarkEnd w:id="10"/>
      <w:r w:rsidRPr="002F28EE">
        <w:rPr>
          <w:rFonts w:eastAsia="SimSun"/>
        </w:rPr>
        <w:t xml:space="preserve">: </w:t>
      </w:r>
      <w:r w:rsidRPr="002F28EE">
        <w:rPr>
          <w:rFonts w:eastAsia="SimSun"/>
          <w:lang w:val="en-US"/>
        </w:rPr>
        <w:t xml:space="preserve">Ensuring that information is accessible only to those authorized to have access. EMSEC deals with the risk of losing this confidentiality. </w:t>
      </w:r>
    </w:p>
    <w:p w14:paraId="39EE0FF0" w14:textId="77777777" w:rsidR="002F28EE" w:rsidRPr="002F28EE" w:rsidRDefault="002F28EE" w:rsidP="002F28EE">
      <w:pPr>
        <w:rPr>
          <w:rFonts w:eastAsia="SimSun"/>
        </w:rPr>
      </w:pPr>
      <w:bookmarkStart w:id="11" w:name="_Toc244509392"/>
      <w:r w:rsidRPr="002F28EE">
        <w:rPr>
          <w:rFonts w:eastAsia="SimSun"/>
          <w:b/>
          <w:bCs/>
        </w:rPr>
        <w:t>3.2.3</w:t>
      </w:r>
      <w:r w:rsidRPr="002F28EE">
        <w:rPr>
          <w:rFonts w:eastAsia="SimSun"/>
          <w:b/>
          <w:bCs/>
        </w:rPr>
        <w:tab/>
        <w:t>EM mitigation</w:t>
      </w:r>
      <w:bookmarkEnd w:id="11"/>
      <w:r w:rsidRPr="002F28EE">
        <w:rPr>
          <w:rFonts w:eastAsia="SimSun"/>
        </w:rPr>
        <w:t>: The preparations made to avoid either a malfunction due to a vulnerability caused by high-altitude electromagnetic pulses (HEMPs), high-power electromagnetic (HPEM) emissions or the lack of confidentiality due to insufficient emanation security (EMSEC). The level of the EM mitigation of the equipment can be calculated from the threat level and the vulnerability level.</w:t>
      </w:r>
    </w:p>
    <w:p w14:paraId="7CE642F9" w14:textId="0FA33AD8"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F28EE">
        <w:rPr>
          <w:rFonts w:eastAsia="MS Mincho"/>
          <w:b/>
          <w:bCs/>
        </w:rPr>
        <w:lastRenderedPageBreak/>
        <w:t>4</w:t>
      </w:r>
      <w:r w:rsidRPr="002F28EE">
        <w:rPr>
          <w:rFonts w:eastAsia="MS Mincho"/>
          <w:b/>
          <w:bCs/>
        </w:rPr>
        <w:tab/>
      </w:r>
      <w:r w:rsidR="00330567">
        <w:rPr>
          <w:rFonts w:eastAsia="MS Mincho"/>
          <w:b/>
          <w:bCs/>
        </w:rPr>
        <w:t xml:space="preserve">Recommendation ITU-T </w:t>
      </w:r>
      <w:r w:rsidRPr="002F28EE">
        <w:rPr>
          <w:rFonts w:eastAsia="MS Mincho"/>
          <w:b/>
          <w:bCs/>
        </w:rPr>
        <w:t>K.114 (Revision of ITU- T K.114) Electromagnetic compatibility requirements and measurement methods for digital cellular mobile communication base station equipment</w:t>
      </w:r>
    </w:p>
    <w:p w14:paraId="28A45407" w14:textId="4BEE921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Two sentence definitions</w:t>
      </w:r>
      <w:r w:rsidR="00993A3A">
        <w:rPr>
          <w:rFonts w:eastAsia="MS Mincho"/>
        </w:rPr>
        <w:t>.</w:t>
      </w:r>
    </w:p>
    <w:p w14:paraId="433856E7" w14:textId="1C7FC1F9" w:rsidR="002F28EE" w:rsidRPr="002F28EE" w:rsidRDefault="002F28EE" w:rsidP="002F28EE">
      <w:pPr>
        <w:tabs>
          <w:tab w:val="left" w:pos="794"/>
          <w:tab w:val="left" w:pos="1191"/>
          <w:tab w:val="left" w:pos="1588"/>
          <w:tab w:val="left" w:pos="1985"/>
        </w:tabs>
        <w:overflowPunct w:val="0"/>
        <w:autoSpaceDE w:val="0"/>
        <w:autoSpaceDN w:val="0"/>
        <w:adjustRightInd w:val="0"/>
        <w:textAlignment w:val="baseline"/>
        <w:rPr>
          <w:rFonts w:eastAsia="MS Mincho"/>
          <w:szCs w:val="20"/>
          <w:lang w:eastAsia="en-US"/>
        </w:rPr>
      </w:pPr>
      <w:r w:rsidRPr="002F28EE">
        <w:rPr>
          <w:rFonts w:eastAsia="MS Mincho"/>
          <w:b/>
          <w:bCs/>
          <w:szCs w:val="20"/>
          <w:lang w:eastAsia="en-US"/>
        </w:rPr>
        <w:t>3.2.4</w:t>
      </w:r>
      <w:r w:rsidRPr="002F28EE">
        <w:rPr>
          <w:rFonts w:eastAsia="MS Mincho"/>
          <w:b/>
          <w:bCs/>
          <w:szCs w:val="20"/>
          <w:lang w:eastAsia="en-US"/>
        </w:rPr>
        <w:tab/>
        <w:t>customer premises environment</w:t>
      </w:r>
      <w:r w:rsidRPr="002F28EE">
        <w:rPr>
          <w:rFonts w:eastAsia="MS Mincho"/>
          <w:szCs w:val="20"/>
          <w:lang w:eastAsia="en-US"/>
        </w:rPr>
        <w:t xml:space="preserve">: Physical location in the residential, commercial, </w:t>
      </w:r>
      <w:r w:rsidR="004C465C" w:rsidRPr="002F28EE">
        <w:rPr>
          <w:rFonts w:eastAsia="MS Mincho"/>
          <w:szCs w:val="20"/>
          <w:lang w:eastAsia="en-US"/>
        </w:rPr>
        <w:t>public,</w:t>
      </w:r>
      <w:r w:rsidRPr="002F28EE">
        <w:rPr>
          <w:rFonts w:eastAsia="MS Mincho"/>
          <w:szCs w:val="20"/>
          <w:lang w:eastAsia="en-US"/>
        </w:rPr>
        <w:t xml:space="preserve"> and light-industrial locations where telecommunication equipment is installed or used. In this environment the electromagnetic disturbance protection and earthing and bonding conditions might be uncontrolled.</w:t>
      </w:r>
    </w:p>
    <w:p w14:paraId="636AA4E5" w14:textId="6BE2440F"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szCs w:val="20"/>
          <w:lang w:eastAsia="en-US"/>
        </w:rPr>
      </w:pPr>
      <w:r w:rsidRPr="002F28EE">
        <w:rPr>
          <w:rFonts w:eastAsia="MS Mincho"/>
          <w:b/>
          <w:bCs/>
          <w:szCs w:val="20"/>
          <w:lang w:eastAsia="en-US"/>
        </w:rPr>
        <w:t>3.2.7</w:t>
      </w:r>
      <w:r w:rsidRPr="002F28EE">
        <w:rPr>
          <w:rFonts w:eastAsia="MS Mincho"/>
          <w:b/>
          <w:bCs/>
          <w:szCs w:val="20"/>
          <w:lang w:eastAsia="en-US"/>
        </w:rPr>
        <w:tab/>
        <w:t>integral antenna base station</w:t>
      </w:r>
      <w:r w:rsidRPr="002F28EE">
        <w:rPr>
          <w:rFonts w:eastAsia="MS Mincho"/>
          <w:szCs w:val="20"/>
          <w:lang w:eastAsia="en-US"/>
        </w:rPr>
        <w:t>: Base station with integral antenna, and antenna is portion of the RF unit. For this type of base station</w:t>
      </w:r>
      <w:r w:rsidR="00993A3A">
        <w:rPr>
          <w:rFonts w:eastAsia="MS Mincho"/>
          <w:szCs w:val="20"/>
          <w:lang w:eastAsia="en-US"/>
        </w:rPr>
        <w:t>,</w:t>
      </w:r>
      <w:r w:rsidRPr="002F28EE">
        <w:rPr>
          <w:rFonts w:eastAsia="MS Mincho"/>
          <w:szCs w:val="20"/>
          <w:lang w:eastAsia="en-US"/>
        </w:rPr>
        <w:t xml:space="preserve"> antenna port and the enclosure ports are equivalent.</w:t>
      </w:r>
    </w:p>
    <w:p w14:paraId="0D44E240"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Littered with unexplained abbreviations.</w:t>
      </w:r>
    </w:p>
    <w:p w14:paraId="26A86ACC" w14:textId="77777777" w:rsidR="002F28EE" w:rsidRPr="002F28EE" w:rsidRDefault="002F28EE" w:rsidP="002F28EE">
      <w:pPr>
        <w:widowControl w:val="0"/>
        <w:autoSpaceDE w:val="0"/>
        <w:autoSpaceDN w:val="0"/>
        <w:adjustRightInd w:val="0"/>
        <w:spacing w:before="0"/>
        <w:rPr>
          <w:rFonts w:eastAsia="MS Mincho"/>
          <w:lang w:val="en-US" w:eastAsia="zh-CN"/>
        </w:rPr>
      </w:pPr>
      <w:r w:rsidRPr="002F28EE">
        <w:rPr>
          <w:rFonts w:eastAsia="MS Mincho"/>
          <w:b/>
          <w:bCs/>
          <w:lang w:val="en-US" w:eastAsia="zh-CN"/>
        </w:rPr>
        <w:t xml:space="preserve">3.2.21   OTA AAS BS: </w:t>
      </w:r>
      <w:r w:rsidRPr="002F28EE">
        <w:rPr>
          <w:rFonts w:eastAsia="MS Mincho"/>
          <w:lang w:val="en-US" w:eastAsia="zh-CN"/>
        </w:rPr>
        <w:t xml:space="preserve">AAS BS which has </w:t>
      </w:r>
      <w:r w:rsidRPr="002F28EE">
        <w:rPr>
          <w:rFonts w:eastAsia="T10" w:hint="eastAsia"/>
          <w:lang w:val="en-US" w:eastAsia="zh-CN"/>
        </w:rPr>
        <w:t>≥</w:t>
      </w:r>
      <w:r w:rsidRPr="002F28EE">
        <w:rPr>
          <w:rFonts w:eastAsia="T10"/>
          <w:lang w:val="en-US" w:eastAsia="zh-CN"/>
        </w:rPr>
        <w:t xml:space="preserve"> </w:t>
      </w:r>
      <w:r w:rsidRPr="002F28EE">
        <w:rPr>
          <w:rFonts w:eastAsia="MS Mincho"/>
          <w:lang w:val="en-US" w:eastAsia="zh-CN"/>
        </w:rPr>
        <w:t xml:space="preserve">8 transceiver units for E-UTRA, NR or MSR and </w:t>
      </w:r>
      <w:r w:rsidRPr="002F28EE">
        <w:rPr>
          <w:rFonts w:eastAsia="T10" w:hint="eastAsia"/>
          <w:lang w:val="en-US" w:eastAsia="zh-CN"/>
        </w:rPr>
        <w:t>≥</w:t>
      </w:r>
      <w:r w:rsidRPr="002F28EE">
        <w:rPr>
          <w:rFonts w:eastAsia="T10"/>
          <w:lang w:val="en-US" w:eastAsia="zh-CN"/>
        </w:rPr>
        <w:t xml:space="preserve"> </w:t>
      </w:r>
      <w:r w:rsidRPr="002F28EE">
        <w:rPr>
          <w:rFonts w:eastAsia="MS Mincho"/>
          <w:lang w:val="en-US" w:eastAsia="zh-CN"/>
        </w:rPr>
        <w:t>4 transceiver units for UTRA</w:t>
      </w:r>
      <w:r w:rsidRPr="002F28EE">
        <w:rPr>
          <w:rFonts w:eastAsia="SimSun"/>
          <w:lang w:val="en-US" w:eastAsia="zh-CN"/>
        </w:rPr>
        <w:t xml:space="preserve"> </w:t>
      </w:r>
      <w:r w:rsidRPr="002F28EE">
        <w:rPr>
          <w:rFonts w:eastAsia="MS Mincho"/>
          <w:lang w:val="en-US" w:eastAsia="zh-CN"/>
        </w:rPr>
        <w:t>per cell and has a radiated RF interface only and conforms to the OTA requirements set.</w:t>
      </w:r>
    </w:p>
    <w:p w14:paraId="2615DAC5" w14:textId="1200EFEE"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F28EE">
        <w:rPr>
          <w:rFonts w:eastAsia="MS Mincho"/>
          <w:b/>
          <w:bCs/>
        </w:rPr>
        <w:t>5</w:t>
      </w:r>
      <w:r w:rsidRPr="002F28EE">
        <w:rPr>
          <w:rFonts w:eastAsia="MS Mincho"/>
          <w:b/>
          <w:bCs/>
        </w:rPr>
        <w:tab/>
      </w:r>
      <w:r w:rsidR="00330567">
        <w:rPr>
          <w:rFonts w:eastAsia="MS Mincho"/>
          <w:b/>
          <w:bCs/>
        </w:rPr>
        <w:t xml:space="preserve">Recommendation ITU-T </w:t>
      </w:r>
      <w:r w:rsidRPr="002F28EE">
        <w:rPr>
          <w:rFonts w:eastAsia="MS Mincho"/>
          <w:b/>
          <w:bCs/>
        </w:rPr>
        <w:t xml:space="preserve">K.123 (Revision of ITU- T K.123) </w:t>
      </w:r>
    </w:p>
    <w:p w14:paraId="2F76760F"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6E9BE3A8" w14:textId="3E6B7A11"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F28EE">
        <w:rPr>
          <w:rFonts w:eastAsia="MS Mincho"/>
          <w:b/>
          <w:bCs/>
        </w:rPr>
        <w:t>6</w:t>
      </w:r>
      <w:r w:rsidRPr="002F28EE">
        <w:rPr>
          <w:rFonts w:eastAsia="MS Mincho"/>
          <w:b/>
          <w:bCs/>
        </w:rPr>
        <w:tab/>
      </w:r>
      <w:r w:rsidR="00330567">
        <w:rPr>
          <w:rFonts w:eastAsia="MS Mincho"/>
          <w:b/>
          <w:bCs/>
        </w:rPr>
        <w:t xml:space="preserve">Recommendation ITU-T </w:t>
      </w:r>
      <w:r w:rsidRPr="002F28EE">
        <w:rPr>
          <w:rFonts w:eastAsia="MS Mincho"/>
          <w:b/>
          <w:bCs/>
        </w:rPr>
        <w:t>K.152 (</w:t>
      </w:r>
      <w:proofErr w:type="spellStart"/>
      <w:r w:rsidR="00330567">
        <w:rPr>
          <w:rFonts w:eastAsia="MS Mincho"/>
          <w:b/>
          <w:bCs/>
        </w:rPr>
        <w:t>ex.</w:t>
      </w:r>
      <w:r w:rsidRPr="002F28EE">
        <w:rPr>
          <w:rFonts w:eastAsia="MS Mincho"/>
          <w:b/>
          <w:bCs/>
        </w:rPr>
        <w:t>K.power_emc</w:t>
      </w:r>
      <w:proofErr w:type="spellEnd"/>
      <w:r w:rsidRPr="002F28EE">
        <w:rPr>
          <w:rFonts w:eastAsia="MS Mincho"/>
          <w:b/>
          <w:bCs/>
        </w:rPr>
        <w:t xml:space="preserve">) </w:t>
      </w:r>
    </w:p>
    <w:p w14:paraId="6D798570"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bookmarkStart w:id="12" w:name="_Hlk117600465"/>
      <w:r w:rsidRPr="002F28EE">
        <w:rPr>
          <w:rFonts w:eastAsia="MS Mincho"/>
        </w:rPr>
        <w:t>Terms and definitions comply with Author’s Guide.</w:t>
      </w:r>
    </w:p>
    <w:bookmarkEnd w:id="12"/>
    <w:p w14:paraId="6A00F89F" w14:textId="0FA4A70A"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7</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L.1034 (</w:t>
      </w:r>
      <w:r w:rsidR="00330567" w:rsidRPr="002118ED">
        <w:rPr>
          <w:rFonts w:eastAsia="MS Mincho"/>
          <w:b/>
          <w:bCs/>
          <w:lang w:val="fr-CH"/>
        </w:rPr>
        <w:t xml:space="preserve">ex. </w:t>
      </w:r>
      <w:proofErr w:type="spellStart"/>
      <w:proofErr w:type="gramStart"/>
      <w:r w:rsidRPr="002F28EE">
        <w:rPr>
          <w:rFonts w:eastAsia="MS Mincho"/>
          <w:b/>
          <w:bCs/>
        </w:rPr>
        <w:t>L.Counterfeit</w:t>
      </w:r>
      <w:proofErr w:type="spellEnd"/>
      <w:proofErr w:type="gramEnd"/>
      <w:r w:rsidRPr="002F28EE">
        <w:rPr>
          <w:rFonts w:eastAsia="MS Mincho"/>
          <w:b/>
          <w:bCs/>
        </w:rPr>
        <w:t>)</w:t>
      </w:r>
    </w:p>
    <w:p w14:paraId="424ECAFF"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63CE6D4E" w14:textId="5DDA166D"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8</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L.1040 (</w:t>
      </w:r>
      <w:r w:rsidR="00330567" w:rsidRPr="002118ED">
        <w:rPr>
          <w:rFonts w:eastAsia="MS Mincho"/>
          <w:b/>
          <w:bCs/>
          <w:lang w:val="fr-CH"/>
        </w:rPr>
        <w:t xml:space="preserve">ex. </w:t>
      </w:r>
      <w:proofErr w:type="gramStart"/>
      <w:r w:rsidRPr="002F28EE">
        <w:rPr>
          <w:rFonts w:eastAsia="MS Mincho"/>
          <w:b/>
          <w:bCs/>
        </w:rPr>
        <w:t>L.AUVE</w:t>
      </w:r>
      <w:proofErr w:type="gramEnd"/>
      <w:r w:rsidRPr="002F28EE">
        <w:rPr>
          <w:rFonts w:eastAsia="MS Mincho"/>
          <w:b/>
          <w:bCs/>
        </w:rPr>
        <w:t xml:space="preserve">) </w:t>
      </w:r>
    </w:p>
    <w:p w14:paraId="01442CEB"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2F7BF635" w14:textId="3FFAAFFF"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9</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L.1230 (</w:t>
      </w:r>
      <w:r w:rsidR="00330567" w:rsidRPr="002118ED">
        <w:rPr>
          <w:rFonts w:eastAsia="MS Mincho"/>
          <w:b/>
          <w:bCs/>
          <w:lang w:val="fr-CH"/>
        </w:rPr>
        <w:t xml:space="preserve">ex. </w:t>
      </w:r>
      <w:r w:rsidRPr="002F28EE">
        <w:rPr>
          <w:rFonts w:eastAsia="MS Mincho"/>
          <w:b/>
          <w:bCs/>
        </w:rPr>
        <w:t>L.10kVAC_up to 400VDC)</w:t>
      </w:r>
    </w:p>
    <w:p w14:paraId="41A129FE"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5ED4D957" w14:textId="170132E4"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10</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L.1240 (</w:t>
      </w:r>
      <w:r w:rsidR="00330567" w:rsidRPr="002118ED">
        <w:rPr>
          <w:rFonts w:eastAsia="MS Mincho"/>
          <w:b/>
          <w:bCs/>
          <w:lang w:val="fr-CH"/>
        </w:rPr>
        <w:t xml:space="preserve">ex. </w:t>
      </w:r>
      <w:r w:rsidRPr="002F28EE">
        <w:rPr>
          <w:rFonts w:eastAsia="MS Mincho"/>
          <w:b/>
          <w:bCs/>
        </w:rPr>
        <w:t>L.ESE)</w:t>
      </w:r>
    </w:p>
    <w:p w14:paraId="26A2BB85"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4C0099C8" w14:textId="2E253EAA"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11</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L.1318 (</w:t>
      </w:r>
      <w:r w:rsidR="00330567" w:rsidRPr="002118ED">
        <w:rPr>
          <w:rFonts w:eastAsia="MS Mincho"/>
          <w:b/>
          <w:bCs/>
          <w:lang w:val="fr-CH"/>
        </w:rPr>
        <w:t xml:space="preserve">ex. </w:t>
      </w:r>
      <w:proofErr w:type="gramStart"/>
      <w:r w:rsidRPr="002F28EE">
        <w:rPr>
          <w:rFonts w:eastAsia="MS Mincho"/>
          <w:b/>
          <w:bCs/>
        </w:rPr>
        <w:t>L.TIME</w:t>
      </w:r>
      <w:proofErr w:type="gramEnd"/>
      <w:r w:rsidRPr="002F28EE">
        <w:rPr>
          <w:rFonts w:eastAsia="MS Mincho"/>
          <w:b/>
          <w:bCs/>
        </w:rPr>
        <w:t>)</w:t>
      </w:r>
    </w:p>
    <w:p w14:paraId="4E187DE6"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1CA2BE25" w14:textId="7D82ABF2"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12</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L.1333 (</w:t>
      </w:r>
      <w:r w:rsidR="00330567" w:rsidRPr="002118ED">
        <w:rPr>
          <w:rFonts w:eastAsia="MS Mincho"/>
          <w:b/>
          <w:bCs/>
          <w:lang w:val="fr-CH"/>
        </w:rPr>
        <w:t xml:space="preserve">ex. </w:t>
      </w:r>
      <w:proofErr w:type="spellStart"/>
      <w:proofErr w:type="gramStart"/>
      <w:r w:rsidRPr="002F28EE">
        <w:rPr>
          <w:rFonts w:eastAsia="MS Mincho"/>
          <w:b/>
          <w:bCs/>
        </w:rPr>
        <w:t>L.NCIe</w:t>
      </w:r>
      <w:proofErr w:type="spellEnd"/>
      <w:proofErr w:type="gramEnd"/>
      <w:r w:rsidRPr="002F28EE">
        <w:rPr>
          <w:rFonts w:eastAsia="MS Mincho"/>
          <w:b/>
          <w:bCs/>
        </w:rPr>
        <w:t>)</w:t>
      </w:r>
    </w:p>
    <w:p w14:paraId="2A653FE6"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095125B6" w14:textId="3135034F"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13</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L.1390 (</w:t>
      </w:r>
      <w:r w:rsidR="00330567" w:rsidRPr="002118ED">
        <w:rPr>
          <w:rFonts w:eastAsia="MS Mincho"/>
          <w:b/>
          <w:bCs/>
          <w:lang w:val="fr-CH"/>
        </w:rPr>
        <w:t xml:space="preserve">ex. </w:t>
      </w:r>
      <w:r w:rsidRPr="002F28EE">
        <w:rPr>
          <w:rFonts w:eastAsia="MS Mincho"/>
          <w:b/>
          <w:bCs/>
        </w:rPr>
        <w:t>L.5G_sav)</w:t>
      </w:r>
    </w:p>
    <w:p w14:paraId="092071B7"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3CB72E9B" w14:textId="52ACC90D"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lastRenderedPageBreak/>
        <w:t>14</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L.1480 (</w:t>
      </w:r>
      <w:r w:rsidR="00330567" w:rsidRPr="002118ED">
        <w:rPr>
          <w:rFonts w:eastAsia="MS Mincho"/>
          <w:b/>
          <w:bCs/>
          <w:lang w:val="fr-CH"/>
        </w:rPr>
        <w:t xml:space="preserve">ex. </w:t>
      </w:r>
      <w:proofErr w:type="spellStart"/>
      <w:proofErr w:type="gramStart"/>
      <w:r w:rsidRPr="002F28EE">
        <w:rPr>
          <w:rFonts w:eastAsia="MS Mincho"/>
          <w:b/>
          <w:bCs/>
        </w:rPr>
        <w:t>L.Enablement</w:t>
      </w:r>
      <w:proofErr w:type="spellEnd"/>
      <w:proofErr w:type="gramEnd"/>
      <w:r w:rsidRPr="002F28EE">
        <w:rPr>
          <w:rFonts w:eastAsia="MS Mincho"/>
          <w:b/>
          <w:bCs/>
        </w:rPr>
        <w:t>) Enabling the Net Zero transition: Assessing how the use of ICT solutions impacts GHG emissions of other sectors</w:t>
      </w:r>
    </w:p>
    <w:p w14:paraId="5A83C1D4" w14:textId="4661496F"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highlight w:val="yellow"/>
        </w:rPr>
        <w:t>Wrong format</w:t>
      </w:r>
      <w:r w:rsidR="00993A3A">
        <w:rPr>
          <w:rFonts w:eastAsia="MS Mincho"/>
          <w:highlight w:val="yellow"/>
        </w:rPr>
        <w:t>t</w:t>
      </w:r>
      <w:r w:rsidRPr="002F28EE">
        <w:rPr>
          <w:rFonts w:eastAsia="MS Mincho"/>
          <w:highlight w:val="yellow"/>
        </w:rPr>
        <w:t>i</w:t>
      </w:r>
      <w:r w:rsidR="00EA685F">
        <w:rPr>
          <w:rFonts w:eastAsia="MS Mincho"/>
          <w:highlight w:val="yellow"/>
        </w:rPr>
        <w:t>ng</w:t>
      </w:r>
      <w:r w:rsidRPr="002F28EE">
        <w:rPr>
          <w:rFonts w:eastAsia="MS Mincho"/>
          <w:highlight w:val="yellow"/>
        </w:rPr>
        <w:t>, source document information not part of definition</w:t>
      </w:r>
      <w:r w:rsidRPr="002F28EE">
        <w:rPr>
          <w:rFonts w:eastAsia="MS Mincho"/>
        </w:rPr>
        <w:t xml:space="preserve">. </w:t>
      </w:r>
      <w:r w:rsidRPr="002F28EE">
        <w:rPr>
          <w:rFonts w:eastAsia="MS Mincho"/>
          <w:highlight w:val="green"/>
        </w:rPr>
        <w:t>Repeated source information.</w:t>
      </w:r>
      <w:r w:rsidRPr="002F28EE">
        <w:rPr>
          <w:rFonts w:eastAsia="MS Mincho"/>
        </w:rPr>
        <w:t xml:space="preserve"> </w:t>
      </w:r>
      <w:r w:rsidRPr="002F28EE">
        <w:rPr>
          <w:rFonts w:eastAsia="MS Mincho"/>
          <w:highlight w:val="cyan"/>
        </w:rPr>
        <w:t>More than one sentence</w:t>
      </w:r>
    </w:p>
    <w:p w14:paraId="0BAFD3D6" w14:textId="0D3938C4" w:rsidR="002F28EE" w:rsidRPr="002F28EE" w:rsidRDefault="002F28EE" w:rsidP="002F28EE">
      <w:pPr>
        <w:rPr>
          <w:rFonts w:eastAsia="SimSun"/>
        </w:rPr>
      </w:pPr>
      <w:bookmarkStart w:id="13" w:name="_Toc263630305"/>
      <w:bookmarkStart w:id="14" w:name="_Toc263630504"/>
      <w:bookmarkStart w:id="15" w:name="_Toc263689409"/>
      <w:bookmarkStart w:id="16" w:name="_Toc265069313"/>
      <w:r w:rsidRPr="002F28EE">
        <w:rPr>
          <w:rFonts w:eastAsia="SimSun"/>
          <w:b/>
        </w:rPr>
        <w:t>3.1.1</w:t>
      </w:r>
      <w:r w:rsidRPr="002F28EE">
        <w:rPr>
          <w:rFonts w:eastAsia="SimSun"/>
          <w:b/>
        </w:rPr>
        <w:tab/>
        <w:t>activity data</w:t>
      </w:r>
      <w:r w:rsidRPr="002F28EE">
        <w:rPr>
          <w:rFonts w:eastAsia="SimSun"/>
          <w:bCs/>
        </w:rPr>
        <w:t>:</w:t>
      </w:r>
      <w:r w:rsidRPr="002F28EE">
        <w:rPr>
          <w:rFonts w:eastAsia="SimSun"/>
        </w:rPr>
        <w:t xml:space="preserve"> A quantitative measure of a level of activity that results in GHG emissions. </w:t>
      </w:r>
      <w:r w:rsidRPr="002F28EE">
        <w:rPr>
          <w:rFonts w:eastAsia="SimSun"/>
          <w:highlight w:val="yellow"/>
        </w:rPr>
        <w:t>See [b-GHG Protocol CVCS], clause 7.2. See [L.1410]</w:t>
      </w:r>
    </w:p>
    <w:p w14:paraId="735E68D8" w14:textId="77777777" w:rsidR="002F28EE" w:rsidRPr="002F28EE" w:rsidRDefault="002F28EE" w:rsidP="002F28EE">
      <w:pPr>
        <w:rPr>
          <w:rFonts w:eastAsia="SimSun"/>
        </w:rPr>
      </w:pPr>
      <w:r w:rsidRPr="002F28EE">
        <w:rPr>
          <w:rFonts w:eastAsia="SimSun"/>
          <w:b/>
        </w:rPr>
        <w:t>3.1.2</w:t>
      </w:r>
      <w:r w:rsidRPr="002F28EE">
        <w:rPr>
          <w:rFonts w:eastAsia="SimSun"/>
          <w:b/>
        </w:rPr>
        <w:tab/>
        <w:t>CO</w:t>
      </w:r>
      <w:r w:rsidRPr="002F28EE">
        <w:rPr>
          <w:rFonts w:eastAsia="SimSun"/>
          <w:b/>
          <w:vertAlign w:val="subscript"/>
        </w:rPr>
        <w:t>2</w:t>
      </w:r>
      <w:r w:rsidRPr="002F28EE">
        <w:rPr>
          <w:rFonts w:eastAsia="SimSun"/>
          <w:b/>
        </w:rPr>
        <w:t xml:space="preserve"> equivalent (CO</w:t>
      </w:r>
      <w:r w:rsidRPr="002F28EE">
        <w:rPr>
          <w:rFonts w:eastAsia="SimSun"/>
          <w:b/>
          <w:vertAlign w:val="subscript"/>
        </w:rPr>
        <w:t>2</w:t>
      </w:r>
      <w:r w:rsidRPr="002F28EE">
        <w:rPr>
          <w:rFonts w:eastAsia="SimSun"/>
          <w:b/>
        </w:rPr>
        <w:t>e)</w:t>
      </w:r>
      <w:r w:rsidRPr="002F28EE">
        <w:rPr>
          <w:rFonts w:eastAsia="SimSun"/>
          <w:bCs/>
        </w:rPr>
        <w:t>:</w:t>
      </w:r>
      <w:r w:rsidRPr="002F28EE">
        <w:rPr>
          <w:rFonts w:eastAsia="SimSun"/>
        </w:rPr>
        <w:t xml:space="preserve"> The universal unit of measurement to indicate the global warming potential (GWP) of each of the seven greenhouse gases, expressed in terms of the GWP of one unit of carbon dioxide. </w:t>
      </w:r>
      <w:r w:rsidRPr="002F28EE">
        <w:rPr>
          <w:rFonts w:eastAsia="SimSun"/>
          <w:highlight w:val="cyan"/>
        </w:rPr>
        <w:t>It is used to evaluate releasing (or avoiding releasing) different greenhouse gases against a common basis.</w:t>
      </w:r>
      <w:r w:rsidRPr="002F28EE">
        <w:rPr>
          <w:rFonts w:eastAsia="SimSun"/>
        </w:rPr>
        <w:t xml:space="preserve"> </w:t>
      </w:r>
      <w:r w:rsidRPr="002F28EE">
        <w:rPr>
          <w:rFonts w:eastAsia="SimSun"/>
          <w:highlight w:val="yellow"/>
        </w:rPr>
        <w:t>See [L.1410]</w:t>
      </w:r>
    </w:p>
    <w:p w14:paraId="07E917D7"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rPr>
      </w:pPr>
      <w:r w:rsidRPr="002F28EE">
        <w:rPr>
          <w:rFonts w:eastAsia="Times New Roman"/>
        </w:rPr>
        <w:t xml:space="preserve">NOTE – See </w:t>
      </w:r>
      <w:r w:rsidRPr="002F28EE">
        <w:rPr>
          <w:rFonts w:eastAsia="Times New Roman"/>
          <w:lang w:eastAsia="en-US"/>
        </w:rPr>
        <w:t>[b-GHG Protocol CS]</w:t>
      </w:r>
      <w:r w:rsidRPr="002F28EE">
        <w:rPr>
          <w:rFonts w:eastAsia="Times New Roman"/>
        </w:rPr>
        <w:t>, glossary.</w:t>
      </w:r>
    </w:p>
    <w:bookmarkEnd w:id="13"/>
    <w:bookmarkEnd w:id="14"/>
    <w:bookmarkEnd w:id="15"/>
    <w:bookmarkEnd w:id="16"/>
    <w:p w14:paraId="14443FD7" w14:textId="733EE5E4" w:rsidR="002F28EE" w:rsidRPr="002F28EE" w:rsidRDefault="002F28EE" w:rsidP="002F28EE">
      <w:pPr>
        <w:rPr>
          <w:rFonts w:eastAsia="SimSun"/>
        </w:rPr>
      </w:pPr>
      <w:r w:rsidRPr="002F28EE">
        <w:rPr>
          <w:rFonts w:eastAsia="SimSun"/>
          <w:b/>
          <w:bCs/>
        </w:rPr>
        <w:t>3.1.3</w:t>
      </w:r>
      <w:r w:rsidRPr="002F28EE">
        <w:rPr>
          <w:rFonts w:eastAsia="SimSun"/>
          <w:b/>
          <w:bCs/>
        </w:rPr>
        <w:tab/>
        <w:t>comparative analysis</w:t>
      </w:r>
      <w:r w:rsidRPr="002F28EE">
        <w:rPr>
          <w:rFonts w:eastAsia="SimSun"/>
        </w:rPr>
        <w:t xml:space="preserve">: Analysis aiming to compare two different product systems based on the same functional unit. </w:t>
      </w:r>
      <w:r w:rsidRPr="002F28EE">
        <w:rPr>
          <w:rFonts w:eastAsia="SimSun"/>
          <w:highlight w:val="yellow"/>
        </w:rPr>
        <w:t>See [L.1410]</w:t>
      </w:r>
    </w:p>
    <w:p w14:paraId="1951DF71" w14:textId="1AE660F5" w:rsidR="002F28EE" w:rsidRPr="002F28EE" w:rsidRDefault="002F28EE" w:rsidP="002F28EE">
      <w:pPr>
        <w:rPr>
          <w:rFonts w:eastAsia="Arial Unicode MS"/>
          <w:b/>
          <w:bCs/>
        </w:rPr>
      </w:pPr>
      <w:r w:rsidRPr="002F28EE">
        <w:rPr>
          <w:rFonts w:eastAsia="Arial Unicode MS"/>
          <w:b/>
          <w:bCs/>
        </w:rPr>
        <w:t>3.1.4</w:t>
      </w:r>
      <w:r w:rsidRPr="002F28EE">
        <w:rPr>
          <w:rFonts w:eastAsia="Arial Unicode MS"/>
          <w:b/>
          <w:bCs/>
        </w:rPr>
        <w:tab/>
        <w:t>cut-off</w:t>
      </w:r>
      <w:r w:rsidRPr="002F28EE">
        <w:rPr>
          <w:rFonts w:eastAsia="Arial Unicode MS"/>
        </w:rPr>
        <w:t xml:space="preserve">: </w:t>
      </w:r>
      <w:r w:rsidRPr="002F28EE">
        <w:rPr>
          <w:rFonts w:eastAsia="SimSun"/>
        </w:rPr>
        <w:t xml:space="preserve">Amount of energy or material flow, or the level of environmental significance associated with unit processes or product systems excluded from the study. </w:t>
      </w:r>
      <w:r w:rsidRPr="002F28EE">
        <w:rPr>
          <w:rFonts w:eastAsia="SimSun"/>
          <w:highlight w:val="yellow"/>
        </w:rPr>
        <w:t>See [L.1410]</w:t>
      </w:r>
    </w:p>
    <w:p w14:paraId="74F5BEB3"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NOTE – Unit processes excluded from the studied product system in an LCA.</w:t>
      </w:r>
    </w:p>
    <w:p w14:paraId="12A1D244" w14:textId="7A4A997F" w:rsidR="002F28EE" w:rsidRPr="002F28EE" w:rsidRDefault="002F28EE" w:rsidP="002F28EE">
      <w:pPr>
        <w:rPr>
          <w:rFonts w:eastAsia="SimSun"/>
        </w:rPr>
      </w:pPr>
      <w:r w:rsidRPr="002F28EE">
        <w:rPr>
          <w:rFonts w:eastAsia="SimSun"/>
          <w:b/>
        </w:rPr>
        <w:t>3.1.5</w:t>
      </w:r>
      <w:r w:rsidRPr="002F28EE">
        <w:rPr>
          <w:rFonts w:eastAsia="SimSun"/>
          <w:b/>
        </w:rPr>
        <w:tab/>
        <w:t>emission factor</w:t>
      </w:r>
      <w:r w:rsidRPr="002F28EE">
        <w:rPr>
          <w:rFonts w:eastAsia="SimSun"/>
          <w:bCs/>
        </w:rPr>
        <w:t>:</w:t>
      </w:r>
      <w:r w:rsidRPr="002F28EE">
        <w:rPr>
          <w:rFonts w:eastAsia="SimSun"/>
        </w:rPr>
        <w:t xml:space="preserve"> A factor allowing GHG emissions to be estimated from a unit of available activity data (e.g., tonnes of fuel consumed, tonnes of product produced) and absolute GHG emissions. </w:t>
      </w:r>
      <w:r w:rsidRPr="002F28EE">
        <w:rPr>
          <w:rFonts w:eastAsia="SimSun"/>
          <w:highlight w:val="yellow"/>
        </w:rPr>
        <w:t>See [b-GHG Protocol CS], glossary and [L.1410]</w:t>
      </w:r>
    </w:p>
    <w:p w14:paraId="650C2A48"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NOTE – Another example is: kgCO</w:t>
      </w:r>
      <w:r w:rsidRPr="002F28EE">
        <w:rPr>
          <w:rFonts w:eastAsia="Times New Roman"/>
          <w:vertAlign w:val="subscript"/>
          <w:lang w:eastAsia="en-US"/>
        </w:rPr>
        <w:t>2</w:t>
      </w:r>
      <w:r w:rsidRPr="002F28EE">
        <w:rPr>
          <w:rFonts w:eastAsia="Times New Roman"/>
          <w:lang w:eastAsia="en-US"/>
        </w:rPr>
        <w:t>e/kWh electricity, kgCO</w:t>
      </w:r>
      <w:r w:rsidRPr="002F28EE">
        <w:rPr>
          <w:rFonts w:eastAsia="Times New Roman"/>
          <w:vertAlign w:val="subscript"/>
          <w:lang w:eastAsia="en-US"/>
        </w:rPr>
        <w:t>2</w:t>
      </w:r>
      <w:r w:rsidRPr="002F28EE">
        <w:rPr>
          <w:rFonts w:eastAsia="Times New Roman"/>
          <w:lang w:eastAsia="en-US"/>
        </w:rPr>
        <w:t>e/(</w:t>
      </w:r>
      <w:proofErr w:type="spellStart"/>
      <w:r w:rsidRPr="002F28EE">
        <w:rPr>
          <w:rFonts w:eastAsia="Times New Roman"/>
          <w:lang w:eastAsia="en-US"/>
        </w:rPr>
        <w:t>tonne×km</w:t>
      </w:r>
      <w:proofErr w:type="spellEnd"/>
      <w:r w:rsidRPr="002F28EE">
        <w:rPr>
          <w:rFonts w:eastAsia="Times New Roman"/>
          <w:lang w:eastAsia="en-US"/>
        </w:rPr>
        <w:t>).</w:t>
      </w:r>
    </w:p>
    <w:p w14:paraId="1EBEF31C" w14:textId="59BCCD7D" w:rsidR="002F28EE" w:rsidRPr="002F28EE" w:rsidRDefault="002F28EE" w:rsidP="002F28EE">
      <w:pPr>
        <w:rPr>
          <w:rFonts w:eastAsia="SimSun"/>
        </w:rPr>
      </w:pPr>
      <w:bookmarkStart w:id="17" w:name="_Toc263630306"/>
      <w:bookmarkStart w:id="18" w:name="_Toc263630505"/>
      <w:bookmarkStart w:id="19" w:name="_Toc263689410"/>
      <w:bookmarkStart w:id="20" w:name="_Toc265069314"/>
      <w:r w:rsidRPr="002F28EE">
        <w:rPr>
          <w:rFonts w:eastAsia="SimSun"/>
          <w:b/>
          <w:bCs/>
        </w:rPr>
        <w:t>3.1.6</w:t>
      </w:r>
      <w:r w:rsidRPr="002F28EE">
        <w:rPr>
          <w:rFonts w:eastAsia="SimSun"/>
          <w:b/>
          <w:bCs/>
        </w:rPr>
        <w:tab/>
        <w:t>functional unit</w:t>
      </w:r>
      <w:r w:rsidRPr="002F28EE">
        <w:rPr>
          <w:rFonts w:eastAsia="SimSun"/>
        </w:rPr>
        <w:t xml:space="preserve">: quantified performance of a product system for use as a reference unit. </w:t>
      </w:r>
      <w:r w:rsidRPr="002F28EE">
        <w:rPr>
          <w:rFonts w:eastAsia="SimSun"/>
          <w:highlight w:val="yellow"/>
        </w:rPr>
        <w:t>See [ISO 14040], clause 3.20.</w:t>
      </w:r>
      <w:bookmarkEnd w:id="17"/>
      <w:bookmarkEnd w:id="18"/>
      <w:bookmarkEnd w:id="19"/>
      <w:bookmarkEnd w:id="20"/>
    </w:p>
    <w:p w14:paraId="1E8142AE" w14:textId="51FE11E7" w:rsidR="002F28EE" w:rsidRPr="002F28EE" w:rsidRDefault="002F28EE" w:rsidP="002F28EE">
      <w:pPr>
        <w:rPr>
          <w:rFonts w:eastAsia="SimSun"/>
        </w:rPr>
      </w:pPr>
      <w:r w:rsidRPr="002F28EE">
        <w:rPr>
          <w:rFonts w:eastAsia="SimSun"/>
        </w:rPr>
        <w:t>NOTE: In an assessment of second order effects</w:t>
      </w:r>
      <w:r w:rsidR="00993A3A">
        <w:rPr>
          <w:rFonts w:eastAsia="SimSun"/>
        </w:rPr>
        <w:t>,</w:t>
      </w:r>
      <w:r w:rsidRPr="002F28EE">
        <w:rPr>
          <w:rFonts w:eastAsia="SimSun"/>
        </w:rPr>
        <w:t xml:space="preserve"> the ICT solution scenario and the reference scenario are considered product systems</w:t>
      </w:r>
      <w:r w:rsidR="00993A3A">
        <w:rPr>
          <w:rFonts w:eastAsia="SimSun"/>
        </w:rPr>
        <w:t>,</w:t>
      </w:r>
      <w:r w:rsidRPr="002F28EE">
        <w:rPr>
          <w:rFonts w:eastAsia="SimSun"/>
        </w:rPr>
        <w:t xml:space="preserve"> and the functional unit must be chosen in a way that makes it applicable to both.</w:t>
      </w:r>
    </w:p>
    <w:p w14:paraId="5FE7C7F4" w14:textId="77777777" w:rsidR="002F28EE" w:rsidRPr="002F28EE" w:rsidRDefault="002F28EE" w:rsidP="002F28EE">
      <w:pPr>
        <w:rPr>
          <w:rFonts w:eastAsia="SimSun"/>
        </w:rPr>
      </w:pPr>
      <w:r w:rsidRPr="002F28EE">
        <w:rPr>
          <w:rFonts w:eastAsia="SimSun"/>
        </w:rPr>
        <w:t>NOTE: The functional unit defines the performance characteristics delivered by the ICT solution scenario and the reference scenario. The functional unit shall have a function and a quantifiable unit measuring the performance of that function. L.1410 Clause 6.2.2 gives guidance on the functional unit.</w:t>
      </w:r>
    </w:p>
    <w:p w14:paraId="59EEC510" w14:textId="57E7D205" w:rsidR="002F28EE" w:rsidRPr="002F28EE" w:rsidRDefault="002F28EE" w:rsidP="002F28EE">
      <w:pPr>
        <w:rPr>
          <w:rFonts w:eastAsia="SimSun"/>
          <w:lang w:eastAsia="ko-KR"/>
        </w:rPr>
      </w:pPr>
      <w:r w:rsidRPr="002F28EE">
        <w:rPr>
          <w:rFonts w:eastAsia="SimSun"/>
          <w:b/>
          <w:bCs/>
        </w:rPr>
        <w:t>3.1.7</w:t>
      </w:r>
      <w:r w:rsidRPr="002F28EE">
        <w:rPr>
          <w:rFonts w:eastAsia="SimSun"/>
          <w:b/>
          <w:bCs/>
        </w:rPr>
        <w:tab/>
        <w:t>environmental impact</w:t>
      </w:r>
      <w:r w:rsidRPr="002F28EE">
        <w:rPr>
          <w:rFonts w:eastAsia="SimSun"/>
        </w:rPr>
        <w:t>: I</w:t>
      </w:r>
      <w:r w:rsidRPr="002F28EE">
        <w:rPr>
          <w:rFonts w:eastAsia="SimSun"/>
          <w:lang w:eastAsia="ko-KR"/>
        </w:rPr>
        <w:t>mpact including positive and negative aspects</w:t>
      </w:r>
      <w:r w:rsidRPr="002F28EE">
        <w:rPr>
          <w:rFonts w:eastAsia="SimSun"/>
        </w:rPr>
        <w:t xml:space="preserve"> </w:t>
      </w:r>
      <w:r w:rsidRPr="002F28EE">
        <w:rPr>
          <w:rFonts w:eastAsia="SimSun"/>
          <w:lang w:eastAsia="ko-KR"/>
        </w:rPr>
        <w:t xml:space="preserve">on the environment. </w:t>
      </w:r>
      <w:r w:rsidRPr="002F28EE">
        <w:rPr>
          <w:rFonts w:eastAsia="SimSun"/>
          <w:highlight w:val="yellow"/>
        </w:rPr>
        <w:t>See [L.1410]</w:t>
      </w:r>
    </w:p>
    <w:p w14:paraId="380AE675" w14:textId="22DFD0AF" w:rsidR="002F28EE" w:rsidRPr="002F28EE" w:rsidRDefault="002F28EE" w:rsidP="002F28EE">
      <w:pPr>
        <w:rPr>
          <w:rFonts w:eastAsia="SimSun"/>
        </w:rPr>
      </w:pPr>
      <w:bookmarkStart w:id="21" w:name="_Toc263630316"/>
      <w:bookmarkStart w:id="22" w:name="_Toc263630515"/>
      <w:bookmarkStart w:id="23" w:name="_Toc265069324"/>
      <w:r w:rsidRPr="002F28EE">
        <w:rPr>
          <w:rFonts w:eastAsia="SimSun"/>
          <w:b/>
          <w:bCs/>
        </w:rPr>
        <w:t>3.1.8</w:t>
      </w:r>
      <w:r w:rsidRPr="002F28EE">
        <w:rPr>
          <w:rFonts w:eastAsia="SimSun"/>
          <w:b/>
          <w:bCs/>
        </w:rPr>
        <w:tab/>
        <w:t>environmental load</w:t>
      </w:r>
      <w:r w:rsidRPr="002F28EE">
        <w:rPr>
          <w:rFonts w:eastAsia="SimSun"/>
        </w:rPr>
        <w:t>: Environmental aspect</w:t>
      </w:r>
      <w:r w:rsidR="00A46AF9">
        <w:rPr>
          <w:rFonts w:eastAsia="SimSun"/>
        </w:rPr>
        <w:t>,</w:t>
      </w:r>
      <w:r w:rsidRPr="002F28EE">
        <w:rPr>
          <w:rFonts w:eastAsia="SimSun"/>
        </w:rPr>
        <w:t xml:space="preserve"> which potentially causes interference with environmental conservation.</w:t>
      </w:r>
      <w:bookmarkEnd w:id="21"/>
      <w:bookmarkEnd w:id="22"/>
      <w:bookmarkEnd w:id="23"/>
      <w:r w:rsidRPr="002F28EE">
        <w:rPr>
          <w:rFonts w:eastAsia="SimSun"/>
        </w:rPr>
        <w:t xml:space="preserve"> </w:t>
      </w:r>
      <w:r w:rsidRPr="002F28EE">
        <w:rPr>
          <w:rFonts w:eastAsia="SimSun"/>
          <w:highlight w:val="yellow"/>
        </w:rPr>
        <w:t>See [L.1410]</w:t>
      </w:r>
    </w:p>
    <w:p w14:paraId="1537E2B5" w14:textId="6CF17AFF" w:rsidR="002F28EE" w:rsidRPr="002F28EE" w:rsidRDefault="002F28EE" w:rsidP="002F28EE">
      <w:pPr>
        <w:rPr>
          <w:rFonts w:eastAsia="SimSun"/>
        </w:rPr>
      </w:pPr>
      <w:r w:rsidRPr="002F28EE">
        <w:rPr>
          <w:rFonts w:eastAsia="SimSun"/>
          <w:b/>
        </w:rPr>
        <w:t>3.1.9</w:t>
      </w:r>
      <w:r w:rsidRPr="002F28EE">
        <w:rPr>
          <w:rFonts w:eastAsia="SimSun"/>
          <w:b/>
        </w:rPr>
        <w:tab/>
        <w:t>global warming potential (GWP)</w:t>
      </w:r>
      <w:r w:rsidRPr="002F28EE">
        <w:rPr>
          <w:rFonts w:eastAsia="SimSun"/>
          <w:bCs/>
        </w:rPr>
        <w:t>:</w:t>
      </w:r>
      <w:r w:rsidRPr="002F28EE">
        <w:rPr>
          <w:rFonts w:eastAsia="SimSun"/>
        </w:rPr>
        <w:t xml:space="preserve"> Ratio of the warming of the atmosphere caused by one greenhouse gas to that caused by a similar mass of carbon dioxide. GWP is calculated over a specific time frame, generally 100 years. </w:t>
      </w:r>
      <w:r w:rsidRPr="002F28EE">
        <w:rPr>
          <w:rFonts w:eastAsia="SimSun"/>
          <w:highlight w:val="yellow"/>
        </w:rPr>
        <w:t>See [L.1410]</w:t>
      </w:r>
    </w:p>
    <w:p w14:paraId="1C01092E" w14:textId="77777777" w:rsidR="002F28EE" w:rsidRPr="002F28EE" w:rsidRDefault="002F28EE" w:rsidP="002F28EE">
      <w:pPr>
        <w:rPr>
          <w:rFonts w:eastAsia="SimSun"/>
        </w:rPr>
      </w:pPr>
      <w:r w:rsidRPr="002F28EE">
        <w:rPr>
          <w:rFonts w:eastAsia="SimSun"/>
          <w:b/>
          <w:bCs/>
          <w:kern w:val="2"/>
        </w:rPr>
        <w:t>3.1.10</w:t>
      </w:r>
      <w:r w:rsidRPr="002F28EE">
        <w:rPr>
          <w:rFonts w:eastAsia="SimSun"/>
          <w:b/>
          <w:bCs/>
          <w:kern w:val="2"/>
        </w:rPr>
        <w:tab/>
        <w:t>ICT goods</w:t>
      </w:r>
      <w:r w:rsidRPr="002F28EE">
        <w:rPr>
          <w:rFonts w:eastAsia="Arial Unicode MS"/>
        </w:rPr>
        <w:t xml:space="preserve">: </w:t>
      </w:r>
      <w:r w:rsidRPr="002F28EE">
        <w:rPr>
          <w:rFonts w:eastAsia="SimSun"/>
        </w:rPr>
        <w:t>Tangible goods deriving from or making use of technologies devoted to or concerned with:</w:t>
      </w:r>
    </w:p>
    <w:p w14:paraId="6EC9F1DD"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Arial Unicode MS"/>
          <w:lang w:eastAsia="en-US"/>
        </w:rPr>
      </w:pPr>
      <w:r w:rsidRPr="002F28EE">
        <w:rPr>
          <w:rFonts w:eastAsia="Arial Unicode MS"/>
          <w:lang w:eastAsia="en-US"/>
        </w:rPr>
        <w:t>•</w:t>
      </w:r>
      <w:r w:rsidRPr="002F28EE">
        <w:rPr>
          <w:rFonts w:eastAsia="Arial Unicode MS"/>
          <w:lang w:eastAsia="en-US"/>
        </w:rPr>
        <w:tab/>
        <w:t>the acquisition, storage, manipulation (including transformation), management, movement, control, display, switching, interchange, transmission or reception of a diversity of data;</w:t>
      </w:r>
    </w:p>
    <w:p w14:paraId="5450A86A"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Arial Unicode MS"/>
          <w:lang w:eastAsia="en-US"/>
        </w:rPr>
      </w:pPr>
      <w:r w:rsidRPr="002F28EE">
        <w:rPr>
          <w:rFonts w:eastAsia="Arial Unicode MS"/>
          <w:lang w:eastAsia="en-US"/>
        </w:rPr>
        <w:t>•</w:t>
      </w:r>
      <w:r w:rsidRPr="002F28EE">
        <w:rPr>
          <w:rFonts w:eastAsia="Arial Unicode MS"/>
          <w:lang w:eastAsia="en-US"/>
        </w:rPr>
        <w:tab/>
        <w:t>the development and use of the hardware, software, and procedures associated with this delivery; and</w:t>
      </w:r>
    </w:p>
    <w:p w14:paraId="3559D189"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Arial Unicode MS"/>
          <w:lang w:eastAsia="en-US"/>
        </w:rPr>
      </w:pPr>
      <w:r w:rsidRPr="002F28EE">
        <w:rPr>
          <w:rFonts w:eastAsia="Arial Unicode MS"/>
          <w:lang w:eastAsia="en-US"/>
        </w:rPr>
        <w:lastRenderedPageBreak/>
        <w:t>•</w:t>
      </w:r>
      <w:r w:rsidRPr="002F28EE">
        <w:rPr>
          <w:rFonts w:eastAsia="Arial Unicode MS"/>
          <w:lang w:eastAsia="en-US"/>
        </w:rPr>
        <w:tab/>
        <w:t>the representation, transfer, interpretation, and processing of data among persons, places, and machines, noting that the meaning assigned to the data</w:t>
      </w:r>
      <w:r w:rsidRPr="002F28EE">
        <w:rPr>
          <w:rFonts w:eastAsia="Arial Unicode MS"/>
          <w:lang w:eastAsia="ko-KR"/>
        </w:rPr>
        <w:t xml:space="preserve"> is</w:t>
      </w:r>
      <w:r w:rsidRPr="002F28EE">
        <w:rPr>
          <w:rFonts w:eastAsia="Arial Unicode MS"/>
          <w:lang w:eastAsia="en-US"/>
        </w:rPr>
        <w:t xml:space="preserve"> preserved during these operations.</w:t>
      </w:r>
    </w:p>
    <w:p w14:paraId="51C8453E"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Arial Unicode MS"/>
          <w:lang w:eastAsia="en-US"/>
        </w:rPr>
      </w:pPr>
      <w:r w:rsidRPr="002F28EE">
        <w:rPr>
          <w:rFonts w:eastAsia="Times New Roman"/>
          <w:highlight w:val="yellow"/>
          <w:lang w:eastAsia="en-US"/>
        </w:rPr>
        <w:t>See [L.1410]</w:t>
      </w:r>
    </w:p>
    <w:p w14:paraId="0B153883"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 xml:space="preserve">NOTE – [b-ETSI TS 103 199] used the word "equipment" instead. </w:t>
      </w:r>
    </w:p>
    <w:p w14:paraId="4825BD06"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p>
    <w:p w14:paraId="6AD17B4D"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 xml:space="preserve">Would the shorter </w:t>
      </w:r>
      <w:r w:rsidRPr="002F28EE">
        <w:rPr>
          <w:rFonts w:eastAsia="Times New Roman"/>
          <w:b/>
          <w:bCs/>
          <w:lang w:eastAsia="en-US"/>
        </w:rPr>
        <w:t>ICT product</w:t>
      </w:r>
      <w:r w:rsidRPr="002F28EE">
        <w:rPr>
          <w:rFonts w:eastAsia="Times New Roman"/>
          <w:lang w:eastAsia="en-US"/>
        </w:rPr>
        <w:t xml:space="preserve"> [ISO/IEC 25030:2019]: </w:t>
      </w:r>
      <w:r w:rsidRPr="002F28EE">
        <w:rPr>
          <w:rFonts w:eastAsia="Times New Roman"/>
          <w:i/>
          <w:iCs/>
          <w:lang w:eastAsia="en-US"/>
        </w:rPr>
        <w:t>product which uses information and communication technologies (ICTs) and can be a part of information system</w:t>
      </w:r>
      <w:r w:rsidRPr="002F28EE">
        <w:rPr>
          <w:rFonts w:eastAsia="Times New Roman"/>
          <w:lang w:eastAsia="en-US"/>
        </w:rPr>
        <w:t>. be an alternative?</w:t>
      </w:r>
    </w:p>
    <w:p w14:paraId="017416F0"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p>
    <w:p w14:paraId="5DA0A045" w14:textId="40F313B4" w:rsidR="002F28EE" w:rsidRPr="002F28EE" w:rsidRDefault="002F28EE" w:rsidP="002F28EE">
      <w:pPr>
        <w:rPr>
          <w:rFonts w:eastAsia="SimSun"/>
        </w:rPr>
      </w:pPr>
      <w:r w:rsidRPr="002F28EE">
        <w:rPr>
          <w:rFonts w:eastAsia="SimSun"/>
          <w:b/>
          <w:bCs/>
          <w:kern w:val="2"/>
        </w:rPr>
        <w:t>3.1.11</w:t>
      </w:r>
      <w:r w:rsidRPr="002F28EE">
        <w:rPr>
          <w:rFonts w:eastAsia="SimSun"/>
          <w:b/>
          <w:bCs/>
          <w:kern w:val="2"/>
        </w:rPr>
        <w:tab/>
        <w:t>ICT network</w:t>
      </w:r>
      <w:r w:rsidRPr="002F28EE">
        <w:rPr>
          <w:rFonts w:eastAsia="Arial Unicode MS"/>
        </w:rPr>
        <w:t xml:space="preserve">: </w:t>
      </w:r>
      <w:r w:rsidRPr="002F28EE">
        <w:rPr>
          <w:rFonts w:eastAsia="SimSun"/>
        </w:rPr>
        <w:t>Set of nodes and links that provide physical or over</w:t>
      </w:r>
      <w:r w:rsidR="00A46AF9">
        <w:rPr>
          <w:rFonts w:eastAsia="SimSun"/>
        </w:rPr>
        <w:t>-</w:t>
      </w:r>
      <w:r w:rsidRPr="002F28EE">
        <w:rPr>
          <w:rFonts w:eastAsia="SimSun"/>
        </w:rPr>
        <w:t>the</w:t>
      </w:r>
      <w:r w:rsidR="00A46AF9">
        <w:rPr>
          <w:rFonts w:eastAsia="SimSun"/>
        </w:rPr>
        <w:t>-</w:t>
      </w:r>
      <w:r w:rsidRPr="002F28EE">
        <w:rPr>
          <w:rFonts w:eastAsia="SimSun"/>
        </w:rPr>
        <w:t xml:space="preserve">air information and communication connections between two or more defined points. </w:t>
      </w:r>
      <w:r w:rsidRPr="002F28EE">
        <w:rPr>
          <w:rFonts w:eastAsia="SimSun"/>
          <w:highlight w:val="yellow"/>
        </w:rPr>
        <w:t>See [L.1410]</w:t>
      </w:r>
    </w:p>
    <w:p w14:paraId="763161EA"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EXAMPLE – Wireless network, fixed network, local area network (LAN), home network and server network, access networks, core networks, cloud computing networks.</w:t>
      </w:r>
    </w:p>
    <w:p w14:paraId="5F86340F" w14:textId="4847B3DC" w:rsidR="002F28EE" w:rsidRPr="002F28EE" w:rsidRDefault="002F28EE" w:rsidP="002F28EE">
      <w:pPr>
        <w:rPr>
          <w:rFonts w:eastAsia="SimSun"/>
          <w:b/>
          <w:bCs/>
        </w:rPr>
      </w:pPr>
      <w:r w:rsidRPr="002F28EE">
        <w:rPr>
          <w:rFonts w:eastAsia="SimSun"/>
          <w:b/>
          <w:bCs/>
        </w:rPr>
        <w:t>3.1.12</w:t>
      </w:r>
      <w:r w:rsidRPr="002F28EE">
        <w:rPr>
          <w:rFonts w:eastAsia="SimSun"/>
          <w:b/>
          <w:bCs/>
        </w:rPr>
        <w:tab/>
        <w:t xml:space="preserve">ICT organization </w:t>
      </w:r>
      <w:r w:rsidRPr="002F28EE">
        <w:rPr>
          <w:rFonts w:eastAsia="SimSun"/>
          <w:highlight w:val="green"/>
        </w:rPr>
        <w:t>[ITU-T L.1420]</w:t>
      </w:r>
      <w:r w:rsidRPr="002F28EE">
        <w:rPr>
          <w:rFonts w:eastAsia="SimSun"/>
        </w:rPr>
        <w:t>: An ICT organization is an organization the core activity of which is</w:t>
      </w:r>
      <w:r w:rsidRPr="002F28EE">
        <w:rPr>
          <w:rFonts w:eastAsia="SimSun"/>
          <w:lang w:eastAsia="fr-FR"/>
        </w:rPr>
        <w:t xml:space="preserve"> directly related to the design, production, promotion, sales or maintenance of ICT goods, networks or services. </w:t>
      </w:r>
      <w:r w:rsidRPr="002F28EE">
        <w:rPr>
          <w:rFonts w:eastAsia="SimSun"/>
          <w:highlight w:val="yellow"/>
        </w:rPr>
        <w:t>See [L.1420]</w:t>
      </w:r>
    </w:p>
    <w:p w14:paraId="3A880C93" w14:textId="77777777" w:rsidR="002F28EE" w:rsidRPr="002F28EE" w:rsidRDefault="002F28EE" w:rsidP="002F28EE">
      <w:pPr>
        <w:rPr>
          <w:rFonts w:eastAsia="SimSun"/>
          <w:lang w:eastAsia="ko-KR"/>
        </w:rPr>
      </w:pPr>
      <w:r w:rsidRPr="002F28EE">
        <w:rPr>
          <w:rFonts w:eastAsia="SimSun"/>
          <w:b/>
          <w:lang w:eastAsia="ko-KR"/>
        </w:rPr>
        <w:t>3.1.13</w:t>
      </w:r>
      <w:r w:rsidRPr="002F28EE">
        <w:rPr>
          <w:rFonts w:eastAsia="SimSun"/>
          <w:b/>
          <w:lang w:eastAsia="ko-KR"/>
        </w:rPr>
        <w:tab/>
        <w:t xml:space="preserve">ICT project </w:t>
      </w:r>
      <w:r w:rsidRPr="002F28EE">
        <w:rPr>
          <w:rFonts w:eastAsia="SimSun"/>
          <w:highlight w:val="green"/>
        </w:rPr>
        <w:t>[ITU-T L.1430]</w:t>
      </w:r>
      <w:r w:rsidRPr="002F28EE">
        <w:rPr>
          <w:rFonts w:eastAsia="SimSun"/>
        </w:rPr>
        <w:t>:</w:t>
      </w:r>
      <w:r w:rsidRPr="002F28EE">
        <w:rPr>
          <w:rFonts w:eastAsia="SimSun"/>
          <w:lang w:eastAsia="ko-KR"/>
        </w:rPr>
        <w:t xml:space="preserve"> A set of activities intended to implement a specific task that uses mainly ICT goods, networks and services. </w:t>
      </w:r>
      <w:r w:rsidRPr="002F28EE">
        <w:rPr>
          <w:rFonts w:eastAsia="SimSun"/>
          <w:highlight w:val="cyan"/>
          <w:lang w:eastAsia="ko-KR"/>
        </w:rPr>
        <w:t>The task may consist of undertaking one or more ICT project activities with the ICT goods, networks and services.</w:t>
      </w:r>
      <w:r w:rsidRPr="002F28EE">
        <w:rPr>
          <w:rFonts w:eastAsia="SimSun"/>
          <w:lang w:eastAsia="ko-KR"/>
        </w:rPr>
        <w:t xml:space="preserve"> </w:t>
      </w:r>
      <w:r w:rsidRPr="002F28EE">
        <w:rPr>
          <w:rFonts w:eastAsia="SimSun"/>
          <w:highlight w:val="yellow"/>
        </w:rPr>
        <w:t>See [L.1430]</w:t>
      </w:r>
    </w:p>
    <w:p w14:paraId="1057372D" w14:textId="77777777" w:rsidR="002F28EE" w:rsidRPr="002F28EE" w:rsidRDefault="002F28EE" w:rsidP="002F28EE">
      <w:pPr>
        <w:rPr>
          <w:rFonts w:eastAsia="SimSun"/>
        </w:rPr>
      </w:pPr>
      <w:r w:rsidRPr="002F28EE">
        <w:rPr>
          <w:rFonts w:eastAsia="SimSun"/>
          <w:b/>
          <w:bCs/>
        </w:rPr>
        <w:t xml:space="preserve">3.1.14 ICT sector: </w:t>
      </w:r>
      <w:r w:rsidRPr="002F28EE">
        <w:rPr>
          <w:rFonts w:eastAsia="SimSun"/>
        </w:rPr>
        <w:t xml:space="preserve">A combination of manufacturing and services industries that capture, transmit and display data and information electronically. </w:t>
      </w:r>
      <w:r w:rsidRPr="002F28EE">
        <w:rPr>
          <w:rFonts w:eastAsia="SimSun"/>
          <w:highlight w:val="yellow"/>
        </w:rPr>
        <w:t>See [L.1410]</w:t>
      </w:r>
    </w:p>
    <w:p w14:paraId="7CEC6FAB" w14:textId="77777777" w:rsidR="002F28EE" w:rsidRPr="002F28EE" w:rsidRDefault="002F28EE" w:rsidP="002F28EE">
      <w:pPr>
        <w:rPr>
          <w:rFonts w:eastAsia="SimSun"/>
          <w:b/>
          <w:bCs/>
        </w:rPr>
      </w:pPr>
      <w:r w:rsidRPr="002F28EE">
        <w:rPr>
          <w:rFonts w:eastAsia="SimSun"/>
        </w:rPr>
        <w:t>NOTE: See the OECD definition of the ICT sector https://www.oecd.org/sti/ieconomy/2771153.pdf</w:t>
      </w:r>
    </w:p>
    <w:p w14:paraId="1584E76A" w14:textId="77777777" w:rsidR="002F28EE" w:rsidRPr="002F28EE" w:rsidRDefault="002F28EE" w:rsidP="002F28EE">
      <w:pPr>
        <w:rPr>
          <w:rFonts w:eastAsia="SimSun"/>
        </w:rPr>
      </w:pPr>
      <w:r w:rsidRPr="002F28EE">
        <w:rPr>
          <w:rFonts w:eastAsia="SimSun"/>
          <w:b/>
          <w:bCs/>
        </w:rPr>
        <w:t>3.1.15</w:t>
      </w:r>
      <w:r w:rsidRPr="002F28EE">
        <w:rPr>
          <w:rFonts w:eastAsia="SimSun"/>
          <w:b/>
          <w:bCs/>
        </w:rPr>
        <w:tab/>
        <w:t>ICT service (application)</w:t>
      </w:r>
      <w:r w:rsidRPr="002F28EE">
        <w:rPr>
          <w:rFonts w:eastAsia="Arial Unicode MS"/>
        </w:rPr>
        <w:t xml:space="preserve">: </w:t>
      </w:r>
      <w:r w:rsidRPr="002F28EE">
        <w:rPr>
          <w:rFonts w:eastAsia="SimSun"/>
        </w:rPr>
        <w:t xml:space="preserve">Use of ICT goods and/or networks to provide value to one or more users. </w:t>
      </w:r>
      <w:r w:rsidRPr="002F28EE">
        <w:rPr>
          <w:rFonts w:eastAsia="SimSun"/>
          <w:highlight w:val="yellow"/>
        </w:rPr>
        <w:t>See [L.1410]</w:t>
      </w:r>
    </w:p>
    <w:p w14:paraId="26AE7D64" w14:textId="1163A8A2"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EXAMPLE – Teleconferencing, teleworking, e-ticketing, e-learning, e-health</w:t>
      </w:r>
      <w:r w:rsidR="00A46AF9">
        <w:rPr>
          <w:rFonts w:eastAsia="Times New Roman"/>
          <w:lang w:eastAsia="en-US"/>
        </w:rPr>
        <w:t xml:space="preserve"> </w:t>
      </w:r>
      <w:r w:rsidRPr="002F28EE">
        <w:rPr>
          <w:rFonts w:eastAsia="Times New Roman"/>
          <w:lang w:eastAsia="en-US"/>
        </w:rPr>
        <w:t>care, smart transport and logistics, procurement systems, supply chain management systems, music/film distribution over the Internet or voice over IP, machine-to-machine systems.</w:t>
      </w:r>
    </w:p>
    <w:p w14:paraId="0F0D1B6E" w14:textId="77777777" w:rsidR="002F28EE" w:rsidRPr="002F28EE" w:rsidRDefault="002F28EE" w:rsidP="002F28EE">
      <w:pPr>
        <w:rPr>
          <w:rFonts w:eastAsia="Arial Unicode MS"/>
        </w:rPr>
      </w:pPr>
      <w:r w:rsidRPr="002F28EE">
        <w:rPr>
          <w:rFonts w:eastAsia="SimSun"/>
          <w:b/>
          <w:bCs/>
          <w:kern w:val="2"/>
        </w:rPr>
        <w:t>3.1.16</w:t>
      </w:r>
      <w:r w:rsidRPr="002F28EE">
        <w:rPr>
          <w:rFonts w:eastAsia="SimSun"/>
          <w:b/>
          <w:bCs/>
          <w:kern w:val="2"/>
        </w:rPr>
        <w:tab/>
        <w:t>ICT-specific data</w:t>
      </w:r>
      <w:r w:rsidRPr="002F28EE">
        <w:rPr>
          <w:rFonts w:eastAsia="Arial Unicode MS"/>
          <w:bCs/>
        </w:rPr>
        <w:t>:</w:t>
      </w:r>
      <w:r w:rsidRPr="002F28EE">
        <w:rPr>
          <w:rFonts w:eastAsia="Arial Unicode MS"/>
        </w:rPr>
        <w:t xml:space="preserve"> </w:t>
      </w:r>
      <w:r w:rsidRPr="002F28EE">
        <w:rPr>
          <w:rFonts w:eastAsia="SimSun"/>
        </w:rPr>
        <w:t xml:space="preserve">Data emerging from ICT-specific applications and processes. </w:t>
      </w:r>
      <w:r w:rsidRPr="002F28EE">
        <w:rPr>
          <w:rFonts w:eastAsia="SimSun"/>
          <w:highlight w:val="yellow"/>
        </w:rPr>
        <w:t>See [L.1410]</w:t>
      </w:r>
    </w:p>
    <w:p w14:paraId="04E203FC"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Arial Unicode MS"/>
          <w:lang w:eastAsia="en-US"/>
        </w:rPr>
      </w:pPr>
      <w:r w:rsidRPr="002F28EE">
        <w:rPr>
          <w:rFonts w:eastAsia="Times New Roman"/>
          <w:lang w:eastAsia="en-US"/>
        </w:rPr>
        <w:t>NOTE –This data could be either primary or secondary.</w:t>
      </w:r>
    </w:p>
    <w:p w14:paraId="6DBF96C9" w14:textId="3047CDA9" w:rsidR="002F28EE" w:rsidRPr="002F28EE" w:rsidRDefault="002F28EE" w:rsidP="002F28EE">
      <w:pPr>
        <w:rPr>
          <w:rFonts w:eastAsia="Arial Unicode MS"/>
        </w:rPr>
      </w:pPr>
      <w:r w:rsidRPr="002F28EE">
        <w:rPr>
          <w:rFonts w:eastAsia="SimSun"/>
          <w:b/>
          <w:bCs/>
          <w:kern w:val="2"/>
        </w:rPr>
        <w:t>3.1.17</w:t>
      </w:r>
      <w:r w:rsidRPr="002F28EE">
        <w:rPr>
          <w:rFonts w:eastAsia="SimSun"/>
          <w:b/>
          <w:bCs/>
          <w:kern w:val="2"/>
        </w:rPr>
        <w:tab/>
        <w:t>infrastructure</w:t>
      </w:r>
      <w:r w:rsidRPr="002F28EE">
        <w:rPr>
          <w:rFonts w:eastAsia="Arial Unicode MS"/>
        </w:rPr>
        <w:t xml:space="preserve">: </w:t>
      </w:r>
      <w:r w:rsidRPr="002F28EE">
        <w:rPr>
          <w:rFonts w:eastAsia="SimSun"/>
        </w:rPr>
        <w:t>Basic structures needed for the operation of the society</w:t>
      </w:r>
      <w:r w:rsidRPr="002F28EE">
        <w:rPr>
          <w:rFonts w:eastAsia="Arial Unicode MS"/>
        </w:rPr>
        <w:t xml:space="preserve">. </w:t>
      </w:r>
      <w:r w:rsidRPr="002F28EE">
        <w:rPr>
          <w:rFonts w:eastAsia="SimSun"/>
          <w:highlight w:val="yellow"/>
        </w:rPr>
        <w:t>See [L.1410]</w:t>
      </w:r>
    </w:p>
    <w:p w14:paraId="6A089EB8" w14:textId="234FF50D"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 xml:space="preserve">EXAMPLE – Transportation systems, </w:t>
      </w:r>
      <w:r w:rsidR="004C465C" w:rsidRPr="002F28EE">
        <w:rPr>
          <w:rFonts w:eastAsia="Times New Roman"/>
          <w:lang w:eastAsia="en-US"/>
        </w:rPr>
        <w:t>buildings,</w:t>
      </w:r>
      <w:r w:rsidRPr="002F28EE">
        <w:rPr>
          <w:rFonts w:eastAsia="Times New Roman"/>
          <w:lang w:eastAsia="en-US"/>
        </w:rPr>
        <w:t xml:space="preserve"> and power plants.</w:t>
      </w:r>
    </w:p>
    <w:p w14:paraId="67BDE2DD" w14:textId="3AF6A4FA" w:rsidR="002F28EE" w:rsidRPr="002F28EE" w:rsidRDefault="002F28EE" w:rsidP="002F28EE">
      <w:pPr>
        <w:rPr>
          <w:rFonts w:eastAsia="SimSun"/>
        </w:rPr>
      </w:pPr>
      <w:bookmarkStart w:id="24" w:name="_Toc263630307"/>
      <w:bookmarkStart w:id="25" w:name="_Toc263630506"/>
      <w:bookmarkStart w:id="26" w:name="_Toc263689411"/>
      <w:bookmarkStart w:id="27" w:name="_Toc265069315"/>
      <w:r w:rsidRPr="002F28EE">
        <w:rPr>
          <w:rFonts w:eastAsia="SimSun"/>
          <w:b/>
          <w:bCs/>
        </w:rPr>
        <w:t>3.1.18</w:t>
      </w:r>
      <w:r w:rsidRPr="002F28EE">
        <w:rPr>
          <w:rFonts w:eastAsia="SimSun"/>
        </w:rPr>
        <w:tab/>
      </w:r>
      <w:r w:rsidRPr="002F28EE">
        <w:rPr>
          <w:rFonts w:eastAsia="SimSun"/>
          <w:b/>
          <w:bCs/>
        </w:rPr>
        <w:t>life cycle</w:t>
      </w:r>
      <w:r w:rsidRPr="002F28EE">
        <w:rPr>
          <w:rFonts w:eastAsia="SimSun"/>
        </w:rPr>
        <w:t xml:space="preserve">: consecutive and interlinked stages of a product system, from raw material acquisition or generation from natural resources to final disposal. </w:t>
      </w:r>
      <w:r w:rsidRPr="002F28EE">
        <w:rPr>
          <w:rFonts w:eastAsia="SimSun"/>
          <w:highlight w:val="yellow"/>
        </w:rPr>
        <w:t>See [ISO 14040], clause 3.1</w:t>
      </w:r>
      <w:bookmarkEnd w:id="24"/>
      <w:bookmarkEnd w:id="25"/>
      <w:bookmarkEnd w:id="26"/>
      <w:bookmarkEnd w:id="27"/>
      <w:r w:rsidRPr="002F28EE">
        <w:rPr>
          <w:rFonts w:eastAsia="SimSun"/>
          <w:highlight w:val="yellow"/>
        </w:rPr>
        <w:t>.</w:t>
      </w:r>
    </w:p>
    <w:p w14:paraId="7AB5394F" w14:textId="76EA8E80" w:rsidR="002F28EE" w:rsidRPr="002F28EE" w:rsidRDefault="002F28EE" w:rsidP="002F28EE">
      <w:pPr>
        <w:rPr>
          <w:rFonts w:eastAsia="SimSun"/>
        </w:rPr>
      </w:pPr>
      <w:r w:rsidRPr="002F28EE">
        <w:rPr>
          <w:rFonts w:eastAsia="SimSun"/>
        </w:rPr>
        <w:t xml:space="preserve">NOTE – Recommendation ITU L.1410 defines the life cycle of ICT goods, </w:t>
      </w:r>
      <w:r w:rsidR="004C465C" w:rsidRPr="002F28EE">
        <w:rPr>
          <w:rFonts w:eastAsia="SimSun"/>
        </w:rPr>
        <w:t>networks,</w:t>
      </w:r>
      <w:r w:rsidRPr="002F28EE">
        <w:rPr>
          <w:rFonts w:eastAsia="SimSun"/>
        </w:rPr>
        <w:t xml:space="preserve"> and services. </w:t>
      </w:r>
    </w:p>
    <w:p w14:paraId="156483AA" w14:textId="451160F5" w:rsidR="002F28EE" w:rsidRPr="002F28EE" w:rsidRDefault="002F28EE" w:rsidP="002F28EE">
      <w:pPr>
        <w:rPr>
          <w:rFonts w:eastAsia="Arial Unicode MS"/>
        </w:rPr>
      </w:pPr>
      <w:r w:rsidRPr="002F28EE">
        <w:rPr>
          <w:rFonts w:eastAsia="SimSun"/>
          <w:b/>
          <w:bCs/>
          <w:kern w:val="2"/>
        </w:rPr>
        <w:t>3.1.19</w:t>
      </w:r>
      <w:r w:rsidRPr="002F28EE">
        <w:rPr>
          <w:rFonts w:eastAsia="SimSun"/>
          <w:b/>
          <w:bCs/>
          <w:kern w:val="2"/>
        </w:rPr>
        <w:tab/>
        <w:t>life cycle stage</w:t>
      </w:r>
      <w:r w:rsidRPr="002F28EE">
        <w:rPr>
          <w:rFonts w:eastAsia="Arial Unicode MS"/>
        </w:rPr>
        <w:t xml:space="preserve">: </w:t>
      </w:r>
      <w:r w:rsidRPr="002F28EE">
        <w:rPr>
          <w:rFonts w:eastAsia="SimSun"/>
        </w:rPr>
        <w:t xml:space="preserve">One of several consecutive and interlinked stages of a product system. </w:t>
      </w:r>
      <w:r w:rsidRPr="002F28EE">
        <w:rPr>
          <w:rFonts w:eastAsia="SimSun"/>
          <w:highlight w:val="yellow"/>
        </w:rPr>
        <w:t>See [L.1410]</w:t>
      </w:r>
    </w:p>
    <w:p w14:paraId="4C1BBCE4" w14:textId="02B6B42D" w:rsidR="002F28EE" w:rsidRPr="002F28EE" w:rsidRDefault="002F28EE" w:rsidP="002F28EE">
      <w:pPr>
        <w:rPr>
          <w:rFonts w:eastAsia="SimSun"/>
          <w:lang w:val="en-US"/>
        </w:rPr>
      </w:pPr>
      <w:r w:rsidRPr="002F28EE">
        <w:rPr>
          <w:rFonts w:eastAsia="SimSun"/>
          <w:b/>
          <w:bCs/>
          <w:lang w:val="en-US"/>
        </w:rPr>
        <w:t>3.1.20 metadata</w:t>
      </w:r>
      <w:r w:rsidRPr="002F28EE">
        <w:rPr>
          <w:rFonts w:eastAsia="SimSun"/>
          <w:lang w:val="en-US"/>
        </w:rPr>
        <w:t xml:space="preserve"> [b-ISO/IEC 2382]: Data about data or data elements, possibly including their data descriptions, and data about data ownership, access paths, access rights and data volatility.</w:t>
      </w:r>
    </w:p>
    <w:p w14:paraId="5F2A5024" w14:textId="2737098E" w:rsidR="002F28EE" w:rsidRPr="002F28EE" w:rsidRDefault="002F28EE" w:rsidP="002F28EE">
      <w:pPr>
        <w:rPr>
          <w:rFonts w:eastAsia="SimSun"/>
          <w:lang w:val="en-US" w:eastAsia="en-US"/>
        </w:rPr>
      </w:pPr>
      <w:r w:rsidRPr="002F28EE">
        <w:rPr>
          <w:rFonts w:eastAsia="SimSun"/>
          <w:lang w:val="en-US"/>
        </w:rPr>
        <w:t>NOTE – In this Recommendation</w:t>
      </w:r>
      <w:r w:rsidR="00A46AF9">
        <w:rPr>
          <w:rFonts w:eastAsia="SimSun"/>
          <w:lang w:val="en-US"/>
        </w:rPr>
        <w:t>,</w:t>
      </w:r>
      <w:r w:rsidRPr="002F28EE">
        <w:rPr>
          <w:rFonts w:eastAsia="SimSun"/>
          <w:lang w:val="en-US"/>
        </w:rPr>
        <w:t xml:space="preserve"> metadata regarding ownership, access and violation is not addressed</w:t>
      </w:r>
      <w:r w:rsidR="00A46AF9">
        <w:rPr>
          <w:rFonts w:eastAsia="SimSun"/>
          <w:lang w:val="en-US"/>
        </w:rPr>
        <w:t>.</w:t>
      </w:r>
    </w:p>
    <w:p w14:paraId="755162B2" w14:textId="56A177AE" w:rsidR="002F28EE" w:rsidRPr="002F28EE" w:rsidRDefault="002F28EE" w:rsidP="002F28EE">
      <w:pPr>
        <w:rPr>
          <w:rFonts w:eastAsia="SimSun"/>
        </w:rPr>
      </w:pPr>
      <w:r w:rsidRPr="002F28EE">
        <w:rPr>
          <w:rFonts w:eastAsia="SimSun"/>
          <w:b/>
          <w:bCs/>
          <w:kern w:val="2"/>
        </w:rPr>
        <w:t>3.1.21</w:t>
      </w:r>
      <w:r w:rsidRPr="002F28EE">
        <w:rPr>
          <w:rFonts w:eastAsia="SimSun"/>
          <w:b/>
          <w:bCs/>
          <w:kern w:val="2"/>
        </w:rPr>
        <w:tab/>
        <w:t>modelled data</w:t>
      </w:r>
      <w:r w:rsidRPr="002F28EE">
        <w:rPr>
          <w:rFonts w:eastAsia="SimSun"/>
        </w:rPr>
        <w:t xml:space="preserve">: Assumption-driven estimates, such as estimates resulting from scenarios, which are forward looking or scaled up from smaller pilot studies. </w:t>
      </w:r>
      <w:r w:rsidRPr="002F28EE">
        <w:rPr>
          <w:rFonts w:eastAsia="SimSun"/>
          <w:highlight w:val="yellow"/>
        </w:rPr>
        <w:t>See [L.1410]</w:t>
      </w:r>
    </w:p>
    <w:p w14:paraId="4E443CE6" w14:textId="77777777" w:rsidR="002F28EE" w:rsidRPr="002F28EE" w:rsidRDefault="002F28EE" w:rsidP="002F28EE">
      <w:pPr>
        <w:rPr>
          <w:rFonts w:eastAsia="SimSun"/>
        </w:rPr>
      </w:pPr>
      <w:r w:rsidRPr="002F28EE">
        <w:rPr>
          <w:rFonts w:eastAsia="SimSun"/>
          <w:b/>
          <w:bCs/>
          <w:kern w:val="2"/>
        </w:rPr>
        <w:lastRenderedPageBreak/>
        <w:t>3.1.22</w:t>
      </w:r>
      <w:r w:rsidRPr="002F28EE">
        <w:rPr>
          <w:rFonts w:eastAsia="SimSun"/>
          <w:b/>
          <w:bCs/>
          <w:kern w:val="2"/>
        </w:rPr>
        <w:tab/>
        <w:t>operator</w:t>
      </w:r>
      <w:r w:rsidRPr="002F28EE">
        <w:rPr>
          <w:rFonts w:eastAsia="Arial Unicode MS"/>
        </w:rPr>
        <w:t xml:space="preserve">: </w:t>
      </w:r>
      <w:r w:rsidRPr="002F28EE">
        <w:rPr>
          <w:rFonts w:eastAsia="SimSun"/>
        </w:rPr>
        <w:t xml:space="preserve">Organization operating networks and services. </w:t>
      </w:r>
      <w:r w:rsidRPr="002F28EE">
        <w:rPr>
          <w:rFonts w:eastAsia="SimSun"/>
          <w:highlight w:val="yellow"/>
        </w:rPr>
        <w:t>See [L.1410]</w:t>
      </w:r>
    </w:p>
    <w:p w14:paraId="2AE135AC" w14:textId="77777777" w:rsidR="002F28EE" w:rsidRPr="002F28EE" w:rsidRDefault="002F28EE" w:rsidP="002F28EE">
      <w:pPr>
        <w:rPr>
          <w:rFonts w:eastAsia="MS Mincho"/>
        </w:rPr>
      </w:pPr>
      <w:r w:rsidRPr="002F28EE">
        <w:rPr>
          <w:rFonts w:eastAsia="Arial Unicode MS"/>
          <w:b/>
          <w:bCs/>
        </w:rPr>
        <w:t>3.1.23</w:t>
      </w:r>
      <w:r w:rsidRPr="002F28EE">
        <w:rPr>
          <w:rFonts w:eastAsia="Arial Unicode MS"/>
          <w:b/>
          <w:bCs/>
        </w:rPr>
        <w:tab/>
        <w:t>primary data</w:t>
      </w:r>
      <w:r w:rsidRPr="002F28EE">
        <w:rPr>
          <w:rFonts w:eastAsia="Arial Unicode MS"/>
        </w:rPr>
        <w:t xml:space="preserve">: </w:t>
      </w:r>
      <w:r w:rsidRPr="002F28EE">
        <w:rPr>
          <w:rFonts w:eastAsia="MS Mincho"/>
        </w:rPr>
        <w:t xml:space="preserve">See [b-ISO 14046], clause 3.6.1. </w:t>
      </w:r>
      <w:r w:rsidRPr="002F28EE">
        <w:rPr>
          <w:rFonts w:eastAsia="SimSun"/>
          <w:highlight w:val="yellow"/>
        </w:rPr>
        <w:t>See [L.1410]</w:t>
      </w:r>
    </w:p>
    <w:p w14:paraId="1CD4D377"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NOTE 1 – In practice, primary data may be emission factors and/or activity data.</w:t>
      </w:r>
    </w:p>
    <w:p w14:paraId="2BC136C0" w14:textId="05765CC3"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NOTE 2 – Primary data includes site-specific data, i.e., data from one specific unit process within a site; and site</w:t>
      </w:r>
      <w:r w:rsidRPr="002F28EE">
        <w:rPr>
          <w:rFonts w:eastAsia="Times New Roman"/>
          <w:lang w:eastAsia="en-US"/>
        </w:rPr>
        <w:noBreakHyphen/>
        <w:t>average data, i.e., representative averages of site-specific data collected from organizations within the product system</w:t>
      </w:r>
      <w:r w:rsidR="00A46AF9">
        <w:rPr>
          <w:rFonts w:eastAsia="Times New Roman"/>
          <w:lang w:eastAsia="en-US"/>
        </w:rPr>
        <w:t>,</w:t>
      </w:r>
      <w:r w:rsidRPr="002F28EE">
        <w:rPr>
          <w:rFonts w:eastAsia="Times New Roman"/>
          <w:lang w:eastAsia="en-US"/>
        </w:rPr>
        <w:t xml:space="preserve"> which operate equivalent processes.</w:t>
      </w:r>
    </w:p>
    <w:p w14:paraId="2E5E3845" w14:textId="5E937010" w:rsidR="002F28EE" w:rsidRPr="002F28EE" w:rsidRDefault="002F28EE" w:rsidP="002F28EE">
      <w:pPr>
        <w:rPr>
          <w:rFonts w:eastAsia="SimSun"/>
        </w:rPr>
      </w:pPr>
      <w:bookmarkStart w:id="28" w:name="_Toc263630308"/>
      <w:bookmarkStart w:id="29" w:name="_Toc263630507"/>
      <w:bookmarkStart w:id="30" w:name="_Toc263689412"/>
      <w:bookmarkStart w:id="31" w:name="_Toc265069316"/>
      <w:r w:rsidRPr="002F28EE">
        <w:rPr>
          <w:rFonts w:eastAsia="SimSun"/>
          <w:b/>
          <w:bCs/>
        </w:rPr>
        <w:t>3.1.24</w:t>
      </w:r>
      <w:r w:rsidRPr="002F28EE">
        <w:rPr>
          <w:rFonts w:eastAsia="SimSun"/>
          <w:b/>
          <w:bCs/>
        </w:rPr>
        <w:tab/>
        <w:t>product system</w:t>
      </w:r>
      <w:r w:rsidRPr="002F28EE">
        <w:rPr>
          <w:rFonts w:eastAsia="SimSun"/>
        </w:rPr>
        <w:t>: See [ISO 14040], clause 3.28</w:t>
      </w:r>
      <w:bookmarkEnd w:id="28"/>
      <w:bookmarkEnd w:id="29"/>
      <w:bookmarkEnd w:id="30"/>
      <w:bookmarkEnd w:id="31"/>
      <w:r w:rsidRPr="002F28EE">
        <w:rPr>
          <w:rFonts w:eastAsia="SimSun"/>
        </w:rPr>
        <w:t>.</w:t>
      </w:r>
    </w:p>
    <w:p w14:paraId="6FA184B5" w14:textId="16DA453E" w:rsidR="002F28EE" w:rsidRPr="002F28EE" w:rsidRDefault="002F28EE" w:rsidP="002F28EE">
      <w:pPr>
        <w:rPr>
          <w:rFonts w:eastAsia="SimSun"/>
        </w:rPr>
      </w:pPr>
      <w:bookmarkStart w:id="32" w:name="_Toc263630322"/>
      <w:bookmarkStart w:id="33" w:name="_Toc263630521"/>
      <w:bookmarkStart w:id="34" w:name="_Toc265069330"/>
      <w:r w:rsidRPr="002F28EE">
        <w:rPr>
          <w:rFonts w:eastAsia="SimSun"/>
          <w:b/>
          <w:bCs/>
        </w:rPr>
        <w:t>3.1.25</w:t>
      </w:r>
      <w:r w:rsidRPr="002F28EE">
        <w:rPr>
          <w:rFonts w:eastAsia="SimSun"/>
          <w:b/>
          <w:bCs/>
        </w:rPr>
        <w:tab/>
        <w:t>raw material</w:t>
      </w:r>
      <w:r w:rsidRPr="002F28EE">
        <w:rPr>
          <w:rFonts w:eastAsia="SimSun"/>
        </w:rPr>
        <w:t>:</w:t>
      </w:r>
      <w:bookmarkEnd w:id="32"/>
      <w:bookmarkEnd w:id="33"/>
      <w:bookmarkEnd w:id="34"/>
      <w:r w:rsidRPr="002F28EE">
        <w:rPr>
          <w:rFonts w:eastAsia="SimSun"/>
        </w:rPr>
        <w:t xml:space="preserve"> See [ISO 14040], clause 3.15.</w:t>
      </w:r>
    </w:p>
    <w:p w14:paraId="226D0533" w14:textId="15D121F0" w:rsidR="002F28EE" w:rsidRPr="002F28EE" w:rsidRDefault="002F28EE" w:rsidP="002F28EE">
      <w:pPr>
        <w:rPr>
          <w:rFonts w:eastAsia="SimSun"/>
        </w:rPr>
      </w:pPr>
      <w:r w:rsidRPr="002F28EE">
        <w:rPr>
          <w:rFonts w:eastAsia="SimSun"/>
          <w:b/>
          <w:bCs/>
        </w:rPr>
        <w:t>3.1.26</w:t>
      </w:r>
      <w:r w:rsidRPr="002F28EE">
        <w:rPr>
          <w:rFonts w:eastAsia="SimSun"/>
          <w:b/>
          <w:bCs/>
        </w:rPr>
        <w:tab/>
        <w:t>raw material extraction</w:t>
      </w:r>
      <w:r w:rsidRPr="002F28EE">
        <w:rPr>
          <w:rFonts w:eastAsia="Arial Unicode MS"/>
        </w:rPr>
        <w:t xml:space="preserve">: </w:t>
      </w:r>
      <w:r w:rsidRPr="002F28EE">
        <w:rPr>
          <w:rFonts w:eastAsia="SimSun"/>
        </w:rPr>
        <w:t xml:space="preserve">Production of extracted raw materials used in raw material processing. </w:t>
      </w:r>
      <w:r w:rsidRPr="002F28EE">
        <w:rPr>
          <w:rFonts w:eastAsia="SimSun"/>
          <w:highlight w:val="yellow"/>
        </w:rPr>
        <w:t>See [L.1410]</w:t>
      </w:r>
    </w:p>
    <w:p w14:paraId="4B6D294D" w14:textId="1246D81D" w:rsidR="002F28EE" w:rsidRPr="002F28EE" w:rsidRDefault="002F28EE" w:rsidP="002F28EE">
      <w:pPr>
        <w:rPr>
          <w:rFonts w:eastAsia="SimSun"/>
        </w:rPr>
      </w:pPr>
      <w:r w:rsidRPr="002F28EE">
        <w:rPr>
          <w:rFonts w:eastAsia="Arial Unicode MS"/>
          <w:b/>
          <w:bCs/>
        </w:rPr>
        <w:t>3.1.27</w:t>
      </w:r>
      <w:r w:rsidRPr="002F28EE">
        <w:rPr>
          <w:rFonts w:eastAsia="Arial Unicode MS"/>
          <w:b/>
          <w:bCs/>
        </w:rPr>
        <w:tab/>
      </w:r>
      <w:r w:rsidRPr="002F28EE">
        <w:rPr>
          <w:rFonts w:eastAsia="SimSun"/>
          <w:b/>
          <w:bCs/>
        </w:rPr>
        <w:t>raw material processing</w:t>
      </w:r>
      <w:r w:rsidRPr="002F28EE">
        <w:rPr>
          <w:rFonts w:eastAsia="Arial Unicode MS"/>
        </w:rPr>
        <w:t xml:space="preserve">: </w:t>
      </w:r>
      <w:r w:rsidRPr="002F28EE">
        <w:rPr>
          <w:rFonts w:eastAsia="SimSun"/>
        </w:rPr>
        <w:t xml:space="preserve">Production of processed raw materials used in the production of a part. </w:t>
      </w:r>
      <w:r w:rsidRPr="002F28EE">
        <w:rPr>
          <w:rFonts w:eastAsia="SimSun"/>
          <w:highlight w:val="yellow"/>
        </w:rPr>
        <w:t>See [L.1410]</w:t>
      </w:r>
    </w:p>
    <w:p w14:paraId="35D65C85" w14:textId="628B9ED6" w:rsidR="002F28EE" w:rsidRPr="002F28EE" w:rsidRDefault="002F28EE" w:rsidP="002F28EE">
      <w:pPr>
        <w:rPr>
          <w:rFonts w:eastAsia="SimSun"/>
        </w:rPr>
      </w:pPr>
      <w:r w:rsidRPr="002F28EE">
        <w:rPr>
          <w:rFonts w:eastAsia="Arial Unicode MS"/>
          <w:b/>
          <w:bCs/>
        </w:rPr>
        <w:t>3.1.28</w:t>
      </w:r>
      <w:r w:rsidRPr="002F28EE">
        <w:rPr>
          <w:rFonts w:eastAsia="Arial Unicode MS"/>
          <w:b/>
          <w:bCs/>
        </w:rPr>
        <w:tab/>
      </w:r>
      <w:r w:rsidRPr="002F28EE">
        <w:rPr>
          <w:rFonts w:eastAsia="SimSun"/>
          <w:b/>
          <w:bCs/>
        </w:rPr>
        <w:t>reference product system</w:t>
      </w:r>
      <w:r w:rsidRPr="002F28EE">
        <w:rPr>
          <w:rFonts w:eastAsia="Arial Unicode MS"/>
        </w:rPr>
        <w:t xml:space="preserve">: </w:t>
      </w:r>
      <w:r w:rsidRPr="002F28EE">
        <w:rPr>
          <w:rFonts w:eastAsia="SimSun"/>
        </w:rPr>
        <w:t>System (basically non-ICT but can also be ICT)</w:t>
      </w:r>
      <w:r w:rsidR="00A46AF9">
        <w:rPr>
          <w:rFonts w:eastAsia="SimSun"/>
        </w:rPr>
        <w:t>,</w:t>
      </w:r>
      <w:r w:rsidRPr="002F28EE">
        <w:rPr>
          <w:rFonts w:eastAsia="SimSun"/>
        </w:rPr>
        <w:t xml:space="preserve"> which is replaced by ICT. </w:t>
      </w:r>
      <w:r w:rsidRPr="002F28EE">
        <w:rPr>
          <w:rFonts w:eastAsia="SimSun"/>
          <w:highlight w:val="yellow"/>
        </w:rPr>
        <w:t>See [L.1410]</w:t>
      </w:r>
    </w:p>
    <w:p w14:paraId="7BA82338" w14:textId="0A3AFE62"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lang w:eastAsia="en-US"/>
        </w:rPr>
      </w:pPr>
      <w:r w:rsidRPr="002F28EE">
        <w:rPr>
          <w:rFonts w:eastAsia="Times New Roman"/>
          <w:lang w:eastAsia="en-US"/>
        </w:rPr>
        <w:t>EXAMPLE – Traditional service</w:t>
      </w:r>
      <w:r w:rsidR="00A46AF9">
        <w:rPr>
          <w:rFonts w:eastAsia="Times New Roman"/>
          <w:lang w:eastAsia="en-US"/>
        </w:rPr>
        <w:t>,</w:t>
      </w:r>
      <w:r w:rsidRPr="002F28EE">
        <w:rPr>
          <w:rFonts w:eastAsia="Times New Roman"/>
          <w:lang w:eastAsia="en-US"/>
        </w:rPr>
        <w:t xml:space="preserve"> which is replaced by an ICT service.</w:t>
      </w:r>
    </w:p>
    <w:p w14:paraId="7C5C116D" w14:textId="38CF1859" w:rsidR="002F28EE" w:rsidRPr="002F28EE" w:rsidRDefault="002F28EE" w:rsidP="002F28EE">
      <w:pPr>
        <w:rPr>
          <w:rFonts w:eastAsia="MS Mincho"/>
        </w:rPr>
      </w:pPr>
      <w:r w:rsidRPr="002F28EE">
        <w:rPr>
          <w:rFonts w:eastAsia="SimSun"/>
          <w:b/>
          <w:bCs/>
        </w:rPr>
        <w:t>3.1.29</w:t>
      </w:r>
      <w:r w:rsidRPr="002F28EE">
        <w:rPr>
          <w:rFonts w:eastAsia="SimSun"/>
          <w:b/>
          <w:bCs/>
        </w:rPr>
        <w:tab/>
        <w:t>secondary data:</w:t>
      </w:r>
      <w:r w:rsidRPr="002F28EE">
        <w:rPr>
          <w:rFonts w:eastAsia="SimSun"/>
        </w:rPr>
        <w:t xml:space="preserve"> See [b-ISO 14046], clause 3.6.2.</w:t>
      </w:r>
    </w:p>
    <w:p w14:paraId="73158CFD"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en-US"/>
        </w:rPr>
      </w:pPr>
      <w:r w:rsidRPr="002F28EE">
        <w:rPr>
          <w:rFonts w:eastAsia="Times New Roman"/>
          <w:lang w:eastAsia="en-US"/>
        </w:rPr>
        <w:t xml:space="preserve">NOTE – Such sources can include databases (a list of LCA databases (publicly available and licence based) provided by the EU, published literature, national inventories, and other generic sources. </w:t>
      </w:r>
      <w:r w:rsidRPr="002F28EE">
        <w:rPr>
          <w:rFonts w:eastAsia="Times New Roman"/>
          <w:highlight w:val="yellow"/>
          <w:lang w:eastAsia="en-US"/>
        </w:rPr>
        <w:t>See [L.1410]</w:t>
      </w:r>
    </w:p>
    <w:p w14:paraId="1CCEB2A2" w14:textId="7C2D6C93" w:rsidR="002F28EE" w:rsidRPr="002F28EE" w:rsidRDefault="002F28EE" w:rsidP="002F28EE">
      <w:pPr>
        <w:rPr>
          <w:rFonts w:eastAsia="SimSun"/>
        </w:rPr>
      </w:pPr>
      <w:r w:rsidRPr="002F28EE">
        <w:rPr>
          <w:rFonts w:eastAsia="SimSun"/>
          <w:b/>
          <w:bCs/>
        </w:rPr>
        <w:t>3.1.30</w:t>
      </w:r>
      <w:r w:rsidRPr="002F28EE">
        <w:rPr>
          <w:rFonts w:eastAsia="SimSun"/>
          <w:b/>
          <w:bCs/>
        </w:rPr>
        <w:tab/>
        <w:t>traffic</w:t>
      </w:r>
      <w:r w:rsidRPr="002F28EE">
        <w:rPr>
          <w:rFonts w:eastAsia="Arial Unicode MS"/>
        </w:rPr>
        <w:t xml:space="preserve">: </w:t>
      </w:r>
      <w:r w:rsidRPr="002F28EE">
        <w:rPr>
          <w:rFonts w:eastAsia="SimSun"/>
        </w:rPr>
        <w:t xml:space="preserve">Total volume of cells, blocks, frames, packets, calls, </w:t>
      </w:r>
      <w:r w:rsidR="004C465C" w:rsidRPr="002F28EE">
        <w:rPr>
          <w:rFonts w:eastAsia="SimSun"/>
        </w:rPr>
        <w:t>messages,</w:t>
      </w:r>
      <w:r w:rsidRPr="002F28EE">
        <w:rPr>
          <w:rFonts w:eastAsia="SimSun"/>
        </w:rPr>
        <w:t xml:space="preserve"> or other units of data carried over a circuit or network, or processed through a switch, router or other system. </w:t>
      </w:r>
      <w:r w:rsidRPr="002F28EE">
        <w:rPr>
          <w:rFonts w:eastAsia="SimSun"/>
          <w:highlight w:val="yellow"/>
        </w:rPr>
        <w:t>See [L.1410]</w:t>
      </w:r>
    </w:p>
    <w:p w14:paraId="40A7B9E8" w14:textId="54010408" w:rsidR="002F28EE" w:rsidRPr="002F28EE" w:rsidRDefault="002F28EE" w:rsidP="002F28EE">
      <w:pPr>
        <w:rPr>
          <w:rFonts w:eastAsia="SimSun"/>
        </w:rPr>
      </w:pPr>
      <w:r w:rsidRPr="002F28EE">
        <w:rPr>
          <w:rFonts w:eastAsia="SimSun"/>
          <w:b/>
          <w:bCs/>
        </w:rPr>
        <w:t>3.1.31</w:t>
      </w:r>
      <w:r w:rsidRPr="002F28EE">
        <w:rPr>
          <w:rFonts w:eastAsia="SimSun"/>
          <w:b/>
          <w:bCs/>
        </w:rPr>
        <w:tab/>
        <w:t>unit process</w:t>
      </w:r>
      <w:r w:rsidRPr="002F28EE">
        <w:rPr>
          <w:rFonts w:eastAsia="Arial Unicode MS"/>
        </w:rPr>
        <w:t xml:space="preserve">: </w:t>
      </w:r>
      <w:r w:rsidRPr="002F28EE">
        <w:rPr>
          <w:rFonts w:eastAsia="SimSun"/>
        </w:rPr>
        <w:t xml:space="preserve">Smallest element considered in the life cycle inventory analysis for which </w:t>
      </w:r>
      <w:r w:rsidR="00C51C1B" w:rsidRPr="002F28EE">
        <w:rPr>
          <w:rFonts w:eastAsia="SimSun"/>
        </w:rPr>
        <w:t>input,</w:t>
      </w:r>
      <w:r w:rsidRPr="002F28EE">
        <w:rPr>
          <w:rFonts w:eastAsia="SimSun"/>
        </w:rPr>
        <w:t xml:space="preserve"> and output data are quantified </w:t>
      </w:r>
      <w:r w:rsidRPr="002F28EE">
        <w:rPr>
          <w:rFonts w:eastAsia="SimSun"/>
          <w:highlight w:val="yellow"/>
        </w:rPr>
        <w:t>(see also [ISO 14040],[ISO 14044]).</w:t>
      </w:r>
    </w:p>
    <w:p w14:paraId="7D93D6F0"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80"/>
        <w:textAlignment w:val="baseline"/>
        <w:rPr>
          <w:rFonts w:eastAsia="Times New Roman"/>
          <w:szCs w:val="20"/>
          <w:lang w:eastAsia="en-US"/>
        </w:rPr>
      </w:pPr>
      <w:r w:rsidRPr="002F28EE">
        <w:rPr>
          <w:rFonts w:eastAsia="Times New Roman"/>
          <w:szCs w:val="20"/>
          <w:lang w:eastAsia="en-US"/>
        </w:rPr>
        <w:t>EXAMPLE – Part unit process such as IC Encapsulation and Display module assembly.</w:t>
      </w:r>
    </w:p>
    <w:p w14:paraId="2BA9B757" w14:textId="682A2B54" w:rsidR="002F28EE" w:rsidRPr="002F28EE" w:rsidRDefault="002F28EE" w:rsidP="002F28EE">
      <w:pPr>
        <w:rPr>
          <w:rFonts w:eastAsia="SimSun"/>
        </w:rPr>
      </w:pPr>
      <w:r w:rsidRPr="002F28EE">
        <w:rPr>
          <w:rFonts w:eastAsia="SimSun"/>
          <w:b/>
          <w:bCs/>
        </w:rPr>
        <w:t>3.1.32</w:t>
      </w:r>
      <w:r w:rsidRPr="002F28EE">
        <w:rPr>
          <w:rFonts w:eastAsia="SimSun"/>
          <w:b/>
          <w:bCs/>
        </w:rPr>
        <w:tab/>
        <w:t>waste</w:t>
      </w:r>
      <w:r w:rsidRPr="002F28EE">
        <w:rPr>
          <w:rFonts w:eastAsia="SimSun"/>
        </w:rPr>
        <w:t xml:space="preserve">: substances or objects which the holder intends or is required to dispose of. </w:t>
      </w:r>
      <w:r w:rsidRPr="002F28EE">
        <w:rPr>
          <w:rFonts w:eastAsia="SimSun"/>
          <w:highlight w:val="yellow"/>
        </w:rPr>
        <w:t>See [ISO 14040], clause 3.35</w:t>
      </w:r>
      <w:r w:rsidRPr="002F28EE">
        <w:rPr>
          <w:rFonts w:eastAsia="SimSun"/>
        </w:rPr>
        <w:t>.</w:t>
      </w:r>
    </w:p>
    <w:p w14:paraId="28EB4BB7" w14:textId="4169A00E"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19110B">
        <w:rPr>
          <w:rFonts w:eastAsia="MS Mincho"/>
          <w:b/>
          <w:bCs/>
        </w:rPr>
        <w:t>15</w:t>
      </w:r>
      <w:r w:rsidRPr="0019110B">
        <w:rPr>
          <w:rFonts w:eastAsia="MS Mincho"/>
          <w:b/>
          <w:bCs/>
        </w:rPr>
        <w:tab/>
      </w:r>
      <w:r w:rsidR="00330567" w:rsidRPr="0019110B">
        <w:rPr>
          <w:rFonts w:eastAsia="MS Mincho"/>
          <w:b/>
          <w:bCs/>
        </w:rPr>
        <w:t xml:space="preserve">Recommendation ITU-T </w:t>
      </w:r>
      <w:r w:rsidRPr="0019110B">
        <w:rPr>
          <w:rFonts w:eastAsia="MS Mincho"/>
          <w:b/>
          <w:bCs/>
        </w:rPr>
        <w:t>L.1481 (</w:t>
      </w:r>
      <w:r w:rsidR="00330567" w:rsidRPr="0019110B">
        <w:rPr>
          <w:rFonts w:eastAsia="MS Mincho"/>
          <w:b/>
          <w:bCs/>
        </w:rPr>
        <w:t xml:space="preserve">ex. </w:t>
      </w:r>
      <w:r w:rsidRPr="002F28EE">
        <w:rPr>
          <w:rFonts w:eastAsia="MS Mincho"/>
          <w:b/>
          <w:bCs/>
        </w:rPr>
        <w:t>L.Connect2030)</w:t>
      </w:r>
    </w:p>
    <w:p w14:paraId="65C46D6A"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Uses non-compliant L.1480 definition</w:t>
      </w:r>
    </w:p>
    <w:p w14:paraId="3BA675B7" w14:textId="17B9F264" w:rsidR="002F28EE" w:rsidRPr="002F28EE" w:rsidRDefault="002F28EE" w:rsidP="002F28EE">
      <w:pPr>
        <w:rPr>
          <w:rFonts w:eastAsia="SimSun"/>
        </w:rPr>
      </w:pPr>
      <w:r w:rsidRPr="002F28EE">
        <w:rPr>
          <w:rFonts w:eastAsia="SimSun"/>
          <w:b/>
          <w:bCs/>
        </w:rPr>
        <w:t>3.1.3.</w:t>
      </w:r>
      <w:r w:rsidRPr="002F28EE">
        <w:rPr>
          <w:rFonts w:eastAsia="SimSun"/>
          <w:b/>
          <w:bCs/>
        </w:rPr>
        <w:tab/>
        <w:t>second order effects [ITU-T L.1480]</w:t>
      </w:r>
      <w:r w:rsidRPr="002F28EE">
        <w:rPr>
          <w:rFonts w:eastAsia="SimSun"/>
        </w:rPr>
        <w:t>: The indirect impact created by the use and application of ICTs. This includes changes of environmental load due to the use of ICTs that could be positive or negative.</w:t>
      </w:r>
    </w:p>
    <w:p w14:paraId="7BFED122" w14:textId="74F421CD"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16</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L.1604 (</w:t>
      </w:r>
      <w:r w:rsidR="00330567" w:rsidRPr="002118ED">
        <w:rPr>
          <w:rFonts w:eastAsia="MS Mincho"/>
          <w:b/>
          <w:bCs/>
          <w:lang w:val="fr-CH"/>
        </w:rPr>
        <w:t xml:space="preserve">ex. </w:t>
      </w:r>
      <w:r w:rsidRPr="002F28EE">
        <w:rPr>
          <w:rFonts w:eastAsia="MS Mincho"/>
          <w:b/>
          <w:bCs/>
        </w:rPr>
        <w:t>L.FUB)</w:t>
      </w:r>
    </w:p>
    <w:p w14:paraId="79A9F584"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083CC603" w14:textId="7E8E5FD0"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17</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L.1610 (</w:t>
      </w:r>
      <w:r w:rsidR="00330567" w:rsidRPr="002118ED">
        <w:rPr>
          <w:rFonts w:eastAsia="MS Mincho"/>
          <w:b/>
          <w:bCs/>
          <w:lang w:val="fr-CH"/>
        </w:rPr>
        <w:t xml:space="preserve">ex. </w:t>
      </w:r>
      <w:proofErr w:type="gramStart"/>
      <w:r w:rsidRPr="002F28EE">
        <w:rPr>
          <w:rFonts w:eastAsia="MS Mincho"/>
          <w:b/>
          <w:bCs/>
        </w:rPr>
        <w:t>L.CSAF</w:t>
      </w:r>
      <w:proofErr w:type="gramEnd"/>
      <w:r w:rsidRPr="002F28EE">
        <w:rPr>
          <w:rFonts w:eastAsia="MS Mincho"/>
          <w:b/>
          <w:bCs/>
        </w:rPr>
        <w:t>)</w:t>
      </w:r>
    </w:p>
    <w:p w14:paraId="1E851AB6" w14:textId="77777777"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735E85BD" w14:textId="4A8EDC4A" w:rsidR="002F28EE" w:rsidRPr="002F28EE" w:rsidRDefault="002F28EE" w:rsidP="002F28EE">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b/>
          <w:bCs/>
        </w:rPr>
      </w:pPr>
      <w:r w:rsidRPr="002118ED">
        <w:rPr>
          <w:rFonts w:eastAsia="MS Mincho"/>
          <w:b/>
          <w:bCs/>
          <w:lang w:val="fr-CH"/>
        </w:rPr>
        <w:t>18</w:t>
      </w:r>
      <w:r w:rsidRPr="002118ED">
        <w:rPr>
          <w:rFonts w:eastAsia="MS Mincho"/>
          <w:b/>
          <w:bCs/>
          <w:lang w:val="fr-CH"/>
        </w:rPr>
        <w:tab/>
      </w:r>
      <w:proofErr w:type="spellStart"/>
      <w:r w:rsidR="00330567" w:rsidRPr="002118ED">
        <w:rPr>
          <w:rFonts w:eastAsia="MS Mincho"/>
          <w:b/>
          <w:bCs/>
          <w:lang w:val="fr-CH"/>
        </w:rPr>
        <w:t>Recommendation</w:t>
      </w:r>
      <w:proofErr w:type="spellEnd"/>
      <w:r w:rsidR="00330567" w:rsidRPr="002118ED">
        <w:rPr>
          <w:rFonts w:eastAsia="MS Mincho"/>
          <w:b/>
          <w:bCs/>
          <w:lang w:val="fr-CH"/>
        </w:rPr>
        <w:t xml:space="preserve"> ITU-T </w:t>
      </w:r>
      <w:r w:rsidRPr="002118ED">
        <w:rPr>
          <w:rFonts w:eastAsia="MS Mincho"/>
          <w:b/>
          <w:bCs/>
          <w:lang w:val="fr-CH"/>
        </w:rPr>
        <w:t>L.1620 (</w:t>
      </w:r>
      <w:r w:rsidR="00330567" w:rsidRPr="002118ED">
        <w:rPr>
          <w:rFonts w:eastAsia="MS Mincho"/>
          <w:b/>
          <w:bCs/>
          <w:lang w:val="fr-CH"/>
        </w:rPr>
        <w:t xml:space="preserve">ex. </w:t>
      </w:r>
      <w:r w:rsidRPr="002F28EE">
        <w:rPr>
          <w:rFonts w:eastAsia="MS Mincho"/>
          <w:b/>
          <w:bCs/>
        </w:rPr>
        <w:t>L.GCC)</w:t>
      </w:r>
    </w:p>
    <w:p w14:paraId="70FBDF66" w14:textId="514864F5" w:rsidR="003B4CF8" w:rsidRPr="004C465C" w:rsidRDefault="002F28EE" w:rsidP="004C465C">
      <w:pPr>
        <w:tabs>
          <w:tab w:val="left" w:pos="794"/>
          <w:tab w:val="left" w:pos="1191"/>
          <w:tab w:val="left" w:pos="1588"/>
          <w:tab w:val="left" w:pos="1985"/>
        </w:tabs>
        <w:overflowPunct w:val="0"/>
        <w:autoSpaceDE w:val="0"/>
        <w:autoSpaceDN w:val="0"/>
        <w:adjustRightInd w:val="0"/>
        <w:spacing w:before="240" w:line="240" w:lineRule="atLeast"/>
        <w:jc w:val="both"/>
        <w:textAlignment w:val="baseline"/>
        <w:rPr>
          <w:rFonts w:eastAsia="MS Mincho"/>
        </w:rPr>
      </w:pPr>
      <w:r w:rsidRPr="002F28EE">
        <w:rPr>
          <w:rFonts w:eastAsia="MS Mincho"/>
        </w:rPr>
        <w:t>Terms and definitions comply with Author’s Guide.</w:t>
      </w:r>
    </w:p>
    <w:p w14:paraId="1F3DFDE6" w14:textId="77777777" w:rsidR="004C465C" w:rsidRDefault="004C465C" w:rsidP="00BF1C1D"/>
    <w:p w14:paraId="09B62E97" w14:textId="5633E0A5" w:rsidR="00900EF1" w:rsidRDefault="00682F1F" w:rsidP="00BF1C1D">
      <w:r>
        <w:t>SG5 looks forward to continued cooperation on terms and definitions with other SGs, SCV and CCV.</w:t>
      </w:r>
    </w:p>
    <w:p w14:paraId="269839DD" w14:textId="6F846958" w:rsidR="00BF1C1D" w:rsidRDefault="00E71046" w:rsidP="00E71046">
      <w:pPr>
        <w:jc w:val="center"/>
      </w:pPr>
      <w:r>
        <w:t>_______________________</w:t>
      </w:r>
    </w:p>
    <w:sectPr w:rsidR="00BF1C1D" w:rsidSect="0019110B">
      <w:headerReference w:type="default" r:id="rId1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3E3E" w14:textId="77777777" w:rsidR="0025763D" w:rsidRDefault="0025763D" w:rsidP="00C42125">
      <w:pPr>
        <w:spacing w:before="0"/>
      </w:pPr>
      <w:r>
        <w:separator/>
      </w:r>
    </w:p>
  </w:endnote>
  <w:endnote w:type="continuationSeparator" w:id="0">
    <w:p w14:paraId="23478799" w14:textId="77777777" w:rsidR="0025763D" w:rsidRDefault="0025763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10">
    <w:altName w:val="Microsoft YaHei"/>
    <w:panose1 w:val="00000000000000000000"/>
    <w:charset w:val="86"/>
    <w:family w:val="swiss"/>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525E" w14:textId="77777777" w:rsidR="0025763D" w:rsidRDefault="0025763D" w:rsidP="00C42125">
      <w:pPr>
        <w:spacing w:before="0"/>
      </w:pPr>
      <w:r>
        <w:separator/>
      </w:r>
    </w:p>
  </w:footnote>
  <w:footnote w:type="continuationSeparator" w:id="0">
    <w:p w14:paraId="6389753C" w14:textId="77777777" w:rsidR="0025763D" w:rsidRDefault="0025763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CCC8" w14:textId="598F9ACD" w:rsidR="00366201" w:rsidRPr="0019110B" w:rsidRDefault="0019110B" w:rsidP="0019110B">
    <w:pPr>
      <w:pStyle w:val="Header"/>
    </w:pPr>
    <w:r w:rsidRPr="0019110B">
      <w:t xml:space="preserve">- </w:t>
    </w:r>
    <w:r w:rsidRPr="0019110B">
      <w:fldChar w:fldCharType="begin"/>
    </w:r>
    <w:r w:rsidRPr="0019110B">
      <w:instrText xml:space="preserve"> PAGE  \* MERGEFORMAT </w:instrText>
    </w:r>
    <w:r w:rsidRPr="0019110B">
      <w:fldChar w:fldCharType="separate"/>
    </w:r>
    <w:r w:rsidRPr="0019110B">
      <w:rPr>
        <w:noProof/>
      </w:rPr>
      <w:t>1</w:t>
    </w:r>
    <w:r w:rsidRPr="0019110B">
      <w:fldChar w:fldCharType="end"/>
    </w:r>
    <w:r w:rsidRPr="0019110B">
      <w:t xml:space="preserve"> -</w:t>
    </w:r>
  </w:p>
  <w:p w14:paraId="753283B6" w14:textId="6AE3DBBC" w:rsidR="0019110B" w:rsidRPr="0019110B" w:rsidRDefault="0019110B" w:rsidP="0019110B">
    <w:pPr>
      <w:pStyle w:val="Header"/>
      <w:spacing w:after="240"/>
    </w:pPr>
    <w:r w:rsidRPr="0019110B">
      <w:fldChar w:fldCharType="begin"/>
    </w:r>
    <w:r w:rsidRPr="0019110B">
      <w:instrText xml:space="preserve"> STYLEREF  Docnumber  </w:instrText>
    </w:r>
    <w:r w:rsidRPr="0019110B">
      <w:fldChar w:fldCharType="separate"/>
    </w:r>
    <w:r w:rsidR="006B030D">
      <w:rPr>
        <w:noProof/>
      </w:rPr>
      <w:t>SCV-TD29</w:t>
    </w:r>
    <w:r w:rsidRPr="0019110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num w:numId="1" w16cid:durableId="302275245">
    <w:abstractNumId w:val="9"/>
  </w:num>
  <w:num w:numId="2" w16cid:durableId="718556479">
    <w:abstractNumId w:val="7"/>
  </w:num>
  <w:num w:numId="3" w16cid:durableId="1700400402">
    <w:abstractNumId w:val="6"/>
  </w:num>
  <w:num w:numId="4" w16cid:durableId="1872456292">
    <w:abstractNumId w:val="5"/>
  </w:num>
  <w:num w:numId="5" w16cid:durableId="332225464">
    <w:abstractNumId w:val="4"/>
  </w:num>
  <w:num w:numId="6" w16cid:durableId="1412000304">
    <w:abstractNumId w:val="8"/>
  </w:num>
  <w:num w:numId="7" w16cid:durableId="1551191604">
    <w:abstractNumId w:val="3"/>
  </w:num>
  <w:num w:numId="8" w16cid:durableId="340931155">
    <w:abstractNumId w:val="2"/>
  </w:num>
  <w:num w:numId="9" w16cid:durableId="790828216">
    <w:abstractNumId w:val="1"/>
  </w:num>
  <w:num w:numId="10" w16cid:durableId="73547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A"/>
    <w:rsid w:val="00014F69"/>
    <w:rsid w:val="000171DB"/>
    <w:rsid w:val="00023D9A"/>
    <w:rsid w:val="0003582E"/>
    <w:rsid w:val="00043D75"/>
    <w:rsid w:val="00057000"/>
    <w:rsid w:val="00061268"/>
    <w:rsid w:val="000640E0"/>
    <w:rsid w:val="000920CE"/>
    <w:rsid w:val="000966A8"/>
    <w:rsid w:val="000A5CA2"/>
    <w:rsid w:val="000B553C"/>
    <w:rsid w:val="000B739D"/>
    <w:rsid w:val="000C397B"/>
    <w:rsid w:val="000E6125"/>
    <w:rsid w:val="00113DBE"/>
    <w:rsid w:val="001200A6"/>
    <w:rsid w:val="001224D2"/>
    <w:rsid w:val="00124A40"/>
    <w:rsid w:val="001251DA"/>
    <w:rsid w:val="00125432"/>
    <w:rsid w:val="00136DDD"/>
    <w:rsid w:val="00136E8B"/>
    <w:rsid w:val="00137F40"/>
    <w:rsid w:val="001410FD"/>
    <w:rsid w:val="00144BDF"/>
    <w:rsid w:val="001474BB"/>
    <w:rsid w:val="00155DDC"/>
    <w:rsid w:val="00155EFC"/>
    <w:rsid w:val="00161830"/>
    <w:rsid w:val="001871EC"/>
    <w:rsid w:val="0019110B"/>
    <w:rsid w:val="001A20C3"/>
    <w:rsid w:val="001A670F"/>
    <w:rsid w:val="001B6A45"/>
    <w:rsid w:val="001C62B8"/>
    <w:rsid w:val="001D22D8"/>
    <w:rsid w:val="001D4296"/>
    <w:rsid w:val="001E7B0E"/>
    <w:rsid w:val="001F141D"/>
    <w:rsid w:val="00200A06"/>
    <w:rsid w:val="00200A98"/>
    <w:rsid w:val="00201AFA"/>
    <w:rsid w:val="002118ED"/>
    <w:rsid w:val="002229F1"/>
    <w:rsid w:val="00233F75"/>
    <w:rsid w:val="00253DBE"/>
    <w:rsid w:val="00253DC6"/>
    <w:rsid w:val="0025489C"/>
    <w:rsid w:val="0025763D"/>
    <w:rsid w:val="002622FA"/>
    <w:rsid w:val="00263518"/>
    <w:rsid w:val="00263B33"/>
    <w:rsid w:val="002759E7"/>
    <w:rsid w:val="00277326"/>
    <w:rsid w:val="002A11C4"/>
    <w:rsid w:val="002A399B"/>
    <w:rsid w:val="002C26C0"/>
    <w:rsid w:val="002C2BC5"/>
    <w:rsid w:val="002C502A"/>
    <w:rsid w:val="002D6447"/>
    <w:rsid w:val="002E0407"/>
    <w:rsid w:val="002E3C52"/>
    <w:rsid w:val="002E79CB"/>
    <w:rsid w:val="002F28EE"/>
    <w:rsid w:val="002F5070"/>
    <w:rsid w:val="002F7F55"/>
    <w:rsid w:val="0030745F"/>
    <w:rsid w:val="00314630"/>
    <w:rsid w:val="003174B3"/>
    <w:rsid w:val="0032090A"/>
    <w:rsid w:val="00321CDE"/>
    <w:rsid w:val="00330567"/>
    <w:rsid w:val="00333E15"/>
    <w:rsid w:val="003449F4"/>
    <w:rsid w:val="003571BC"/>
    <w:rsid w:val="0036090C"/>
    <w:rsid w:val="00361116"/>
    <w:rsid w:val="00362562"/>
    <w:rsid w:val="00366201"/>
    <w:rsid w:val="00385FB5"/>
    <w:rsid w:val="0038715D"/>
    <w:rsid w:val="00394DBF"/>
    <w:rsid w:val="003957A6"/>
    <w:rsid w:val="003A43EF"/>
    <w:rsid w:val="003B4CF8"/>
    <w:rsid w:val="003C7445"/>
    <w:rsid w:val="003D0336"/>
    <w:rsid w:val="003E1F8C"/>
    <w:rsid w:val="003E39A2"/>
    <w:rsid w:val="003E57AB"/>
    <w:rsid w:val="003E7207"/>
    <w:rsid w:val="003F2BED"/>
    <w:rsid w:val="00400B49"/>
    <w:rsid w:val="00443878"/>
    <w:rsid w:val="004539A8"/>
    <w:rsid w:val="004712CA"/>
    <w:rsid w:val="00473782"/>
    <w:rsid w:val="0047422E"/>
    <w:rsid w:val="00475757"/>
    <w:rsid w:val="0049090D"/>
    <w:rsid w:val="0049674B"/>
    <w:rsid w:val="004C0673"/>
    <w:rsid w:val="004C465C"/>
    <w:rsid w:val="004C4E4E"/>
    <w:rsid w:val="004F23BA"/>
    <w:rsid w:val="004F3816"/>
    <w:rsid w:val="0050586A"/>
    <w:rsid w:val="00520DBF"/>
    <w:rsid w:val="0053731C"/>
    <w:rsid w:val="00543D41"/>
    <w:rsid w:val="00556A5B"/>
    <w:rsid w:val="00566EDA"/>
    <w:rsid w:val="0057081A"/>
    <w:rsid w:val="00572654"/>
    <w:rsid w:val="005976A1"/>
    <w:rsid w:val="005B5629"/>
    <w:rsid w:val="005B6B78"/>
    <w:rsid w:val="005C0300"/>
    <w:rsid w:val="005C27A2"/>
    <w:rsid w:val="005D4FEB"/>
    <w:rsid w:val="005F4B6A"/>
    <w:rsid w:val="005F5B84"/>
    <w:rsid w:val="006010F3"/>
    <w:rsid w:val="00606DB6"/>
    <w:rsid w:val="00615A0A"/>
    <w:rsid w:val="00626673"/>
    <w:rsid w:val="006333D4"/>
    <w:rsid w:val="006369B2"/>
    <w:rsid w:val="0063718D"/>
    <w:rsid w:val="00647525"/>
    <w:rsid w:val="00647A71"/>
    <w:rsid w:val="00652D9F"/>
    <w:rsid w:val="006570B0"/>
    <w:rsid w:val="0066022F"/>
    <w:rsid w:val="006813BC"/>
    <w:rsid w:val="006823F3"/>
    <w:rsid w:val="00682F1F"/>
    <w:rsid w:val="0069210B"/>
    <w:rsid w:val="00692AB1"/>
    <w:rsid w:val="00695DD7"/>
    <w:rsid w:val="00695FC2"/>
    <w:rsid w:val="006A4055"/>
    <w:rsid w:val="006A6DA0"/>
    <w:rsid w:val="006A7C27"/>
    <w:rsid w:val="006B030D"/>
    <w:rsid w:val="006B2FE4"/>
    <w:rsid w:val="006B37B0"/>
    <w:rsid w:val="006C5641"/>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5620"/>
    <w:rsid w:val="007E656A"/>
    <w:rsid w:val="007F3CAA"/>
    <w:rsid w:val="007F664D"/>
    <w:rsid w:val="00812E67"/>
    <w:rsid w:val="00837203"/>
    <w:rsid w:val="00842137"/>
    <w:rsid w:val="00853F5F"/>
    <w:rsid w:val="008623ED"/>
    <w:rsid w:val="00864B5A"/>
    <w:rsid w:val="00872559"/>
    <w:rsid w:val="00874AA3"/>
    <w:rsid w:val="00875AA6"/>
    <w:rsid w:val="00880944"/>
    <w:rsid w:val="0089088E"/>
    <w:rsid w:val="00892297"/>
    <w:rsid w:val="008964D6"/>
    <w:rsid w:val="008B5123"/>
    <w:rsid w:val="008E0172"/>
    <w:rsid w:val="008E0D4F"/>
    <w:rsid w:val="00900EF1"/>
    <w:rsid w:val="00906CD2"/>
    <w:rsid w:val="009302DE"/>
    <w:rsid w:val="00936852"/>
    <w:rsid w:val="0094045D"/>
    <w:rsid w:val="009406B5"/>
    <w:rsid w:val="00946166"/>
    <w:rsid w:val="00947C54"/>
    <w:rsid w:val="009507EC"/>
    <w:rsid w:val="00983164"/>
    <w:rsid w:val="00993A3A"/>
    <w:rsid w:val="009972EF"/>
    <w:rsid w:val="009B5035"/>
    <w:rsid w:val="009C3160"/>
    <w:rsid w:val="009E766E"/>
    <w:rsid w:val="009F1960"/>
    <w:rsid w:val="009F2C64"/>
    <w:rsid w:val="009F715E"/>
    <w:rsid w:val="00A10DBB"/>
    <w:rsid w:val="00A11720"/>
    <w:rsid w:val="00A21247"/>
    <w:rsid w:val="00A31D47"/>
    <w:rsid w:val="00A4013E"/>
    <w:rsid w:val="00A4045F"/>
    <w:rsid w:val="00A427CD"/>
    <w:rsid w:val="00A45FEE"/>
    <w:rsid w:val="00A4600B"/>
    <w:rsid w:val="00A46AF9"/>
    <w:rsid w:val="00A50506"/>
    <w:rsid w:val="00A51EF0"/>
    <w:rsid w:val="00A67A81"/>
    <w:rsid w:val="00A730A6"/>
    <w:rsid w:val="00A84724"/>
    <w:rsid w:val="00A971A0"/>
    <w:rsid w:val="00AA1F22"/>
    <w:rsid w:val="00AF5A57"/>
    <w:rsid w:val="00AF735D"/>
    <w:rsid w:val="00B024D7"/>
    <w:rsid w:val="00B05821"/>
    <w:rsid w:val="00B100D6"/>
    <w:rsid w:val="00B164C9"/>
    <w:rsid w:val="00B26C28"/>
    <w:rsid w:val="00B30F21"/>
    <w:rsid w:val="00B35623"/>
    <w:rsid w:val="00B376D2"/>
    <w:rsid w:val="00B41709"/>
    <w:rsid w:val="00B4174C"/>
    <w:rsid w:val="00B453F5"/>
    <w:rsid w:val="00B532CE"/>
    <w:rsid w:val="00B61624"/>
    <w:rsid w:val="00B66481"/>
    <w:rsid w:val="00B7189C"/>
    <w:rsid w:val="00B718A5"/>
    <w:rsid w:val="00B90AD6"/>
    <w:rsid w:val="00BA788A"/>
    <w:rsid w:val="00BB4983"/>
    <w:rsid w:val="00BB745A"/>
    <w:rsid w:val="00BB7597"/>
    <w:rsid w:val="00BC2AAB"/>
    <w:rsid w:val="00BC62E2"/>
    <w:rsid w:val="00BF02DC"/>
    <w:rsid w:val="00BF1C1D"/>
    <w:rsid w:val="00C37820"/>
    <w:rsid w:val="00C42125"/>
    <w:rsid w:val="00C51C1B"/>
    <w:rsid w:val="00C62814"/>
    <w:rsid w:val="00C62BE6"/>
    <w:rsid w:val="00C67B25"/>
    <w:rsid w:val="00C748F7"/>
    <w:rsid w:val="00C74937"/>
    <w:rsid w:val="00CA6409"/>
    <w:rsid w:val="00CB2599"/>
    <w:rsid w:val="00CD2139"/>
    <w:rsid w:val="00CD2497"/>
    <w:rsid w:val="00CD6848"/>
    <w:rsid w:val="00CE1E6E"/>
    <w:rsid w:val="00CE5986"/>
    <w:rsid w:val="00CF34C4"/>
    <w:rsid w:val="00D11885"/>
    <w:rsid w:val="00D2067C"/>
    <w:rsid w:val="00D647EF"/>
    <w:rsid w:val="00D73137"/>
    <w:rsid w:val="00D745B2"/>
    <w:rsid w:val="00D977A2"/>
    <w:rsid w:val="00DA1D47"/>
    <w:rsid w:val="00DC774A"/>
    <w:rsid w:val="00DD50DE"/>
    <w:rsid w:val="00DE3062"/>
    <w:rsid w:val="00E0581D"/>
    <w:rsid w:val="00E204DD"/>
    <w:rsid w:val="00E27397"/>
    <w:rsid w:val="00E353EC"/>
    <w:rsid w:val="00E51F61"/>
    <w:rsid w:val="00E53C24"/>
    <w:rsid w:val="00E56E77"/>
    <w:rsid w:val="00E71046"/>
    <w:rsid w:val="00E72E36"/>
    <w:rsid w:val="00E87795"/>
    <w:rsid w:val="00EA685F"/>
    <w:rsid w:val="00EB444D"/>
    <w:rsid w:val="00ED5B66"/>
    <w:rsid w:val="00EE5C0D"/>
    <w:rsid w:val="00EF4792"/>
    <w:rsid w:val="00F02294"/>
    <w:rsid w:val="00F30DE7"/>
    <w:rsid w:val="00F35F57"/>
    <w:rsid w:val="00F410C6"/>
    <w:rsid w:val="00F44D3D"/>
    <w:rsid w:val="00F50467"/>
    <w:rsid w:val="00F562A0"/>
    <w:rsid w:val="00F57FA4"/>
    <w:rsid w:val="00FA02CB"/>
    <w:rsid w:val="00FA2177"/>
    <w:rsid w:val="00FB0783"/>
    <w:rsid w:val="00FB7A8B"/>
    <w:rsid w:val="00FD439E"/>
    <w:rsid w:val="00FD63B1"/>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docId w15:val="{F4C65900-D407-4A55-8EAC-29274A33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basedOn w:val="DefaultParagraphFon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paragraph" w:customStyle="1" w:styleId="TSBHeaderRight14">
    <w:name w:val="TSBHeaderRight14"/>
    <w:basedOn w:val="Normal"/>
    <w:qFormat/>
    <w:rsid w:val="0019110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20366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FB31A-D230-4CDD-91D0-0DCC3D86939B}"/>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Basic_Liaison_Statement.dotx</Template>
  <TotalTime>1</TotalTime>
  <Pages>6</Pages>
  <Words>1903</Words>
  <Characters>10663</Characters>
  <Application>Microsoft Office Word</Application>
  <DocSecurity>0</DocSecurity>
  <Lines>484</Lines>
  <Paragraphs>339</Paragraphs>
  <ScaleCrop>false</ScaleCrop>
  <HeadingPairs>
    <vt:vector size="2" baseType="variant">
      <vt:variant>
        <vt:lpstr>Title</vt:lpstr>
      </vt:variant>
      <vt:variant>
        <vt:i4>1</vt:i4>
      </vt:variant>
    </vt:vector>
  </HeadingPairs>
  <TitlesOfParts>
    <vt:vector size="1" baseType="lpstr">
      <vt:lpstr>Draft LS/o on SG5 Recommendations appearing in the AAP 2022 processing list</vt:lpstr>
    </vt:vector>
  </TitlesOfParts>
  <Manager>ITU-T</Manager>
  <Company>International Telecommunication Union (ITU)</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SG5 Recommendations appearing in the AAP 2022 processing list</dc:title>
  <dc:creator>ITU-T Study Group 5</dc:creator>
  <dc:description>TSAG-TD29  For: Virtual, 10 November 2022_x000d_Document date: _x000d_Saved by ITU51015586 at 15:33:17 on 04/11/2022</dc:description>
  <cp:lastModifiedBy>TSB-AC</cp:lastModifiedBy>
  <cp:revision>3</cp:revision>
  <cp:lastPrinted>2016-12-23T12:52:00Z</cp:lastPrinted>
  <dcterms:created xsi:type="dcterms:W3CDTF">2022-11-04T14:33:00Z</dcterms:created>
  <dcterms:modified xsi:type="dcterms:W3CDTF">2022-11-04T15:15:00Z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0x01010017487812B7DF734F899F9E259C366837</vt:lpwstr>
  </property>
  <property fmtid="{D5CDD505-2E9C-101B-9397-08002B2CF9AE}" pid="3" name="Docnum">
    <vt:lpwstr>TSAG-TD29</vt:lpwstr>
  </property>
  <property fmtid="{D5CDD505-2E9C-101B-9397-08002B2CF9AE}" pid="4" name="Docdate">
    <vt:lpwstr/>
  </property>
  <property fmtid="{D5CDD505-2E9C-101B-9397-08002B2CF9AE}" pid="5" name="Docorlang">
    <vt:lpwstr/>
  </property>
  <property fmtid="{D5CDD505-2E9C-101B-9397-08002B2CF9AE}" pid="6" name="Docbluepink">
    <vt:lpwstr>8, All/5</vt:lpwstr>
  </property>
  <property fmtid="{D5CDD505-2E9C-101B-9397-08002B2CF9AE}" pid="7" name="Docdest">
    <vt:lpwstr>Virtual, 10 November 2022</vt:lpwstr>
  </property>
  <property fmtid="{D5CDD505-2E9C-101B-9397-08002B2CF9AE}" pid="8" name="Docauthor">
    <vt:lpwstr>ITU-T Study Group 5</vt:lpwstr>
  </property>
</Properties>
</file>