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28"/>
        <w:gridCol w:w="27"/>
        <w:gridCol w:w="563"/>
        <w:gridCol w:w="3251"/>
        <w:gridCol w:w="70"/>
        <w:gridCol w:w="142"/>
        <w:gridCol w:w="4026"/>
      </w:tblGrid>
      <w:tr w:rsidR="00C05DF2" w:rsidRPr="00C05DF2" w14:paraId="7A036699" w14:textId="77777777" w:rsidTr="00C05DF2">
        <w:trPr>
          <w:cantSplit/>
        </w:trPr>
        <w:tc>
          <w:tcPr>
            <w:tcW w:w="1132" w:type="dxa"/>
            <w:vMerge w:val="restart"/>
            <w:vAlign w:val="center"/>
          </w:tcPr>
          <w:p w14:paraId="5138547A" w14:textId="77777777" w:rsidR="00C05DF2" w:rsidRPr="00C05DF2" w:rsidRDefault="00C05DF2" w:rsidP="00C05DF2">
            <w:pPr>
              <w:spacing w:before="0"/>
              <w:jc w:val="center"/>
              <w:rPr>
                <w:sz w:val="20"/>
                <w:szCs w:val="20"/>
              </w:rPr>
            </w:pPr>
            <w:bookmarkStart w:id="0" w:name="dtableau"/>
            <w:bookmarkStart w:id="1" w:name="dsg" w:colFirst="1" w:colLast="1"/>
            <w:bookmarkStart w:id="2" w:name="dnum" w:colFirst="2" w:colLast="2"/>
            <w:r w:rsidRPr="00C05DF2">
              <w:rPr>
                <w:noProof/>
              </w:rPr>
              <w:drawing>
                <wp:inline distT="0" distB="0" distL="0" distR="0" wp14:anchorId="119B84A1" wp14:editId="163BC92A">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6"/>
            <w:vMerge w:val="restart"/>
          </w:tcPr>
          <w:p w14:paraId="790DBD3C" w14:textId="77777777" w:rsidR="00C05DF2" w:rsidRPr="00C05DF2" w:rsidRDefault="00C05DF2" w:rsidP="00C05DF2">
            <w:pPr>
              <w:rPr>
                <w:sz w:val="16"/>
                <w:szCs w:val="16"/>
              </w:rPr>
            </w:pPr>
            <w:r w:rsidRPr="00C05DF2">
              <w:rPr>
                <w:sz w:val="16"/>
                <w:szCs w:val="16"/>
              </w:rPr>
              <w:t>INTERNATIONAL TELECOMMUNICATION UNION</w:t>
            </w:r>
          </w:p>
          <w:p w14:paraId="1F219CBD" w14:textId="77777777" w:rsidR="00C05DF2" w:rsidRPr="00C05DF2" w:rsidRDefault="00C05DF2" w:rsidP="00C05DF2">
            <w:pPr>
              <w:rPr>
                <w:b/>
                <w:bCs/>
                <w:sz w:val="26"/>
                <w:szCs w:val="26"/>
              </w:rPr>
            </w:pPr>
            <w:r w:rsidRPr="00C05DF2">
              <w:rPr>
                <w:b/>
                <w:bCs/>
                <w:sz w:val="26"/>
                <w:szCs w:val="26"/>
              </w:rPr>
              <w:t>TELECOMMUNICATION</w:t>
            </w:r>
            <w:r w:rsidRPr="00C05DF2">
              <w:rPr>
                <w:b/>
                <w:bCs/>
                <w:sz w:val="26"/>
                <w:szCs w:val="26"/>
              </w:rPr>
              <w:br/>
              <w:t>STANDARDIZATION SECTOR</w:t>
            </w:r>
          </w:p>
          <w:p w14:paraId="6786AE8A" w14:textId="77777777" w:rsidR="00C05DF2" w:rsidRPr="00C05DF2" w:rsidRDefault="00C05DF2" w:rsidP="00C05DF2">
            <w:pPr>
              <w:rPr>
                <w:sz w:val="20"/>
                <w:szCs w:val="20"/>
              </w:rPr>
            </w:pPr>
            <w:r w:rsidRPr="00C05DF2">
              <w:rPr>
                <w:sz w:val="20"/>
                <w:szCs w:val="20"/>
              </w:rPr>
              <w:t xml:space="preserve">STUDY PERIOD </w:t>
            </w:r>
            <w:bookmarkStart w:id="3" w:name="dstudyperiod"/>
            <w:r w:rsidRPr="00C05DF2">
              <w:rPr>
                <w:sz w:val="20"/>
              </w:rPr>
              <w:t>2022</w:t>
            </w:r>
            <w:r w:rsidRPr="00C05DF2">
              <w:rPr>
                <w:sz w:val="20"/>
                <w:szCs w:val="20"/>
              </w:rPr>
              <w:t>-</w:t>
            </w:r>
            <w:r w:rsidRPr="00C05DF2">
              <w:rPr>
                <w:sz w:val="20"/>
              </w:rPr>
              <w:t>2024</w:t>
            </w:r>
            <w:bookmarkEnd w:id="3"/>
          </w:p>
        </w:tc>
        <w:tc>
          <w:tcPr>
            <w:tcW w:w="4026" w:type="dxa"/>
            <w:vAlign w:val="center"/>
          </w:tcPr>
          <w:p w14:paraId="34E2C098" w14:textId="15E6A12E" w:rsidR="00C05DF2" w:rsidRPr="00C05DF2" w:rsidRDefault="00C05DF2" w:rsidP="00C05DF2">
            <w:pPr>
              <w:pStyle w:val="Docnumber"/>
            </w:pPr>
            <w:r>
              <w:t>SCV-TD23</w:t>
            </w:r>
          </w:p>
        </w:tc>
      </w:tr>
      <w:bookmarkEnd w:id="2"/>
      <w:tr w:rsidR="00C05DF2" w:rsidRPr="00C05DF2" w14:paraId="1504B620" w14:textId="77777777" w:rsidTr="00C05DF2">
        <w:trPr>
          <w:cantSplit/>
        </w:trPr>
        <w:tc>
          <w:tcPr>
            <w:tcW w:w="1132" w:type="dxa"/>
            <w:vMerge/>
          </w:tcPr>
          <w:p w14:paraId="6F84048C" w14:textId="77777777" w:rsidR="00C05DF2" w:rsidRPr="00C05DF2" w:rsidRDefault="00C05DF2" w:rsidP="00C05DF2">
            <w:pPr>
              <w:rPr>
                <w:smallCaps/>
                <w:sz w:val="20"/>
              </w:rPr>
            </w:pPr>
          </w:p>
        </w:tc>
        <w:tc>
          <w:tcPr>
            <w:tcW w:w="4481" w:type="dxa"/>
            <w:gridSpan w:val="6"/>
            <w:vMerge/>
          </w:tcPr>
          <w:p w14:paraId="36AF7090" w14:textId="77777777" w:rsidR="00C05DF2" w:rsidRPr="00C05DF2" w:rsidRDefault="00C05DF2" w:rsidP="00C05DF2">
            <w:pPr>
              <w:rPr>
                <w:smallCaps/>
                <w:sz w:val="20"/>
              </w:rPr>
            </w:pPr>
          </w:p>
        </w:tc>
        <w:tc>
          <w:tcPr>
            <w:tcW w:w="4026" w:type="dxa"/>
          </w:tcPr>
          <w:p w14:paraId="037E07FA" w14:textId="4F50DBD3" w:rsidR="00C05DF2" w:rsidRPr="00C05DF2" w:rsidRDefault="00C05DF2" w:rsidP="00C05DF2">
            <w:pPr>
              <w:pStyle w:val="TSBHeaderRight14"/>
              <w:rPr>
                <w:smallCaps/>
              </w:rPr>
            </w:pPr>
            <w:r>
              <w:rPr>
                <w:smallCaps/>
              </w:rPr>
              <w:t>SCV</w:t>
            </w:r>
          </w:p>
        </w:tc>
      </w:tr>
      <w:tr w:rsidR="00C05DF2" w:rsidRPr="00C05DF2" w14:paraId="668726CD" w14:textId="77777777" w:rsidTr="00C05DF2">
        <w:trPr>
          <w:cantSplit/>
        </w:trPr>
        <w:tc>
          <w:tcPr>
            <w:tcW w:w="1132" w:type="dxa"/>
            <w:vMerge/>
            <w:tcBorders>
              <w:bottom w:val="single" w:sz="12" w:space="0" w:color="auto"/>
            </w:tcBorders>
          </w:tcPr>
          <w:p w14:paraId="70CB94DB" w14:textId="77777777" w:rsidR="00C05DF2" w:rsidRPr="00C05DF2" w:rsidRDefault="00C05DF2" w:rsidP="00C05DF2">
            <w:pPr>
              <w:rPr>
                <w:b/>
                <w:bCs/>
                <w:sz w:val="26"/>
              </w:rPr>
            </w:pPr>
          </w:p>
        </w:tc>
        <w:tc>
          <w:tcPr>
            <w:tcW w:w="4481" w:type="dxa"/>
            <w:gridSpan w:val="6"/>
            <w:vMerge/>
            <w:tcBorders>
              <w:bottom w:val="single" w:sz="12" w:space="0" w:color="auto"/>
            </w:tcBorders>
          </w:tcPr>
          <w:p w14:paraId="4D1A8E58" w14:textId="77777777" w:rsidR="00C05DF2" w:rsidRPr="00C05DF2" w:rsidRDefault="00C05DF2" w:rsidP="00C05DF2">
            <w:pPr>
              <w:rPr>
                <w:b/>
                <w:bCs/>
                <w:sz w:val="26"/>
              </w:rPr>
            </w:pPr>
          </w:p>
        </w:tc>
        <w:tc>
          <w:tcPr>
            <w:tcW w:w="4026" w:type="dxa"/>
            <w:tcBorders>
              <w:bottom w:val="single" w:sz="12" w:space="0" w:color="auto"/>
            </w:tcBorders>
            <w:vAlign w:val="center"/>
          </w:tcPr>
          <w:p w14:paraId="0ED39851" w14:textId="77777777" w:rsidR="00C05DF2" w:rsidRPr="00C05DF2" w:rsidRDefault="00C05DF2" w:rsidP="00C05DF2">
            <w:pPr>
              <w:pStyle w:val="TSBHeaderRight14"/>
            </w:pPr>
            <w:r w:rsidRPr="00C05DF2">
              <w:t>Original: English</w:t>
            </w:r>
          </w:p>
        </w:tc>
      </w:tr>
      <w:tr w:rsidR="00C05DF2" w:rsidRPr="00C05DF2" w14:paraId="6662C8FF" w14:textId="77777777" w:rsidTr="00C05DF2">
        <w:trPr>
          <w:cantSplit/>
        </w:trPr>
        <w:tc>
          <w:tcPr>
            <w:tcW w:w="1587" w:type="dxa"/>
            <w:gridSpan w:val="3"/>
          </w:tcPr>
          <w:p w14:paraId="69E87C55" w14:textId="77777777" w:rsidR="00C05DF2" w:rsidRPr="00C05DF2" w:rsidRDefault="00C05DF2" w:rsidP="00C05DF2">
            <w:pPr>
              <w:rPr>
                <w:b/>
                <w:bCs/>
              </w:rPr>
            </w:pPr>
            <w:bookmarkStart w:id="4" w:name="dbluepink" w:colFirst="1" w:colLast="1"/>
            <w:bookmarkStart w:id="5" w:name="dmeeting" w:colFirst="2" w:colLast="2"/>
            <w:bookmarkEnd w:id="1"/>
            <w:r w:rsidRPr="00C05DF2">
              <w:rPr>
                <w:b/>
                <w:bCs/>
              </w:rPr>
              <w:t>Question(s):</w:t>
            </w:r>
          </w:p>
        </w:tc>
        <w:tc>
          <w:tcPr>
            <w:tcW w:w="4026" w:type="dxa"/>
            <w:gridSpan w:val="4"/>
          </w:tcPr>
          <w:p w14:paraId="16F6BE5F" w14:textId="764E6553" w:rsidR="00C05DF2" w:rsidRPr="00C05DF2" w:rsidRDefault="00C05DF2" w:rsidP="00C05DF2">
            <w:pPr>
              <w:pStyle w:val="TSBHeaderQuestion"/>
            </w:pPr>
            <w:r w:rsidRPr="00C05DF2">
              <w:t>All/11</w:t>
            </w:r>
          </w:p>
        </w:tc>
        <w:tc>
          <w:tcPr>
            <w:tcW w:w="4026" w:type="dxa"/>
          </w:tcPr>
          <w:p w14:paraId="12F1EECC" w14:textId="38921751" w:rsidR="00C05DF2" w:rsidRPr="00C05DF2" w:rsidRDefault="00C05DF2" w:rsidP="00C05DF2">
            <w:pPr>
              <w:pStyle w:val="VenueDate"/>
            </w:pPr>
            <w:r w:rsidRPr="00C05DF2">
              <w:t>Virtual, 10 November 2022</w:t>
            </w:r>
          </w:p>
        </w:tc>
      </w:tr>
      <w:tr w:rsidR="00C05DF2" w:rsidRPr="00C05DF2" w14:paraId="1BFD9E14" w14:textId="77777777" w:rsidTr="00C05DF2">
        <w:trPr>
          <w:cantSplit/>
        </w:trPr>
        <w:tc>
          <w:tcPr>
            <w:tcW w:w="9639" w:type="dxa"/>
            <w:gridSpan w:val="8"/>
          </w:tcPr>
          <w:p w14:paraId="0708BBC0" w14:textId="77777777" w:rsidR="00C05DF2" w:rsidRPr="00C05DF2" w:rsidRDefault="00C05DF2" w:rsidP="00C05DF2">
            <w:pPr>
              <w:jc w:val="center"/>
              <w:rPr>
                <w:b/>
                <w:bCs/>
              </w:rPr>
            </w:pPr>
            <w:bookmarkStart w:id="6" w:name="ddoctype"/>
            <w:bookmarkStart w:id="7" w:name="dtitle" w:colFirst="0" w:colLast="0"/>
            <w:bookmarkEnd w:id="4"/>
            <w:bookmarkEnd w:id="5"/>
            <w:r w:rsidRPr="00C05DF2">
              <w:rPr>
                <w:b/>
                <w:bCs/>
              </w:rPr>
              <w:t>TD</w:t>
            </w:r>
          </w:p>
          <w:p w14:paraId="76C5C403" w14:textId="75177C27" w:rsidR="00C05DF2" w:rsidRPr="00C05DF2" w:rsidRDefault="00C05DF2" w:rsidP="00C05DF2">
            <w:pPr>
              <w:jc w:val="center"/>
              <w:rPr>
                <w:b/>
                <w:bCs/>
              </w:rPr>
            </w:pPr>
            <w:r w:rsidRPr="00C05DF2">
              <w:rPr>
                <w:b/>
                <w:bCs/>
              </w:rPr>
              <w:t>(Ref.: SG11-LS29)</w:t>
            </w:r>
          </w:p>
        </w:tc>
      </w:tr>
      <w:tr w:rsidR="00C05DF2" w:rsidRPr="00C05DF2" w14:paraId="5DFA8F46" w14:textId="77777777" w:rsidTr="00C05DF2">
        <w:trPr>
          <w:cantSplit/>
        </w:trPr>
        <w:tc>
          <w:tcPr>
            <w:tcW w:w="1587" w:type="dxa"/>
            <w:gridSpan w:val="3"/>
          </w:tcPr>
          <w:p w14:paraId="6BA629D3" w14:textId="77777777" w:rsidR="00C05DF2" w:rsidRPr="00C05DF2" w:rsidRDefault="00C05DF2" w:rsidP="00C05DF2">
            <w:pPr>
              <w:rPr>
                <w:b/>
                <w:bCs/>
              </w:rPr>
            </w:pPr>
            <w:bookmarkStart w:id="8" w:name="dsource" w:colFirst="1" w:colLast="1"/>
            <w:bookmarkEnd w:id="6"/>
            <w:bookmarkEnd w:id="7"/>
            <w:r w:rsidRPr="00C05DF2">
              <w:rPr>
                <w:b/>
                <w:bCs/>
              </w:rPr>
              <w:t>Source:</w:t>
            </w:r>
          </w:p>
        </w:tc>
        <w:tc>
          <w:tcPr>
            <w:tcW w:w="8052" w:type="dxa"/>
            <w:gridSpan w:val="5"/>
          </w:tcPr>
          <w:p w14:paraId="609F6535" w14:textId="57954322" w:rsidR="00C05DF2" w:rsidRPr="00C05DF2" w:rsidRDefault="00C05DF2" w:rsidP="00C05DF2">
            <w:pPr>
              <w:pStyle w:val="TSBHeaderSource"/>
            </w:pPr>
            <w:r w:rsidRPr="00C05DF2">
              <w:t>ITU-T Study Group 11</w:t>
            </w:r>
          </w:p>
        </w:tc>
      </w:tr>
      <w:tr w:rsidR="00C05DF2" w:rsidRPr="00C05DF2" w14:paraId="111C9C0E" w14:textId="77777777" w:rsidTr="00C05DF2">
        <w:trPr>
          <w:cantSplit/>
        </w:trPr>
        <w:tc>
          <w:tcPr>
            <w:tcW w:w="1587" w:type="dxa"/>
            <w:gridSpan w:val="3"/>
            <w:tcBorders>
              <w:bottom w:val="single" w:sz="8" w:space="0" w:color="auto"/>
            </w:tcBorders>
          </w:tcPr>
          <w:p w14:paraId="70575548" w14:textId="77777777" w:rsidR="00C05DF2" w:rsidRPr="00C05DF2" w:rsidRDefault="00C05DF2" w:rsidP="00C05DF2">
            <w:pPr>
              <w:rPr>
                <w:b/>
                <w:bCs/>
              </w:rPr>
            </w:pPr>
            <w:bookmarkStart w:id="9" w:name="dtitle1" w:colFirst="1" w:colLast="1"/>
            <w:bookmarkEnd w:id="8"/>
            <w:r w:rsidRPr="00C05DF2">
              <w:rPr>
                <w:b/>
                <w:bCs/>
              </w:rPr>
              <w:t>Title:</w:t>
            </w:r>
          </w:p>
        </w:tc>
        <w:tc>
          <w:tcPr>
            <w:tcW w:w="8052" w:type="dxa"/>
            <w:gridSpan w:val="5"/>
            <w:tcBorders>
              <w:bottom w:val="single" w:sz="8" w:space="0" w:color="auto"/>
            </w:tcBorders>
          </w:tcPr>
          <w:p w14:paraId="616F97BA" w14:textId="143D5ED9" w:rsidR="00C05DF2" w:rsidRPr="00C05DF2" w:rsidRDefault="00C05DF2" w:rsidP="00C05DF2">
            <w:pPr>
              <w:pStyle w:val="TSBHeaderTitle"/>
            </w:pPr>
            <w:r w:rsidRPr="00C05DF2">
              <w:t>LS on new ITU-T SG11 terms and definitions (Geneva, 6-15 July 2022)</w:t>
            </w:r>
          </w:p>
        </w:tc>
      </w:tr>
      <w:bookmarkEnd w:id="0"/>
      <w:bookmarkEnd w:id="9"/>
      <w:tr w:rsidR="00CD6848" w14:paraId="3F865ECE" w14:textId="77777777" w:rsidTr="00323132">
        <w:trPr>
          <w:cantSplit/>
          <w:trHeight w:val="357"/>
        </w:trPr>
        <w:tc>
          <w:tcPr>
            <w:tcW w:w="9639" w:type="dxa"/>
            <w:gridSpan w:val="8"/>
            <w:tcBorders>
              <w:top w:val="single" w:sz="12" w:space="0" w:color="auto"/>
            </w:tcBorders>
          </w:tcPr>
          <w:p w14:paraId="63CCB69C" w14:textId="77777777" w:rsidR="00CD6848" w:rsidRPr="002A4F46" w:rsidRDefault="00CD6848" w:rsidP="00F05E8B">
            <w:pPr>
              <w:jc w:val="center"/>
              <w:rPr>
                <w:b/>
              </w:rPr>
            </w:pPr>
            <w:r w:rsidRPr="002A4F46">
              <w:rPr>
                <w:b/>
              </w:rPr>
              <w:t>LIAISON STATEMENT</w:t>
            </w:r>
          </w:p>
        </w:tc>
      </w:tr>
      <w:tr w:rsidR="00CD6848" w14:paraId="35F69F31" w14:textId="77777777" w:rsidTr="00323132">
        <w:trPr>
          <w:cantSplit/>
          <w:trHeight w:val="357"/>
        </w:trPr>
        <w:tc>
          <w:tcPr>
            <w:tcW w:w="2150" w:type="dxa"/>
            <w:gridSpan w:val="4"/>
          </w:tcPr>
          <w:p w14:paraId="20EFE067" w14:textId="77777777" w:rsidR="00CD6848" w:rsidRPr="002A4F46" w:rsidRDefault="00CD6848" w:rsidP="00F05E8B">
            <w:pPr>
              <w:rPr>
                <w:b/>
                <w:bCs/>
              </w:rPr>
            </w:pPr>
            <w:r w:rsidRPr="002A4F46">
              <w:rPr>
                <w:b/>
                <w:bCs/>
              </w:rPr>
              <w:t>For action to:</w:t>
            </w:r>
          </w:p>
        </w:tc>
        <w:tc>
          <w:tcPr>
            <w:tcW w:w="7489" w:type="dxa"/>
            <w:gridSpan w:val="4"/>
          </w:tcPr>
          <w:p w14:paraId="2D80818C" w14:textId="33E7EAD8" w:rsidR="00CD6848" w:rsidRPr="002A4F46" w:rsidRDefault="00AD3D75" w:rsidP="00F05E8B">
            <w:pPr>
              <w:pStyle w:val="LSForAction"/>
            </w:pPr>
            <w:r>
              <w:t>-</w:t>
            </w:r>
          </w:p>
        </w:tc>
      </w:tr>
      <w:tr w:rsidR="00CD6848" w14:paraId="4ABA2A03" w14:textId="77777777" w:rsidTr="00323132">
        <w:trPr>
          <w:cantSplit/>
          <w:trHeight w:val="357"/>
        </w:trPr>
        <w:tc>
          <w:tcPr>
            <w:tcW w:w="2150" w:type="dxa"/>
            <w:gridSpan w:val="4"/>
          </w:tcPr>
          <w:p w14:paraId="5145F1A4" w14:textId="77777777" w:rsidR="00CD6848" w:rsidRPr="002A4F46" w:rsidRDefault="00CD6848" w:rsidP="00F05E8B">
            <w:pPr>
              <w:rPr>
                <w:b/>
                <w:bCs/>
              </w:rPr>
            </w:pPr>
            <w:r w:rsidRPr="002A4F46">
              <w:rPr>
                <w:b/>
                <w:bCs/>
              </w:rPr>
              <w:t>For information to:</w:t>
            </w:r>
          </w:p>
        </w:tc>
        <w:tc>
          <w:tcPr>
            <w:tcW w:w="7489" w:type="dxa"/>
            <w:gridSpan w:val="4"/>
          </w:tcPr>
          <w:p w14:paraId="03540E6D" w14:textId="36786382" w:rsidR="00CD6848" w:rsidRPr="002A4F46" w:rsidRDefault="008B16CC" w:rsidP="00F05E8B">
            <w:pPr>
              <w:pStyle w:val="LSForInfo"/>
            </w:pPr>
            <w:r w:rsidRPr="00C72D5B">
              <w:t>SCV</w:t>
            </w:r>
          </w:p>
        </w:tc>
      </w:tr>
      <w:tr w:rsidR="00CD6848" w14:paraId="19B7E4E0" w14:textId="77777777" w:rsidTr="00323132">
        <w:trPr>
          <w:cantSplit/>
          <w:trHeight w:val="357"/>
        </w:trPr>
        <w:tc>
          <w:tcPr>
            <w:tcW w:w="2150" w:type="dxa"/>
            <w:gridSpan w:val="4"/>
          </w:tcPr>
          <w:p w14:paraId="62EA9AB1" w14:textId="77777777" w:rsidR="00CD6848" w:rsidRPr="002A4F46" w:rsidRDefault="00CD6848" w:rsidP="00F05E8B">
            <w:pPr>
              <w:rPr>
                <w:b/>
                <w:bCs/>
              </w:rPr>
            </w:pPr>
            <w:r w:rsidRPr="002A4F46">
              <w:rPr>
                <w:b/>
                <w:bCs/>
              </w:rPr>
              <w:t>Approval:</w:t>
            </w:r>
          </w:p>
        </w:tc>
        <w:tc>
          <w:tcPr>
            <w:tcW w:w="7489" w:type="dxa"/>
            <w:gridSpan w:val="4"/>
          </w:tcPr>
          <w:p w14:paraId="5D3D74D5" w14:textId="0B238ADB" w:rsidR="00CD6848" w:rsidRPr="002A4F46" w:rsidRDefault="00A35DC4" w:rsidP="00695FC2">
            <w:pPr>
              <w:pStyle w:val="LSApproval"/>
              <w:rPr>
                <w:b w:val="0"/>
                <w:bCs w:val="0"/>
              </w:rPr>
            </w:pPr>
            <w:r w:rsidRPr="002A4F46">
              <w:rPr>
                <w:b w:val="0"/>
                <w:bCs w:val="0"/>
              </w:rPr>
              <w:t>ITU-T Study Group 11 meeting (Geneva, 15 July 2022)</w:t>
            </w:r>
          </w:p>
        </w:tc>
      </w:tr>
      <w:tr w:rsidR="00CD6848" w14:paraId="1ED65DF0" w14:textId="77777777" w:rsidTr="00323132">
        <w:trPr>
          <w:cantSplit/>
          <w:trHeight w:val="357"/>
        </w:trPr>
        <w:tc>
          <w:tcPr>
            <w:tcW w:w="2150" w:type="dxa"/>
            <w:gridSpan w:val="4"/>
            <w:tcBorders>
              <w:bottom w:val="single" w:sz="12" w:space="0" w:color="auto"/>
            </w:tcBorders>
          </w:tcPr>
          <w:p w14:paraId="3ED42284" w14:textId="77777777" w:rsidR="00CD6848" w:rsidRPr="002A4F46" w:rsidRDefault="00CD6848" w:rsidP="00F05E8B">
            <w:pPr>
              <w:rPr>
                <w:b/>
                <w:bCs/>
              </w:rPr>
            </w:pPr>
            <w:r w:rsidRPr="002A4F46">
              <w:rPr>
                <w:b/>
                <w:bCs/>
              </w:rPr>
              <w:t>Deadline:</w:t>
            </w:r>
          </w:p>
        </w:tc>
        <w:tc>
          <w:tcPr>
            <w:tcW w:w="7489" w:type="dxa"/>
            <w:gridSpan w:val="4"/>
            <w:tcBorders>
              <w:bottom w:val="single" w:sz="12" w:space="0" w:color="auto"/>
            </w:tcBorders>
          </w:tcPr>
          <w:p w14:paraId="6B3D042F" w14:textId="67AF491E" w:rsidR="00CD6848" w:rsidRPr="002A4F46" w:rsidRDefault="00BA1E8A" w:rsidP="00F05E8B">
            <w:pPr>
              <w:pStyle w:val="LSDeadline"/>
            </w:pPr>
            <w:r w:rsidRPr="002A4F46">
              <w:t>N/A</w:t>
            </w:r>
          </w:p>
        </w:tc>
      </w:tr>
      <w:tr w:rsidR="006733F0" w:rsidRPr="0049090D" w14:paraId="500A09DD" w14:textId="77777777" w:rsidTr="00323132">
        <w:trPr>
          <w:cantSplit/>
        </w:trPr>
        <w:tc>
          <w:tcPr>
            <w:tcW w:w="1560" w:type="dxa"/>
            <w:gridSpan w:val="2"/>
            <w:tcBorders>
              <w:top w:val="single" w:sz="8" w:space="0" w:color="auto"/>
              <w:bottom w:val="single" w:sz="8" w:space="0" w:color="auto"/>
            </w:tcBorders>
          </w:tcPr>
          <w:p w14:paraId="20DE722B" w14:textId="77777777" w:rsidR="006733F0" w:rsidRPr="00136DDD" w:rsidRDefault="006733F0" w:rsidP="006733F0">
            <w:pPr>
              <w:rPr>
                <w:b/>
                <w:bCs/>
              </w:rPr>
            </w:pPr>
            <w:r w:rsidRPr="00136DDD">
              <w:rPr>
                <w:b/>
                <w:bCs/>
              </w:rPr>
              <w:t>Contact:</w:t>
            </w:r>
          </w:p>
        </w:tc>
        <w:tc>
          <w:tcPr>
            <w:tcW w:w="3841" w:type="dxa"/>
            <w:gridSpan w:val="3"/>
            <w:tcBorders>
              <w:top w:val="single" w:sz="8" w:space="0" w:color="auto"/>
              <w:bottom w:val="single" w:sz="8" w:space="0" w:color="auto"/>
            </w:tcBorders>
          </w:tcPr>
          <w:p w14:paraId="10CE9505" w14:textId="2CA790A4" w:rsidR="006733F0" w:rsidRPr="00AF5A57" w:rsidRDefault="006733F0" w:rsidP="006733F0">
            <w:r w:rsidRPr="008C2A00">
              <w:t>Ritu Ranjan M</w:t>
            </w:r>
            <w:r>
              <w:t>ittar</w:t>
            </w:r>
            <w:r>
              <w:br/>
              <w:t>Chairman SG11</w:t>
            </w:r>
            <w:r>
              <w:br/>
              <w:t>India</w:t>
            </w:r>
          </w:p>
        </w:tc>
        <w:tc>
          <w:tcPr>
            <w:tcW w:w="4238" w:type="dxa"/>
            <w:gridSpan w:val="3"/>
            <w:tcBorders>
              <w:top w:val="single" w:sz="8" w:space="0" w:color="auto"/>
              <w:bottom w:val="single" w:sz="8" w:space="0" w:color="auto"/>
            </w:tcBorders>
          </w:tcPr>
          <w:p w14:paraId="60379989" w14:textId="385C5F38" w:rsidR="006733F0" w:rsidRPr="00AF5A57" w:rsidRDefault="006733F0" w:rsidP="006733F0">
            <w:pPr>
              <w:tabs>
                <w:tab w:val="left" w:pos="794"/>
              </w:tabs>
            </w:pPr>
            <w:r>
              <w:t>Tel:</w:t>
            </w:r>
            <w:r>
              <w:tab/>
            </w:r>
            <w:r w:rsidRPr="00F86D3F">
              <w:t>+919868137776</w:t>
            </w:r>
            <w:r>
              <w:br/>
              <w:t>E-mail:</w:t>
            </w:r>
            <w:r>
              <w:tab/>
            </w:r>
            <w:hyperlink r:id="rId11" w:history="1">
              <w:r w:rsidRPr="009D6AFB">
                <w:rPr>
                  <w:rStyle w:val="Hyperlink"/>
                </w:rPr>
                <w:t>rr.mittar@gov.in</w:t>
              </w:r>
            </w:hyperlink>
          </w:p>
        </w:tc>
      </w:tr>
      <w:tr w:rsidR="005769D7" w:rsidRPr="00B46993" w14:paraId="0A899B88" w14:textId="77777777" w:rsidTr="00323132">
        <w:tblPrEx>
          <w:jc w:val="center"/>
        </w:tblPrEx>
        <w:trPr>
          <w:cantSplit/>
          <w:jc w:val="center"/>
        </w:trPr>
        <w:tc>
          <w:tcPr>
            <w:tcW w:w="1560" w:type="dxa"/>
            <w:gridSpan w:val="2"/>
            <w:tcBorders>
              <w:top w:val="single" w:sz="6" w:space="0" w:color="auto"/>
              <w:bottom w:val="single" w:sz="6" w:space="0" w:color="auto"/>
            </w:tcBorders>
          </w:tcPr>
          <w:p w14:paraId="3424CFCC" w14:textId="77777777" w:rsidR="005769D7" w:rsidRPr="0059056D" w:rsidRDefault="005769D7" w:rsidP="00A3707B">
            <w:pPr>
              <w:rPr>
                <w:b/>
                <w:bCs/>
              </w:rPr>
            </w:pPr>
            <w:r w:rsidRPr="0059056D">
              <w:rPr>
                <w:b/>
                <w:bCs/>
              </w:rPr>
              <w:t>Contact:</w:t>
            </w:r>
          </w:p>
        </w:tc>
        <w:tc>
          <w:tcPr>
            <w:tcW w:w="3911" w:type="dxa"/>
            <w:gridSpan w:val="4"/>
            <w:tcBorders>
              <w:top w:val="single" w:sz="6" w:space="0" w:color="auto"/>
              <w:bottom w:val="single" w:sz="6" w:space="0" w:color="auto"/>
            </w:tcBorders>
          </w:tcPr>
          <w:p w14:paraId="03448195" w14:textId="7E3AEF4D" w:rsidR="005769D7" w:rsidRPr="0059056D" w:rsidRDefault="00323132" w:rsidP="00A3707B">
            <w:sdt>
              <w:sdtPr>
                <w:rPr>
                  <w:rFonts w:eastAsia="SimSun"/>
                  <w:lang w:val="fr-CH" w:eastAsia="zh-CN"/>
                </w:rPr>
                <w:alias w:val="ContactNameOrgCountry"/>
                <w:tag w:val="ContactNameOrgCountry"/>
                <w:id w:val="-130639986"/>
                <w:placeholder>
                  <w:docPart w:val="05BAD8BE7EA948678CF5060F147BCFC3"/>
                </w:placeholder>
                <w:text w:multiLine="1"/>
              </w:sdtPr>
              <w:sdtEndPr/>
              <w:sdtContent>
                <w:r w:rsidR="008B16CC" w:rsidRPr="00C72D5B">
                  <w:rPr>
                    <w:rFonts w:eastAsia="SimSun"/>
                    <w:lang w:val="fr-CH" w:eastAsia="zh-CN"/>
                  </w:rPr>
                  <w:t>Joao Zanon</w:t>
                </w:r>
                <w:r w:rsidR="008B16CC" w:rsidRPr="00C72D5B">
                  <w:rPr>
                    <w:rFonts w:eastAsia="SimSun"/>
                    <w:lang w:val="fr-CH" w:eastAsia="zh-CN"/>
                  </w:rPr>
                  <w:br/>
                  <w:t>SG11 Vocabulary Rapporteur</w:t>
                </w:r>
              </w:sdtContent>
            </w:sdt>
          </w:p>
        </w:tc>
        <w:tc>
          <w:tcPr>
            <w:tcW w:w="4168" w:type="dxa"/>
            <w:gridSpan w:val="2"/>
            <w:tcBorders>
              <w:top w:val="single" w:sz="6" w:space="0" w:color="auto"/>
              <w:bottom w:val="single" w:sz="6" w:space="0" w:color="auto"/>
            </w:tcBorders>
          </w:tcPr>
          <w:p w14:paraId="762BD4A4" w14:textId="67A58C87" w:rsidR="005769D7" w:rsidRPr="00596C5D" w:rsidRDefault="008B16CC" w:rsidP="00A3707B">
            <w:pPr>
              <w:rPr>
                <w:lang w:val="fr-CH"/>
              </w:rPr>
            </w:pPr>
            <w:r w:rsidRPr="00C72D5B">
              <w:rPr>
                <w:lang w:val="pt-BR"/>
              </w:rPr>
              <w:t xml:space="preserve">E-mail: </w:t>
            </w:r>
            <w:hyperlink r:id="rId12" w:history="1">
              <w:r w:rsidRPr="00791A78">
                <w:rPr>
                  <w:rStyle w:val="Hyperlink"/>
                  <w:lang w:val="pt-BR"/>
                </w:rPr>
                <w:t>zanon@anatel.gov.br</w:t>
              </w:r>
            </w:hyperlink>
          </w:p>
        </w:tc>
      </w:tr>
    </w:tbl>
    <w:p w14:paraId="140BC52E" w14:textId="77777777" w:rsidR="000C397B" w:rsidRPr="001519DD" w:rsidRDefault="000C397B" w:rsidP="0089088E">
      <w:pPr>
        <w:rPr>
          <w:lang w:val="fr-CH"/>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695FC2" w:rsidRPr="00136DDD" w14:paraId="76C4A506" w14:textId="77777777" w:rsidTr="001410FD">
        <w:trPr>
          <w:cantSplit/>
        </w:trPr>
        <w:tc>
          <w:tcPr>
            <w:tcW w:w="1588" w:type="dxa"/>
          </w:tcPr>
          <w:p w14:paraId="22982571" w14:textId="77777777" w:rsidR="00695FC2" w:rsidRPr="00136DDD" w:rsidRDefault="00695FC2" w:rsidP="00EF060D">
            <w:pPr>
              <w:rPr>
                <w:b/>
                <w:bCs/>
              </w:rPr>
            </w:pPr>
            <w:r w:rsidRPr="00136DDD">
              <w:rPr>
                <w:b/>
                <w:bCs/>
              </w:rPr>
              <w:t>Abstract:</w:t>
            </w:r>
          </w:p>
        </w:tc>
        <w:tc>
          <w:tcPr>
            <w:tcW w:w="8051" w:type="dxa"/>
          </w:tcPr>
          <w:p w14:paraId="41E12E93" w14:textId="0B480EEA" w:rsidR="00695FC2" w:rsidRPr="008249A7" w:rsidRDefault="008B16CC" w:rsidP="00EF060D">
            <w:pPr>
              <w:pStyle w:val="TSBHeaderSummary"/>
              <w:rPr>
                <w:highlight w:val="yellow"/>
              </w:rPr>
            </w:pPr>
            <w:r w:rsidRPr="00C72D5B">
              <w:t xml:space="preserve">This liaison statement contains </w:t>
            </w:r>
            <w:r>
              <w:t xml:space="preserve">the list of terms </w:t>
            </w:r>
            <w:r w:rsidRPr="00C72D5B">
              <w:t xml:space="preserve">and definitions </w:t>
            </w:r>
            <w:r>
              <w:t xml:space="preserve">extracted from draft </w:t>
            </w:r>
            <w:r w:rsidRPr="00C72D5B">
              <w:t xml:space="preserve">ITU-T Recommendations </w:t>
            </w:r>
            <w:r>
              <w:t xml:space="preserve">consented at this particular SG11 meeting (Geneva, 6-15 July 2022). Also, it contains set of </w:t>
            </w:r>
            <w:r w:rsidRPr="00C72D5B">
              <w:t xml:space="preserve">new terms and definitions extracted from </w:t>
            </w:r>
            <w:r>
              <w:t xml:space="preserve">work items planned for </w:t>
            </w:r>
            <w:r w:rsidRPr="00C72D5B">
              <w:t>consent</w:t>
            </w:r>
            <w:r>
              <w:t xml:space="preserve"> at the next WPs meetings (December 2022, TBC)</w:t>
            </w:r>
            <w:r w:rsidRPr="00C72D5B">
              <w:t>.</w:t>
            </w:r>
          </w:p>
        </w:tc>
      </w:tr>
    </w:tbl>
    <w:p w14:paraId="441F949E" w14:textId="2F407E1A" w:rsidR="008B16CC" w:rsidRPr="008B16CC" w:rsidRDefault="008B16CC" w:rsidP="00EA6270">
      <w:pPr>
        <w:spacing w:before="240" w:line="259" w:lineRule="auto"/>
        <w:rPr>
          <w:rFonts w:eastAsia="Malgun Gothic"/>
          <w:lang w:eastAsia="ko-KR"/>
        </w:rPr>
      </w:pPr>
      <w:r w:rsidRPr="008B16CC">
        <w:rPr>
          <w:rFonts w:eastAsia="Malgun Gothic"/>
          <w:lang w:eastAsia="ko-KR"/>
        </w:rPr>
        <w:t>ITU-T Study Group 11would like to inform SCV of the list of terms and definitions extracted from draft ITU-T Recommendations consented at this particular SG11 meeting (</w:t>
      </w:r>
      <w:r>
        <w:rPr>
          <w:rFonts w:eastAsia="Malgun Gothic"/>
          <w:lang w:eastAsia="ko-KR"/>
        </w:rPr>
        <w:t>Geneva</w:t>
      </w:r>
      <w:r w:rsidRPr="008B16CC">
        <w:rPr>
          <w:rFonts w:eastAsia="Malgun Gothic"/>
          <w:lang w:eastAsia="ko-KR"/>
        </w:rPr>
        <w:t xml:space="preserve">, </w:t>
      </w:r>
      <w:r>
        <w:rPr>
          <w:rFonts w:eastAsia="Malgun Gothic"/>
          <w:lang w:eastAsia="ko-KR"/>
        </w:rPr>
        <w:t>6-15 July 2022</w:t>
      </w:r>
      <w:r w:rsidRPr="008B16CC">
        <w:rPr>
          <w:rFonts w:eastAsia="Malgun Gothic"/>
          <w:lang w:eastAsia="ko-KR"/>
        </w:rPr>
        <w:t xml:space="preserve">). Also, we would like to inform SCV about set of new terms and definitions extracted from the work items planned for consent at the next </w:t>
      </w:r>
      <w:r>
        <w:rPr>
          <w:rFonts w:eastAsia="Malgun Gothic"/>
          <w:lang w:eastAsia="ko-KR"/>
        </w:rPr>
        <w:t>WP</w:t>
      </w:r>
      <w:r w:rsidR="00EC5E75">
        <w:rPr>
          <w:rFonts w:eastAsia="Malgun Gothic"/>
          <w:lang w:eastAsia="ko-KR"/>
        </w:rPr>
        <w:t xml:space="preserve">1/11, WP2/11 and WP3/11 </w:t>
      </w:r>
      <w:r w:rsidRPr="008B16CC">
        <w:rPr>
          <w:rFonts w:eastAsia="Malgun Gothic"/>
          <w:lang w:eastAsia="ko-KR"/>
        </w:rPr>
        <w:t>meeting</w:t>
      </w:r>
      <w:r>
        <w:rPr>
          <w:rFonts w:eastAsia="Malgun Gothic"/>
          <w:lang w:eastAsia="ko-KR"/>
        </w:rPr>
        <w:t>s</w:t>
      </w:r>
      <w:r w:rsidRPr="008B16CC">
        <w:rPr>
          <w:rFonts w:eastAsia="Malgun Gothic"/>
          <w:lang w:eastAsia="ko-KR"/>
        </w:rPr>
        <w:t xml:space="preserve"> (</w:t>
      </w:r>
      <w:r w:rsidR="00C504D7">
        <w:rPr>
          <w:rFonts w:eastAsia="Malgun Gothic"/>
          <w:lang w:eastAsia="ko-KR"/>
        </w:rPr>
        <w:t xml:space="preserve">Geneva, </w:t>
      </w:r>
      <w:r w:rsidR="00EC5E75">
        <w:rPr>
          <w:rFonts w:eastAsia="Malgun Gothic"/>
          <w:lang w:eastAsia="ko-KR"/>
        </w:rPr>
        <w:t xml:space="preserve">7 </w:t>
      </w:r>
      <w:r>
        <w:rPr>
          <w:rFonts w:eastAsia="Malgun Gothic"/>
          <w:lang w:eastAsia="ko-KR"/>
        </w:rPr>
        <w:t>December</w:t>
      </w:r>
      <w:r w:rsidRPr="008B16CC">
        <w:rPr>
          <w:rFonts w:eastAsia="Malgun Gothic"/>
          <w:lang w:eastAsia="ko-KR"/>
        </w:rPr>
        <w:t xml:space="preserve"> 2022). Both lists are included in the Annex.</w:t>
      </w:r>
    </w:p>
    <w:p w14:paraId="00DD783B" w14:textId="3CFE9D2C" w:rsidR="006C572E" w:rsidRDefault="008B16CC" w:rsidP="00EA6270">
      <w:pPr>
        <w:spacing w:line="259" w:lineRule="auto"/>
      </w:pPr>
      <w:r w:rsidRPr="008B16CC">
        <w:rPr>
          <w:rFonts w:eastAsia="Malgun Gothic"/>
          <w:lang w:eastAsia="ko-KR"/>
        </w:rPr>
        <w:t>ITU-T SG11 looks forward to receiving feedback from SCV. SG11 will continue updating SCV on new terms of references.</w:t>
      </w:r>
    </w:p>
    <w:p w14:paraId="1255C215" w14:textId="77777777" w:rsidR="008B16CC" w:rsidRPr="007C4CEE" w:rsidRDefault="008B16CC" w:rsidP="00EA6270">
      <w:pPr>
        <w:tabs>
          <w:tab w:val="left" w:pos="794"/>
          <w:tab w:val="left" w:pos="1191"/>
          <w:tab w:val="left" w:pos="1588"/>
          <w:tab w:val="left" w:pos="1985"/>
        </w:tabs>
        <w:autoSpaceDN w:val="0"/>
        <w:adjustRightInd w:val="0"/>
        <w:ind w:left="400"/>
        <w:sectPr w:rsidR="008B16CC" w:rsidRPr="007C4CEE" w:rsidSect="00C05DF2">
          <w:headerReference w:type="default" r:id="rId13"/>
          <w:pgSz w:w="11907" w:h="16840" w:code="9"/>
          <w:pgMar w:top="1134" w:right="1134" w:bottom="1134" w:left="1134" w:header="720" w:footer="720" w:gutter="0"/>
          <w:cols w:space="720"/>
          <w:titlePg/>
          <w:docGrid w:linePitch="360"/>
        </w:sectPr>
      </w:pPr>
    </w:p>
    <w:p w14:paraId="16C05BF6" w14:textId="77777777" w:rsidR="008B16CC" w:rsidRPr="00CE27DD" w:rsidRDefault="008B16CC" w:rsidP="00CE27DD">
      <w:pPr>
        <w:pStyle w:val="NormalWeb"/>
        <w:jc w:val="center"/>
        <w:rPr>
          <w:b/>
          <w:bCs/>
          <w:sz w:val="28"/>
          <w:szCs w:val="28"/>
        </w:rPr>
      </w:pPr>
      <w:r w:rsidRPr="00CE27DD">
        <w:rPr>
          <w:b/>
          <w:bCs/>
          <w:sz w:val="28"/>
          <w:szCs w:val="28"/>
        </w:rPr>
        <w:lastRenderedPageBreak/>
        <w:t>Annex</w:t>
      </w:r>
    </w:p>
    <w:p w14:paraId="6C94BCEA" w14:textId="5CC2D2D2" w:rsidR="008B16CC" w:rsidRPr="00CE27DD" w:rsidRDefault="008B16CC" w:rsidP="00CE27DD">
      <w:pPr>
        <w:spacing w:before="240" w:after="240"/>
        <w:rPr>
          <w:b/>
          <w:bCs/>
        </w:rPr>
      </w:pPr>
      <w:bookmarkStart w:id="10" w:name="_Hlk89972284"/>
      <w:r w:rsidRPr="00CE27DD">
        <w:rPr>
          <w:b/>
          <w:bCs/>
        </w:rPr>
        <w:t>Work Items consented at the SG11 meeting (Geneva, 6-15 July 2022)</w:t>
      </w:r>
    </w:p>
    <w:tbl>
      <w:tblPr>
        <w:tblW w:w="5000" w:type="pct"/>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423"/>
        <w:gridCol w:w="716"/>
        <w:gridCol w:w="1866"/>
        <w:gridCol w:w="1004"/>
        <w:gridCol w:w="1147"/>
        <w:gridCol w:w="3729"/>
        <w:gridCol w:w="1866"/>
        <w:gridCol w:w="3805"/>
      </w:tblGrid>
      <w:tr w:rsidR="00120731" w:rsidRPr="00EA6270" w14:paraId="76D0B700" w14:textId="77777777" w:rsidTr="00EA6270">
        <w:trPr>
          <w:tblHeader/>
        </w:trPr>
        <w:tc>
          <w:tcPr>
            <w:tcW w:w="145" w:type="pct"/>
            <w:tcBorders>
              <w:top w:val="outset" w:sz="6" w:space="0" w:color="auto"/>
              <w:left w:val="outset" w:sz="6" w:space="0" w:color="auto"/>
              <w:bottom w:val="outset" w:sz="6" w:space="0" w:color="auto"/>
              <w:right w:val="outset" w:sz="6" w:space="0" w:color="auto"/>
            </w:tcBorders>
            <w:shd w:val="clear" w:color="auto" w:fill="FFF3FF"/>
          </w:tcPr>
          <w:p w14:paraId="2F3C93F2" w14:textId="77777777" w:rsidR="00120731" w:rsidRPr="00EA6270" w:rsidRDefault="00120731" w:rsidP="000D1158">
            <w:pPr>
              <w:ind w:left="170"/>
              <w:rPr>
                <w:rFonts w:eastAsia="Times New Roman"/>
                <w:b/>
                <w:bCs/>
                <w:sz w:val="22"/>
                <w:szCs w:val="22"/>
              </w:rPr>
            </w:pPr>
            <w:r w:rsidRPr="00EA6270">
              <w:rPr>
                <w:rFonts w:eastAsia="Times New Roman"/>
                <w:b/>
                <w:bCs/>
                <w:sz w:val="22"/>
                <w:szCs w:val="22"/>
              </w:rPr>
              <w:t>#</w:t>
            </w:r>
          </w:p>
        </w:tc>
        <w:tc>
          <w:tcPr>
            <w:tcW w:w="246" w:type="pct"/>
            <w:tcBorders>
              <w:top w:val="outset" w:sz="6" w:space="0" w:color="auto"/>
              <w:left w:val="outset" w:sz="6" w:space="0" w:color="auto"/>
              <w:bottom w:val="outset" w:sz="6" w:space="0" w:color="auto"/>
              <w:right w:val="outset" w:sz="6" w:space="0" w:color="auto"/>
            </w:tcBorders>
            <w:shd w:val="clear" w:color="auto" w:fill="FFF3FF"/>
            <w:hideMark/>
          </w:tcPr>
          <w:p w14:paraId="42047757" w14:textId="77777777" w:rsidR="00120731" w:rsidRPr="00EA6270" w:rsidRDefault="00120731" w:rsidP="000D1158">
            <w:pPr>
              <w:jc w:val="center"/>
              <w:rPr>
                <w:rFonts w:eastAsia="Times New Roman"/>
                <w:b/>
                <w:bCs/>
                <w:sz w:val="22"/>
                <w:szCs w:val="22"/>
              </w:rPr>
            </w:pPr>
            <w:r w:rsidRPr="00EA6270">
              <w:rPr>
                <w:rFonts w:eastAsia="Times New Roman"/>
                <w:b/>
                <w:bCs/>
                <w:sz w:val="22"/>
                <w:szCs w:val="22"/>
              </w:rPr>
              <w:t>Q/11</w:t>
            </w:r>
          </w:p>
        </w:tc>
        <w:tc>
          <w:tcPr>
            <w:tcW w:w="641" w:type="pct"/>
            <w:tcBorders>
              <w:top w:val="outset" w:sz="6" w:space="0" w:color="auto"/>
              <w:left w:val="outset" w:sz="6" w:space="0" w:color="auto"/>
              <w:bottom w:val="outset" w:sz="6" w:space="0" w:color="auto"/>
              <w:right w:val="outset" w:sz="6" w:space="0" w:color="auto"/>
            </w:tcBorders>
            <w:shd w:val="clear" w:color="auto" w:fill="FFF3FF"/>
            <w:hideMark/>
          </w:tcPr>
          <w:p w14:paraId="406328EF" w14:textId="77777777" w:rsidR="00120731" w:rsidRPr="00EA6270" w:rsidRDefault="00120731" w:rsidP="000D1158">
            <w:pPr>
              <w:jc w:val="center"/>
              <w:rPr>
                <w:rFonts w:eastAsia="Times New Roman"/>
                <w:b/>
                <w:bCs/>
                <w:sz w:val="22"/>
                <w:szCs w:val="22"/>
              </w:rPr>
            </w:pPr>
            <w:r w:rsidRPr="00EA6270">
              <w:rPr>
                <w:rFonts w:eastAsia="Times New Roman"/>
                <w:b/>
                <w:bCs/>
                <w:sz w:val="22"/>
                <w:szCs w:val="22"/>
              </w:rPr>
              <w:t>Work item</w:t>
            </w:r>
          </w:p>
        </w:tc>
        <w:tc>
          <w:tcPr>
            <w:tcW w:w="345" w:type="pct"/>
            <w:tcBorders>
              <w:top w:val="outset" w:sz="6" w:space="0" w:color="auto"/>
              <w:left w:val="outset" w:sz="6" w:space="0" w:color="auto"/>
              <w:bottom w:val="outset" w:sz="6" w:space="0" w:color="auto"/>
              <w:right w:val="outset" w:sz="6" w:space="0" w:color="auto"/>
            </w:tcBorders>
            <w:shd w:val="clear" w:color="auto" w:fill="FFF3FF"/>
            <w:hideMark/>
          </w:tcPr>
          <w:p w14:paraId="37263AFB" w14:textId="77777777" w:rsidR="00120731" w:rsidRPr="00EA6270" w:rsidRDefault="00120731" w:rsidP="000D1158">
            <w:pPr>
              <w:jc w:val="center"/>
              <w:rPr>
                <w:rFonts w:eastAsia="Times New Roman"/>
                <w:b/>
                <w:bCs/>
                <w:sz w:val="22"/>
                <w:szCs w:val="22"/>
              </w:rPr>
            </w:pPr>
            <w:r w:rsidRPr="00EA6270">
              <w:rPr>
                <w:rFonts w:eastAsia="Times New Roman"/>
                <w:b/>
                <w:bCs/>
                <w:sz w:val="22"/>
                <w:szCs w:val="22"/>
              </w:rPr>
              <w:t>Timing</w:t>
            </w:r>
          </w:p>
        </w:tc>
        <w:tc>
          <w:tcPr>
            <w:tcW w:w="394" w:type="pct"/>
            <w:tcBorders>
              <w:top w:val="outset" w:sz="6" w:space="0" w:color="auto"/>
              <w:left w:val="outset" w:sz="6" w:space="0" w:color="auto"/>
              <w:bottom w:val="outset" w:sz="6" w:space="0" w:color="auto"/>
              <w:right w:val="outset" w:sz="6" w:space="0" w:color="auto"/>
            </w:tcBorders>
            <w:shd w:val="clear" w:color="auto" w:fill="FFF3FF"/>
            <w:hideMark/>
          </w:tcPr>
          <w:p w14:paraId="50B18713" w14:textId="77777777" w:rsidR="00120731" w:rsidRPr="00EA6270" w:rsidRDefault="00120731" w:rsidP="000D1158">
            <w:pPr>
              <w:jc w:val="center"/>
              <w:rPr>
                <w:rFonts w:eastAsia="Times New Roman"/>
                <w:b/>
                <w:bCs/>
                <w:sz w:val="22"/>
                <w:szCs w:val="22"/>
              </w:rPr>
            </w:pPr>
            <w:r w:rsidRPr="00EA6270">
              <w:rPr>
                <w:rFonts w:eastAsia="Times New Roman"/>
                <w:b/>
                <w:bCs/>
                <w:sz w:val="22"/>
                <w:szCs w:val="22"/>
              </w:rPr>
              <w:t>Approval process</w:t>
            </w:r>
          </w:p>
        </w:tc>
        <w:tc>
          <w:tcPr>
            <w:tcW w:w="1281" w:type="pct"/>
            <w:tcBorders>
              <w:top w:val="outset" w:sz="6" w:space="0" w:color="auto"/>
              <w:left w:val="outset" w:sz="6" w:space="0" w:color="auto"/>
              <w:bottom w:val="outset" w:sz="6" w:space="0" w:color="auto"/>
              <w:right w:val="outset" w:sz="6" w:space="0" w:color="auto"/>
            </w:tcBorders>
            <w:shd w:val="clear" w:color="auto" w:fill="FFF3FF"/>
            <w:hideMark/>
          </w:tcPr>
          <w:p w14:paraId="4597C037" w14:textId="77777777" w:rsidR="00120731" w:rsidRPr="00EA6270" w:rsidRDefault="00120731" w:rsidP="000D1158">
            <w:pPr>
              <w:jc w:val="center"/>
              <w:rPr>
                <w:rFonts w:eastAsia="Times New Roman"/>
                <w:b/>
                <w:bCs/>
                <w:sz w:val="22"/>
                <w:szCs w:val="22"/>
              </w:rPr>
            </w:pPr>
            <w:r w:rsidRPr="00EA6270">
              <w:rPr>
                <w:rFonts w:eastAsia="Times New Roman"/>
                <w:b/>
                <w:bCs/>
                <w:sz w:val="22"/>
                <w:szCs w:val="22"/>
              </w:rPr>
              <w:t>Subject / Title</w:t>
            </w:r>
          </w:p>
        </w:tc>
        <w:tc>
          <w:tcPr>
            <w:tcW w:w="641" w:type="pct"/>
            <w:tcBorders>
              <w:top w:val="outset" w:sz="6" w:space="0" w:color="auto"/>
              <w:left w:val="outset" w:sz="6" w:space="0" w:color="auto"/>
              <w:bottom w:val="outset" w:sz="6" w:space="0" w:color="auto"/>
              <w:right w:val="outset" w:sz="6" w:space="0" w:color="auto"/>
            </w:tcBorders>
            <w:shd w:val="clear" w:color="auto" w:fill="FFF3FF"/>
            <w:hideMark/>
          </w:tcPr>
          <w:p w14:paraId="69B5CF6D" w14:textId="77777777" w:rsidR="00120731" w:rsidRPr="00EA6270" w:rsidRDefault="00120731" w:rsidP="000D1158">
            <w:pPr>
              <w:jc w:val="center"/>
              <w:rPr>
                <w:rFonts w:eastAsia="Times New Roman"/>
                <w:b/>
                <w:bCs/>
                <w:sz w:val="22"/>
                <w:szCs w:val="22"/>
              </w:rPr>
            </w:pPr>
            <w:r w:rsidRPr="00EA6270">
              <w:rPr>
                <w:rFonts w:eastAsia="Times New Roman"/>
                <w:b/>
                <w:bCs/>
                <w:sz w:val="22"/>
                <w:szCs w:val="22"/>
              </w:rPr>
              <w:t>Base text(s)</w:t>
            </w:r>
          </w:p>
        </w:tc>
        <w:tc>
          <w:tcPr>
            <w:tcW w:w="1307" w:type="pct"/>
            <w:tcBorders>
              <w:top w:val="outset" w:sz="6" w:space="0" w:color="auto"/>
              <w:left w:val="outset" w:sz="6" w:space="0" w:color="auto"/>
              <w:bottom w:val="outset" w:sz="6" w:space="0" w:color="auto"/>
              <w:right w:val="outset" w:sz="6" w:space="0" w:color="auto"/>
            </w:tcBorders>
            <w:shd w:val="clear" w:color="auto" w:fill="FFF3FF"/>
          </w:tcPr>
          <w:p w14:paraId="7EE37371" w14:textId="77777777" w:rsidR="00120731" w:rsidRPr="00EA6270" w:rsidRDefault="00120731" w:rsidP="000D1158">
            <w:pPr>
              <w:jc w:val="center"/>
              <w:rPr>
                <w:rFonts w:eastAsia="Times New Roman"/>
                <w:b/>
                <w:bCs/>
                <w:sz w:val="22"/>
                <w:szCs w:val="22"/>
              </w:rPr>
            </w:pPr>
            <w:r w:rsidRPr="00EA6270">
              <w:rPr>
                <w:rFonts w:eastAsia="Times New Roman"/>
                <w:b/>
                <w:bCs/>
                <w:sz w:val="22"/>
                <w:szCs w:val="22"/>
              </w:rPr>
              <w:t>Terms and Definitions defined in the WI</w:t>
            </w:r>
          </w:p>
        </w:tc>
      </w:tr>
      <w:tr w:rsidR="00120731" w:rsidRPr="00EA6270" w14:paraId="4483A5C3" w14:textId="77777777" w:rsidTr="00EA6270">
        <w:tc>
          <w:tcPr>
            <w:tcW w:w="5000" w:type="pct"/>
            <w:gridSpan w:val="8"/>
            <w:tcBorders>
              <w:top w:val="outset" w:sz="6" w:space="0" w:color="auto"/>
              <w:left w:val="outset" w:sz="6" w:space="0" w:color="auto"/>
              <w:bottom w:val="outset" w:sz="6" w:space="0" w:color="auto"/>
              <w:right w:val="outset" w:sz="6" w:space="0" w:color="auto"/>
            </w:tcBorders>
            <w:shd w:val="clear" w:color="auto" w:fill="FFFFFF"/>
          </w:tcPr>
          <w:p w14:paraId="40096C11" w14:textId="77777777" w:rsidR="00120731" w:rsidRPr="00EA6270" w:rsidRDefault="00120731" w:rsidP="000D1158">
            <w:pPr>
              <w:rPr>
                <w:rFonts w:eastAsia="Times New Roman"/>
                <w:b/>
                <w:bCs/>
                <w:sz w:val="22"/>
                <w:szCs w:val="22"/>
              </w:rPr>
            </w:pPr>
            <w:r w:rsidRPr="00EA6270">
              <w:rPr>
                <w:rFonts w:eastAsia="Times New Roman"/>
                <w:b/>
                <w:bCs/>
                <w:sz w:val="22"/>
                <w:szCs w:val="22"/>
              </w:rPr>
              <w:t>Working Party 1/11</w:t>
            </w:r>
          </w:p>
        </w:tc>
      </w:tr>
      <w:tr w:rsidR="00120731" w:rsidRPr="00EA6270" w14:paraId="28B0C067" w14:textId="77777777" w:rsidTr="00EA6270">
        <w:tc>
          <w:tcPr>
            <w:tcW w:w="145" w:type="pct"/>
            <w:tcBorders>
              <w:top w:val="outset" w:sz="6" w:space="0" w:color="auto"/>
              <w:left w:val="outset" w:sz="6" w:space="0" w:color="auto"/>
              <w:bottom w:val="outset" w:sz="6" w:space="0" w:color="auto"/>
              <w:right w:val="outset" w:sz="6" w:space="0" w:color="auto"/>
            </w:tcBorders>
            <w:shd w:val="clear" w:color="auto" w:fill="FFFFFF"/>
          </w:tcPr>
          <w:p w14:paraId="097AFEAA" w14:textId="77777777" w:rsidR="00120731" w:rsidRPr="00EA6270" w:rsidRDefault="00120731" w:rsidP="00120731">
            <w:pPr>
              <w:pStyle w:val="ListParagraph"/>
              <w:numPr>
                <w:ilvl w:val="0"/>
                <w:numId w:val="16"/>
              </w:numPr>
              <w:ind w:left="170" w:firstLine="0"/>
              <w:rPr>
                <w:rFonts w:eastAsia="Times New Roman"/>
                <w:sz w:val="22"/>
                <w:szCs w:val="22"/>
              </w:rPr>
            </w:pPr>
          </w:p>
        </w:tc>
        <w:tc>
          <w:tcPr>
            <w:tcW w:w="246" w:type="pct"/>
            <w:tcBorders>
              <w:top w:val="outset" w:sz="6" w:space="0" w:color="auto"/>
              <w:left w:val="outset" w:sz="6" w:space="0" w:color="auto"/>
              <w:bottom w:val="outset" w:sz="6" w:space="0" w:color="auto"/>
              <w:right w:val="outset" w:sz="6" w:space="0" w:color="auto"/>
            </w:tcBorders>
            <w:shd w:val="clear" w:color="auto" w:fill="EDEDED"/>
            <w:hideMark/>
          </w:tcPr>
          <w:p w14:paraId="4E88648C" w14:textId="77777777" w:rsidR="00120731" w:rsidRPr="00EA6270" w:rsidRDefault="00120731" w:rsidP="000D1158">
            <w:pPr>
              <w:jc w:val="center"/>
              <w:rPr>
                <w:rFonts w:eastAsia="Times New Roman"/>
                <w:sz w:val="22"/>
                <w:szCs w:val="22"/>
              </w:rPr>
            </w:pPr>
            <w:r w:rsidRPr="00EA6270">
              <w:rPr>
                <w:rFonts w:eastAsia="Times New Roman"/>
                <w:sz w:val="22"/>
                <w:szCs w:val="22"/>
              </w:rPr>
              <w:t>Q2/11</w:t>
            </w:r>
          </w:p>
        </w:tc>
        <w:tc>
          <w:tcPr>
            <w:tcW w:w="641" w:type="pct"/>
            <w:tcBorders>
              <w:top w:val="outset" w:sz="6" w:space="0" w:color="auto"/>
              <w:left w:val="outset" w:sz="6" w:space="0" w:color="auto"/>
              <w:bottom w:val="outset" w:sz="6" w:space="0" w:color="auto"/>
              <w:right w:val="outset" w:sz="6" w:space="0" w:color="auto"/>
            </w:tcBorders>
            <w:shd w:val="clear" w:color="auto" w:fill="FFFFFF"/>
            <w:hideMark/>
          </w:tcPr>
          <w:p w14:paraId="61862FD1" w14:textId="77777777" w:rsidR="00120731" w:rsidRPr="00EA6270" w:rsidRDefault="00120731" w:rsidP="000D1158">
            <w:pPr>
              <w:jc w:val="center"/>
              <w:rPr>
                <w:rFonts w:eastAsia="Times New Roman"/>
                <w:color w:val="000066"/>
                <w:sz w:val="22"/>
                <w:szCs w:val="22"/>
                <w:lang w:val="fr-CH"/>
              </w:rPr>
            </w:pPr>
            <w:r w:rsidRPr="00EA6270">
              <w:rPr>
                <w:sz w:val="22"/>
                <w:szCs w:val="22"/>
                <w:lang w:val="fr-CH"/>
              </w:rPr>
              <w:t>ITU-T Q.3063</w:t>
            </w:r>
            <w:r w:rsidRPr="00EA6270">
              <w:rPr>
                <w:sz w:val="22"/>
                <w:szCs w:val="22"/>
                <w:lang w:val="fr-CH"/>
              </w:rPr>
              <w:br/>
              <w:t xml:space="preserve">(ex </w:t>
            </w:r>
            <w:hyperlink r:id="rId14" w:tooltip="See more details" w:history="1">
              <w:r w:rsidRPr="00EA6270">
                <w:rPr>
                  <w:rStyle w:val="Hyperlink"/>
                  <w:rFonts w:eastAsia="Times New Roman"/>
                  <w:sz w:val="22"/>
                  <w:szCs w:val="22"/>
                  <w:lang w:val="fr-CH"/>
                </w:rPr>
                <w:t>Q.CIDA</w:t>
              </w:r>
            </w:hyperlink>
            <w:r w:rsidRPr="00EA6270">
              <w:rPr>
                <w:sz w:val="22"/>
                <w:szCs w:val="22"/>
                <w:lang w:val="fr-CH"/>
              </w:rPr>
              <w:t>)</w:t>
            </w:r>
          </w:p>
        </w:tc>
        <w:tc>
          <w:tcPr>
            <w:tcW w:w="345" w:type="pct"/>
            <w:tcBorders>
              <w:top w:val="outset" w:sz="6" w:space="0" w:color="auto"/>
              <w:left w:val="outset" w:sz="6" w:space="0" w:color="auto"/>
              <w:bottom w:val="outset" w:sz="6" w:space="0" w:color="auto"/>
              <w:right w:val="outset" w:sz="6" w:space="0" w:color="auto"/>
            </w:tcBorders>
            <w:shd w:val="clear" w:color="auto" w:fill="FFFFFF"/>
            <w:hideMark/>
          </w:tcPr>
          <w:p w14:paraId="73E54069" w14:textId="77777777" w:rsidR="00120731" w:rsidRPr="00EA6270" w:rsidRDefault="00120731" w:rsidP="000D1158">
            <w:pPr>
              <w:jc w:val="center"/>
              <w:rPr>
                <w:rFonts w:eastAsia="Times New Roman"/>
                <w:sz w:val="22"/>
                <w:szCs w:val="22"/>
              </w:rPr>
            </w:pPr>
            <w:r w:rsidRPr="00EA6270">
              <w:rPr>
                <w:rFonts w:eastAsia="Times New Roman"/>
                <w:sz w:val="22"/>
                <w:szCs w:val="22"/>
              </w:rPr>
              <w:t>2022-07</w:t>
            </w:r>
          </w:p>
        </w:tc>
        <w:tc>
          <w:tcPr>
            <w:tcW w:w="394" w:type="pct"/>
            <w:tcBorders>
              <w:top w:val="outset" w:sz="6" w:space="0" w:color="auto"/>
              <w:left w:val="outset" w:sz="6" w:space="0" w:color="auto"/>
              <w:bottom w:val="outset" w:sz="6" w:space="0" w:color="auto"/>
              <w:right w:val="outset" w:sz="6" w:space="0" w:color="auto"/>
            </w:tcBorders>
            <w:shd w:val="clear" w:color="auto" w:fill="FFFFFF"/>
            <w:hideMark/>
          </w:tcPr>
          <w:p w14:paraId="3CE4F408" w14:textId="77777777" w:rsidR="00120731" w:rsidRPr="00EA6270" w:rsidRDefault="00120731" w:rsidP="000D1158">
            <w:pPr>
              <w:jc w:val="center"/>
              <w:rPr>
                <w:rFonts w:eastAsia="Times New Roman"/>
                <w:sz w:val="22"/>
                <w:szCs w:val="22"/>
              </w:rPr>
            </w:pPr>
            <w:r w:rsidRPr="00EA6270">
              <w:rPr>
                <w:rFonts w:eastAsia="Times New Roman"/>
                <w:sz w:val="22"/>
                <w:szCs w:val="22"/>
              </w:rPr>
              <w:t>AAP</w:t>
            </w:r>
          </w:p>
        </w:tc>
        <w:tc>
          <w:tcPr>
            <w:tcW w:w="1281" w:type="pct"/>
            <w:tcBorders>
              <w:top w:val="outset" w:sz="6" w:space="0" w:color="auto"/>
              <w:left w:val="outset" w:sz="6" w:space="0" w:color="auto"/>
              <w:bottom w:val="outset" w:sz="6" w:space="0" w:color="auto"/>
              <w:right w:val="outset" w:sz="6" w:space="0" w:color="auto"/>
            </w:tcBorders>
            <w:shd w:val="clear" w:color="auto" w:fill="FFFFFF"/>
            <w:hideMark/>
          </w:tcPr>
          <w:p w14:paraId="3672A25C" w14:textId="77777777" w:rsidR="00120731" w:rsidRPr="00EA6270" w:rsidRDefault="00120731" w:rsidP="000D1158">
            <w:pPr>
              <w:jc w:val="center"/>
              <w:rPr>
                <w:rFonts w:eastAsia="Times New Roman"/>
                <w:sz w:val="22"/>
                <w:szCs w:val="22"/>
              </w:rPr>
            </w:pPr>
            <w:r w:rsidRPr="00EA6270">
              <w:rPr>
                <w:rFonts w:eastAsia="Times New Roman"/>
                <w:sz w:val="22"/>
                <w:szCs w:val="22"/>
              </w:rPr>
              <w:t>Signalling procedures of calling line identification authentication</w:t>
            </w:r>
          </w:p>
        </w:tc>
        <w:tc>
          <w:tcPr>
            <w:tcW w:w="641" w:type="pct"/>
            <w:tcBorders>
              <w:top w:val="outset" w:sz="6" w:space="0" w:color="auto"/>
              <w:left w:val="outset" w:sz="6" w:space="0" w:color="auto"/>
              <w:bottom w:val="outset" w:sz="6" w:space="0" w:color="auto"/>
              <w:right w:val="outset" w:sz="6" w:space="0" w:color="auto"/>
            </w:tcBorders>
            <w:shd w:val="clear" w:color="auto" w:fill="FFFFFF"/>
          </w:tcPr>
          <w:p w14:paraId="66CB79E3" w14:textId="77777777" w:rsidR="00120731" w:rsidRPr="00EA6270" w:rsidRDefault="00323132" w:rsidP="000D1158">
            <w:pPr>
              <w:jc w:val="center"/>
              <w:rPr>
                <w:rFonts w:eastAsia="Times New Roman"/>
                <w:color w:val="000066"/>
                <w:sz w:val="22"/>
                <w:szCs w:val="22"/>
              </w:rPr>
            </w:pPr>
            <w:hyperlink r:id="rId15" w:history="1">
              <w:r w:rsidR="00120731" w:rsidRPr="00EA6270">
                <w:rPr>
                  <w:rStyle w:val="Hyperlink"/>
                  <w:sz w:val="22"/>
                  <w:szCs w:val="22"/>
                  <w:shd w:val="clear" w:color="auto" w:fill="FFFFFF"/>
                  <w:lang w:val="fr-CH"/>
                </w:rPr>
                <w:t>SG11-TD189-R1/GEN</w:t>
              </w:r>
            </w:hyperlink>
          </w:p>
        </w:tc>
        <w:tc>
          <w:tcPr>
            <w:tcW w:w="1307" w:type="pct"/>
            <w:tcBorders>
              <w:top w:val="outset" w:sz="6" w:space="0" w:color="auto"/>
              <w:left w:val="outset" w:sz="6" w:space="0" w:color="auto"/>
              <w:bottom w:val="outset" w:sz="6" w:space="0" w:color="auto"/>
              <w:right w:val="outset" w:sz="6" w:space="0" w:color="auto"/>
            </w:tcBorders>
            <w:shd w:val="clear" w:color="auto" w:fill="FFFFFF"/>
          </w:tcPr>
          <w:p w14:paraId="270FEAD5" w14:textId="77777777" w:rsidR="00120731" w:rsidRPr="00EA6270" w:rsidRDefault="00120731" w:rsidP="000D1158">
            <w:pPr>
              <w:rPr>
                <w:rFonts w:eastAsia="Times New Roman"/>
                <w:sz w:val="22"/>
                <w:szCs w:val="22"/>
              </w:rPr>
            </w:pPr>
            <w:r w:rsidRPr="00EA6270">
              <w:rPr>
                <w:rFonts w:eastAsia="Times New Roman"/>
                <w:b/>
                <w:bCs/>
                <w:sz w:val="22"/>
                <w:szCs w:val="22"/>
              </w:rPr>
              <w:t>calling line identification certificate (CLIC)</w:t>
            </w:r>
            <w:r w:rsidRPr="00EA6270">
              <w:rPr>
                <w:rFonts w:eastAsia="Times New Roman"/>
                <w:sz w:val="22"/>
                <w:szCs w:val="22"/>
              </w:rPr>
              <w:t>: a public certificate issued by CA is used to prove the originating local exchange owns the calling party number.</w:t>
            </w:r>
          </w:p>
        </w:tc>
      </w:tr>
      <w:tr w:rsidR="00120731" w:rsidRPr="00EA6270" w14:paraId="74DADBC1" w14:textId="77777777" w:rsidTr="00EA6270">
        <w:tc>
          <w:tcPr>
            <w:tcW w:w="145" w:type="pct"/>
            <w:tcBorders>
              <w:top w:val="outset" w:sz="6" w:space="0" w:color="auto"/>
              <w:left w:val="outset" w:sz="6" w:space="0" w:color="auto"/>
              <w:bottom w:val="outset" w:sz="6" w:space="0" w:color="auto"/>
              <w:right w:val="outset" w:sz="6" w:space="0" w:color="auto"/>
            </w:tcBorders>
            <w:shd w:val="clear" w:color="auto" w:fill="FFFFFF"/>
          </w:tcPr>
          <w:p w14:paraId="1FD1ECC9" w14:textId="77777777" w:rsidR="00120731" w:rsidRPr="00EA6270" w:rsidRDefault="00120731" w:rsidP="00120731">
            <w:pPr>
              <w:pStyle w:val="ListParagraph"/>
              <w:numPr>
                <w:ilvl w:val="0"/>
                <w:numId w:val="16"/>
              </w:numPr>
              <w:ind w:left="170" w:firstLine="0"/>
              <w:rPr>
                <w:rFonts w:eastAsia="Times New Roman"/>
                <w:sz w:val="22"/>
                <w:szCs w:val="22"/>
              </w:rPr>
            </w:pPr>
          </w:p>
        </w:tc>
        <w:tc>
          <w:tcPr>
            <w:tcW w:w="246" w:type="pct"/>
            <w:tcBorders>
              <w:top w:val="outset" w:sz="6" w:space="0" w:color="auto"/>
              <w:left w:val="outset" w:sz="6" w:space="0" w:color="auto"/>
              <w:bottom w:val="outset" w:sz="6" w:space="0" w:color="auto"/>
              <w:right w:val="outset" w:sz="6" w:space="0" w:color="auto"/>
            </w:tcBorders>
            <w:shd w:val="clear" w:color="auto" w:fill="EDEDED"/>
          </w:tcPr>
          <w:p w14:paraId="5375ABCB" w14:textId="77777777" w:rsidR="00120731" w:rsidRPr="00EA6270" w:rsidRDefault="00120731" w:rsidP="000D1158">
            <w:pPr>
              <w:jc w:val="center"/>
              <w:rPr>
                <w:rFonts w:eastAsia="Times New Roman"/>
                <w:sz w:val="22"/>
                <w:szCs w:val="22"/>
              </w:rPr>
            </w:pPr>
            <w:r w:rsidRPr="00EA6270">
              <w:rPr>
                <w:rFonts w:eastAsia="Times New Roman"/>
                <w:sz w:val="22"/>
                <w:szCs w:val="22"/>
              </w:rPr>
              <w:t>Q2/11</w:t>
            </w:r>
          </w:p>
        </w:tc>
        <w:tc>
          <w:tcPr>
            <w:tcW w:w="641" w:type="pct"/>
            <w:tcBorders>
              <w:top w:val="outset" w:sz="6" w:space="0" w:color="auto"/>
              <w:left w:val="outset" w:sz="6" w:space="0" w:color="auto"/>
              <w:bottom w:val="outset" w:sz="6" w:space="0" w:color="auto"/>
              <w:right w:val="outset" w:sz="6" w:space="0" w:color="auto"/>
            </w:tcBorders>
            <w:shd w:val="clear" w:color="auto" w:fill="FFFFFF"/>
          </w:tcPr>
          <w:p w14:paraId="644C5D3E" w14:textId="77777777" w:rsidR="00120731" w:rsidRPr="00EA6270" w:rsidRDefault="00120731" w:rsidP="000D1158">
            <w:pPr>
              <w:jc w:val="center"/>
              <w:rPr>
                <w:rFonts w:eastAsia="Times New Roman"/>
                <w:color w:val="000066"/>
                <w:sz w:val="22"/>
                <w:szCs w:val="22"/>
                <w:lang w:val="fr-CH"/>
              </w:rPr>
            </w:pPr>
            <w:r w:rsidRPr="00EA6270">
              <w:rPr>
                <w:sz w:val="22"/>
                <w:szCs w:val="22"/>
                <w:lang w:val="fr-CH"/>
              </w:rPr>
              <w:t>ITU-T Q.3062</w:t>
            </w:r>
            <w:r w:rsidRPr="00EA6270">
              <w:rPr>
                <w:sz w:val="22"/>
                <w:szCs w:val="22"/>
                <w:lang w:val="fr-CH"/>
              </w:rPr>
              <w:br/>
              <w:t xml:space="preserve">(ex </w:t>
            </w:r>
            <w:hyperlink r:id="rId16" w:tooltip="See more details" w:history="1">
              <w:r w:rsidRPr="00EA6270">
                <w:rPr>
                  <w:rStyle w:val="Hyperlink"/>
                  <w:rFonts w:eastAsia="Times New Roman"/>
                  <w:sz w:val="22"/>
                  <w:szCs w:val="22"/>
                  <w:lang w:val="fr-CH"/>
                </w:rPr>
                <w:t>Q.Pro-Trust</w:t>
              </w:r>
            </w:hyperlink>
            <w:r w:rsidRPr="00EA6270">
              <w:rPr>
                <w:sz w:val="22"/>
                <w:szCs w:val="22"/>
                <w:lang w:val="fr-CH"/>
              </w:rPr>
              <w:t>)</w:t>
            </w:r>
          </w:p>
        </w:tc>
        <w:tc>
          <w:tcPr>
            <w:tcW w:w="345" w:type="pct"/>
            <w:tcBorders>
              <w:top w:val="outset" w:sz="6" w:space="0" w:color="auto"/>
              <w:left w:val="outset" w:sz="6" w:space="0" w:color="auto"/>
              <w:bottom w:val="outset" w:sz="6" w:space="0" w:color="auto"/>
              <w:right w:val="outset" w:sz="6" w:space="0" w:color="auto"/>
            </w:tcBorders>
            <w:shd w:val="clear" w:color="auto" w:fill="FFFFFF"/>
          </w:tcPr>
          <w:p w14:paraId="60A1ECD6" w14:textId="77777777" w:rsidR="00120731" w:rsidRPr="00EA6270" w:rsidRDefault="00120731" w:rsidP="000D1158">
            <w:pPr>
              <w:jc w:val="center"/>
              <w:rPr>
                <w:rFonts w:eastAsia="Times New Roman"/>
                <w:sz w:val="22"/>
                <w:szCs w:val="22"/>
              </w:rPr>
            </w:pPr>
            <w:r w:rsidRPr="00EA6270">
              <w:rPr>
                <w:rFonts w:eastAsia="Times New Roman"/>
                <w:sz w:val="22"/>
                <w:szCs w:val="22"/>
              </w:rPr>
              <w:t>2022-07</w:t>
            </w:r>
          </w:p>
        </w:tc>
        <w:tc>
          <w:tcPr>
            <w:tcW w:w="394" w:type="pct"/>
            <w:tcBorders>
              <w:top w:val="outset" w:sz="6" w:space="0" w:color="auto"/>
              <w:left w:val="outset" w:sz="6" w:space="0" w:color="auto"/>
              <w:bottom w:val="outset" w:sz="6" w:space="0" w:color="auto"/>
              <w:right w:val="outset" w:sz="6" w:space="0" w:color="auto"/>
            </w:tcBorders>
            <w:shd w:val="clear" w:color="auto" w:fill="FFFFFF"/>
          </w:tcPr>
          <w:p w14:paraId="3F07BB5D" w14:textId="77777777" w:rsidR="00120731" w:rsidRPr="00EA6270" w:rsidRDefault="00120731" w:rsidP="000D1158">
            <w:pPr>
              <w:jc w:val="center"/>
              <w:rPr>
                <w:rFonts w:eastAsia="Times New Roman"/>
                <w:sz w:val="22"/>
                <w:szCs w:val="22"/>
              </w:rPr>
            </w:pPr>
            <w:r w:rsidRPr="00EA6270">
              <w:rPr>
                <w:rFonts w:eastAsia="Times New Roman"/>
                <w:sz w:val="22"/>
                <w:szCs w:val="22"/>
              </w:rPr>
              <w:t>AAP</w:t>
            </w:r>
          </w:p>
        </w:tc>
        <w:tc>
          <w:tcPr>
            <w:tcW w:w="1281" w:type="pct"/>
            <w:tcBorders>
              <w:top w:val="outset" w:sz="6" w:space="0" w:color="auto"/>
              <w:left w:val="outset" w:sz="6" w:space="0" w:color="auto"/>
              <w:bottom w:val="outset" w:sz="6" w:space="0" w:color="auto"/>
              <w:right w:val="outset" w:sz="6" w:space="0" w:color="auto"/>
            </w:tcBorders>
            <w:shd w:val="clear" w:color="auto" w:fill="FFFFFF"/>
          </w:tcPr>
          <w:p w14:paraId="26ABAEA9" w14:textId="77777777" w:rsidR="00120731" w:rsidRPr="00EA6270" w:rsidRDefault="00120731" w:rsidP="000D1158">
            <w:pPr>
              <w:jc w:val="center"/>
              <w:rPr>
                <w:rFonts w:eastAsia="Times New Roman"/>
                <w:sz w:val="22"/>
                <w:szCs w:val="22"/>
              </w:rPr>
            </w:pPr>
            <w:r w:rsidRPr="00EA6270">
              <w:rPr>
                <w:rFonts w:eastAsia="Times New Roman"/>
                <w:sz w:val="22"/>
                <w:szCs w:val="22"/>
              </w:rPr>
              <w:t>Signalling procedures and protocols for enabling interconnection between trustable network entities in support of existing and emerging networks</w:t>
            </w:r>
          </w:p>
        </w:tc>
        <w:tc>
          <w:tcPr>
            <w:tcW w:w="641" w:type="pct"/>
            <w:tcBorders>
              <w:top w:val="outset" w:sz="6" w:space="0" w:color="auto"/>
              <w:left w:val="outset" w:sz="6" w:space="0" w:color="auto"/>
              <w:bottom w:val="outset" w:sz="6" w:space="0" w:color="auto"/>
              <w:right w:val="outset" w:sz="6" w:space="0" w:color="auto"/>
            </w:tcBorders>
            <w:shd w:val="clear" w:color="auto" w:fill="FFFFFF"/>
          </w:tcPr>
          <w:p w14:paraId="23585500" w14:textId="77777777" w:rsidR="00120731" w:rsidRPr="00EA6270" w:rsidRDefault="00323132" w:rsidP="000D1158">
            <w:pPr>
              <w:jc w:val="center"/>
              <w:rPr>
                <w:rFonts w:eastAsia="Times New Roman"/>
                <w:color w:val="000066"/>
                <w:sz w:val="22"/>
                <w:szCs w:val="22"/>
              </w:rPr>
            </w:pPr>
            <w:hyperlink r:id="rId17" w:history="1">
              <w:r w:rsidR="00120731" w:rsidRPr="00EA6270">
                <w:rPr>
                  <w:rStyle w:val="Hyperlink"/>
                  <w:sz w:val="22"/>
                  <w:szCs w:val="22"/>
                  <w:shd w:val="clear" w:color="auto" w:fill="FFFFFF"/>
                  <w:lang w:val="fr-CH"/>
                </w:rPr>
                <w:t>SG11-TD190-R1/GEN</w:t>
              </w:r>
            </w:hyperlink>
          </w:p>
        </w:tc>
        <w:tc>
          <w:tcPr>
            <w:tcW w:w="1307" w:type="pct"/>
            <w:tcBorders>
              <w:top w:val="outset" w:sz="6" w:space="0" w:color="auto"/>
              <w:left w:val="outset" w:sz="6" w:space="0" w:color="auto"/>
              <w:bottom w:val="outset" w:sz="6" w:space="0" w:color="auto"/>
              <w:right w:val="outset" w:sz="6" w:space="0" w:color="auto"/>
            </w:tcBorders>
            <w:shd w:val="clear" w:color="auto" w:fill="FFFFFF"/>
          </w:tcPr>
          <w:p w14:paraId="0EC19F0B" w14:textId="77777777" w:rsidR="00120731" w:rsidRPr="00EA6270" w:rsidRDefault="00120731" w:rsidP="000D1158">
            <w:pPr>
              <w:tabs>
                <w:tab w:val="left" w:pos="794"/>
                <w:tab w:val="left" w:pos="1191"/>
                <w:tab w:val="left" w:pos="1588"/>
                <w:tab w:val="left" w:pos="1985"/>
              </w:tabs>
              <w:overflowPunct w:val="0"/>
              <w:autoSpaceDE w:val="0"/>
              <w:autoSpaceDN w:val="0"/>
              <w:adjustRightInd w:val="0"/>
              <w:jc w:val="both"/>
              <w:textAlignment w:val="baseline"/>
              <w:rPr>
                <w:sz w:val="22"/>
                <w:szCs w:val="22"/>
                <w:lang w:val="en-US"/>
              </w:rPr>
            </w:pPr>
            <w:r w:rsidRPr="00EA6270">
              <w:rPr>
                <w:b/>
                <w:bCs/>
                <w:sz w:val="22"/>
                <w:szCs w:val="22"/>
                <w:lang w:val="en-US"/>
              </w:rPr>
              <w:t>local signalling security gateway</w:t>
            </w:r>
            <w:r w:rsidRPr="00EA6270">
              <w:rPr>
                <w:sz w:val="22"/>
                <w:szCs w:val="22"/>
                <w:lang w:val="en-US" w:eastAsia="zh-CN"/>
              </w:rPr>
              <w:t xml:space="preserve">: </w:t>
            </w:r>
            <w:r w:rsidRPr="00EA6270">
              <w:rPr>
                <w:sz w:val="22"/>
                <w:szCs w:val="22"/>
                <w:lang w:val="en-US"/>
              </w:rPr>
              <w:t xml:space="preserve">A </w:t>
            </w:r>
            <w:r w:rsidRPr="00EA6270">
              <w:rPr>
                <w:sz w:val="22"/>
                <w:szCs w:val="22"/>
                <w:lang w:val="en-US" w:eastAsia="zh-CN"/>
              </w:rPr>
              <w:t xml:space="preserve">signalling </w:t>
            </w:r>
            <w:r w:rsidRPr="00EA6270">
              <w:rPr>
                <w:sz w:val="22"/>
                <w:szCs w:val="22"/>
                <w:lang w:val="en-US"/>
              </w:rPr>
              <w:t>security</w:t>
            </w:r>
            <w:r w:rsidRPr="00EA6270">
              <w:rPr>
                <w:sz w:val="22"/>
                <w:szCs w:val="22"/>
                <w:lang w:val="en-US" w:eastAsia="zh-CN"/>
              </w:rPr>
              <w:t xml:space="preserve"> gateway (SSGW) </w:t>
            </w:r>
            <w:r w:rsidRPr="00EA6270">
              <w:rPr>
                <w:sz w:val="22"/>
                <w:szCs w:val="22"/>
                <w:lang w:val="en-US"/>
              </w:rPr>
              <w:t xml:space="preserve">that </w:t>
            </w:r>
            <w:r w:rsidRPr="00EA6270">
              <w:rPr>
                <w:sz w:val="22"/>
                <w:szCs w:val="22"/>
                <w:lang w:val="en-US" w:eastAsia="zh-CN"/>
              </w:rPr>
              <w:t>sends messages</w:t>
            </w:r>
            <w:r w:rsidRPr="00EA6270">
              <w:rPr>
                <w:sz w:val="22"/>
                <w:szCs w:val="22"/>
                <w:lang w:val="en-US"/>
              </w:rPr>
              <w:t xml:space="preserve"> on behalf of </w:t>
            </w:r>
            <w:r w:rsidRPr="00EA6270">
              <w:rPr>
                <w:sz w:val="22"/>
                <w:szCs w:val="22"/>
                <w:lang w:val="en-US" w:eastAsia="zh-CN"/>
              </w:rPr>
              <w:t xml:space="preserve">a network entity </w:t>
            </w:r>
            <w:r w:rsidRPr="00EA6270">
              <w:rPr>
                <w:sz w:val="22"/>
                <w:szCs w:val="22"/>
                <w:lang w:val="en-US"/>
              </w:rPr>
              <w:t xml:space="preserve">within </w:t>
            </w:r>
            <w:r w:rsidRPr="00EA6270">
              <w:rPr>
                <w:sz w:val="22"/>
                <w:szCs w:val="22"/>
                <w:lang w:val="en-US" w:eastAsia="zh-CN"/>
              </w:rPr>
              <w:t xml:space="preserve">the </w:t>
            </w:r>
            <w:r w:rsidRPr="00EA6270">
              <w:rPr>
                <w:sz w:val="22"/>
                <w:szCs w:val="22"/>
                <w:lang w:val="en-US"/>
              </w:rPr>
              <w:t xml:space="preserve">same security domain towards another </w:t>
            </w:r>
            <w:r w:rsidRPr="00EA6270">
              <w:rPr>
                <w:sz w:val="22"/>
                <w:szCs w:val="22"/>
                <w:lang w:val="en-US" w:eastAsia="zh-CN"/>
              </w:rPr>
              <w:t>SSGW</w:t>
            </w:r>
            <w:r w:rsidRPr="00EA6270">
              <w:rPr>
                <w:sz w:val="22"/>
                <w:szCs w:val="22"/>
                <w:lang w:val="en-US"/>
              </w:rPr>
              <w:t>.</w:t>
            </w:r>
          </w:p>
          <w:p w14:paraId="34FF2BC2" w14:textId="77777777" w:rsidR="00120731" w:rsidRPr="00EA6270" w:rsidRDefault="00120731" w:rsidP="000D1158">
            <w:pPr>
              <w:tabs>
                <w:tab w:val="left" w:pos="794"/>
                <w:tab w:val="left" w:pos="1191"/>
                <w:tab w:val="left" w:pos="1588"/>
                <w:tab w:val="left" w:pos="1985"/>
              </w:tabs>
              <w:overflowPunct w:val="0"/>
              <w:autoSpaceDE w:val="0"/>
              <w:autoSpaceDN w:val="0"/>
              <w:adjustRightInd w:val="0"/>
              <w:jc w:val="both"/>
              <w:textAlignment w:val="baseline"/>
              <w:rPr>
                <w:sz w:val="22"/>
                <w:szCs w:val="22"/>
                <w:lang w:val="en-US"/>
              </w:rPr>
            </w:pPr>
            <w:r w:rsidRPr="00EA6270">
              <w:rPr>
                <w:b/>
                <w:bCs/>
                <w:sz w:val="22"/>
                <w:szCs w:val="22"/>
                <w:lang w:val="en-US" w:eastAsia="zh-CN"/>
              </w:rPr>
              <w:t xml:space="preserve">peer </w:t>
            </w:r>
            <w:r w:rsidRPr="00EA6270">
              <w:rPr>
                <w:b/>
                <w:sz w:val="22"/>
                <w:szCs w:val="22"/>
                <w:lang w:val="en-US" w:eastAsia="zh-CN"/>
              </w:rPr>
              <w:t>signalling security gateway</w:t>
            </w:r>
            <w:r w:rsidRPr="00EA6270">
              <w:rPr>
                <w:sz w:val="22"/>
                <w:szCs w:val="22"/>
                <w:lang w:val="en-US" w:eastAsia="zh-CN"/>
              </w:rPr>
              <w:t xml:space="preserve">: A </w:t>
            </w:r>
            <w:r w:rsidRPr="00EA6270">
              <w:rPr>
                <w:sz w:val="22"/>
                <w:szCs w:val="22"/>
                <w:lang w:val="en-US"/>
              </w:rPr>
              <w:t>signalling</w:t>
            </w:r>
            <w:r w:rsidRPr="00EA6270">
              <w:rPr>
                <w:sz w:val="22"/>
                <w:szCs w:val="22"/>
                <w:lang w:val="en-US" w:eastAsia="zh-CN"/>
              </w:rPr>
              <w:t xml:space="preserve"> security gateway (SSGW) that receives messages</w:t>
            </w:r>
            <w:r w:rsidRPr="00EA6270">
              <w:rPr>
                <w:sz w:val="22"/>
                <w:szCs w:val="22"/>
                <w:lang w:val="en-US"/>
              </w:rPr>
              <w:t xml:space="preserve"> on behalf of </w:t>
            </w:r>
            <w:r w:rsidRPr="00EA6270">
              <w:rPr>
                <w:sz w:val="22"/>
                <w:szCs w:val="22"/>
                <w:lang w:val="en-US" w:eastAsia="zh-CN"/>
              </w:rPr>
              <w:t>a network entity</w:t>
            </w:r>
            <w:r w:rsidRPr="00EA6270">
              <w:rPr>
                <w:sz w:val="22"/>
                <w:szCs w:val="22"/>
                <w:lang w:val="en-US"/>
              </w:rPr>
              <w:t xml:space="preserve"> within </w:t>
            </w:r>
            <w:r w:rsidRPr="00EA6270">
              <w:rPr>
                <w:sz w:val="22"/>
                <w:szCs w:val="22"/>
                <w:lang w:val="en-US" w:eastAsia="zh-CN"/>
              </w:rPr>
              <w:t xml:space="preserve">the </w:t>
            </w:r>
            <w:r w:rsidRPr="00EA6270">
              <w:rPr>
                <w:sz w:val="22"/>
                <w:szCs w:val="22"/>
                <w:lang w:val="en-US"/>
              </w:rPr>
              <w:t xml:space="preserve">same security domain from another </w:t>
            </w:r>
            <w:r w:rsidRPr="00EA6270">
              <w:rPr>
                <w:sz w:val="22"/>
                <w:szCs w:val="22"/>
                <w:lang w:val="en-US" w:eastAsia="zh-CN"/>
              </w:rPr>
              <w:t>SSGW</w:t>
            </w:r>
            <w:r w:rsidRPr="00EA6270">
              <w:rPr>
                <w:sz w:val="22"/>
                <w:szCs w:val="22"/>
                <w:lang w:val="en-US"/>
              </w:rPr>
              <w:t>.</w:t>
            </w:r>
          </w:p>
          <w:p w14:paraId="3C3E853F" w14:textId="77777777" w:rsidR="00120731" w:rsidRPr="00EA6270" w:rsidRDefault="00120731" w:rsidP="000D1158">
            <w:pPr>
              <w:tabs>
                <w:tab w:val="left" w:pos="794"/>
                <w:tab w:val="left" w:pos="1191"/>
                <w:tab w:val="left" w:pos="1588"/>
                <w:tab w:val="left" w:pos="1985"/>
              </w:tabs>
              <w:overflowPunct w:val="0"/>
              <w:autoSpaceDE w:val="0"/>
              <w:autoSpaceDN w:val="0"/>
              <w:adjustRightInd w:val="0"/>
              <w:jc w:val="both"/>
              <w:textAlignment w:val="baseline"/>
              <w:rPr>
                <w:i/>
                <w:iCs/>
                <w:sz w:val="22"/>
                <w:szCs w:val="22"/>
                <w:lang w:val="en-US"/>
              </w:rPr>
            </w:pPr>
            <w:r w:rsidRPr="00EA6270">
              <w:rPr>
                <w:b/>
                <w:bCs/>
                <w:sz w:val="22"/>
                <w:szCs w:val="22"/>
                <w:lang w:val="en-US"/>
              </w:rPr>
              <w:t>provisional end entity public-key certificate</w:t>
            </w:r>
            <w:r w:rsidRPr="00EA6270">
              <w:rPr>
                <w:sz w:val="22"/>
                <w:szCs w:val="22"/>
                <w:lang w:val="en-US"/>
              </w:rPr>
              <w:t>: A short-term end entity public-key certificate with a 6-month validity period</w:t>
            </w:r>
            <w:r w:rsidRPr="00EA6270">
              <w:rPr>
                <w:i/>
                <w:iCs/>
                <w:sz w:val="22"/>
                <w:szCs w:val="22"/>
                <w:lang w:val="en-US"/>
              </w:rPr>
              <w:t>.</w:t>
            </w:r>
          </w:p>
          <w:p w14:paraId="458A9E93" w14:textId="77777777" w:rsidR="00120731" w:rsidRPr="00EA6270" w:rsidRDefault="00120731" w:rsidP="000D1158">
            <w:pPr>
              <w:tabs>
                <w:tab w:val="left" w:pos="794"/>
                <w:tab w:val="left" w:pos="1191"/>
                <w:tab w:val="left" w:pos="1588"/>
                <w:tab w:val="left" w:pos="1985"/>
              </w:tabs>
              <w:overflowPunct w:val="0"/>
              <w:autoSpaceDE w:val="0"/>
              <w:autoSpaceDN w:val="0"/>
              <w:adjustRightInd w:val="0"/>
              <w:jc w:val="both"/>
              <w:textAlignment w:val="baseline"/>
              <w:rPr>
                <w:sz w:val="22"/>
                <w:szCs w:val="22"/>
                <w:lang w:val="en-US"/>
              </w:rPr>
            </w:pPr>
            <w:r w:rsidRPr="00EA6270">
              <w:rPr>
                <w:b/>
                <w:bCs/>
                <w:sz w:val="22"/>
                <w:szCs w:val="22"/>
                <w:lang w:val="en-US"/>
              </w:rPr>
              <w:t>security association (SA)</w:t>
            </w:r>
            <w:r w:rsidRPr="00EA6270">
              <w:rPr>
                <w:sz w:val="22"/>
                <w:szCs w:val="22"/>
                <w:lang w:val="en-US"/>
              </w:rPr>
              <w:t xml:space="preserve">: A logical connection created for security purposes. All traffic traversing an SA is provided with the same security protection. The SA specifies protection levels, algorithms to be used, lifetimes of the connection etc. </w:t>
            </w:r>
          </w:p>
          <w:p w14:paraId="71F23B53" w14:textId="77777777" w:rsidR="00120731" w:rsidRPr="00EA6270" w:rsidRDefault="00120731" w:rsidP="000D1158">
            <w:pPr>
              <w:tabs>
                <w:tab w:val="left" w:pos="794"/>
                <w:tab w:val="left" w:pos="1191"/>
                <w:tab w:val="left" w:pos="1588"/>
                <w:tab w:val="left" w:pos="1985"/>
              </w:tabs>
              <w:overflowPunct w:val="0"/>
              <w:autoSpaceDE w:val="0"/>
              <w:autoSpaceDN w:val="0"/>
              <w:adjustRightInd w:val="0"/>
              <w:jc w:val="both"/>
              <w:textAlignment w:val="baseline"/>
              <w:rPr>
                <w:sz w:val="22"/>
                <w:szCs w:val="22"/>
                <w:lang w:val="en-US"/>
              </w:rPr>
            </w:pPr>
            <w:r w:rsidRPr="00EA6270">
              <w:rPr>
                <w:b/>
                <w:bCs/>
                <w:sz w:val="22"/>
                <w:szCs w:val="22"/>
                <w:lang w:val="en-US"/>
              </w:rPr>
              <w:lastRenderedPageBreak/>
              <w:t>validated end entity public</w:t>
            </w:r>
            <w:r w:rsidRPr="00EA6270">
              <w:rPr>
                <w:b/>
                <w:sz w:val="22"/>
                <w:szCs w:val="22"/>
                <w:lang w:val="en-US"/>
              </w:rPr>
              <w:t>-key certificate</w:t>
            </w:r>
            <w:r w:rsidRPr="00EA6270">
              <w:rPr>
                <w:sz w:val="22"/>
                <w:szCs w:val="22"/>
                <w:lang w:val="en-US"/>
              </w:rPr>
              <w:t xml:space="preserve"> </w:t>
            </w:r>
            <w:r w:rsidRPr="00EA6270">
              <w:rPr>
                <w:b/>
                <w:sz w:val="22"/>
                <w:szCs w:val="22"/>
                <w:lang w:val="en-US"/>
              </w:rPr>
              <w:t>(VEEC)</w:t>
            </w:r>
            <w:r w:rsidRPr="00EA6270">
              <w:rPr>
                <w:sz w:val="22"/>
                <w:szCs w:val="22"/>
                <w:lang w:val="en-US"/>
              </w:rPr>
              <w:t>: A long-term end entity public-key certificate</w:t>
            </w:r>
            <w:r w:rsidRPr="00EA6270" w:rsidDel="00984724">
              <w:rPr>
                <w:sz w:val="22"/>
                <w:szCs w:val="22"/>
                <w:lang w:val="en-US"/>
              </w:rPr>
              <w:t xml:space="preserve"> </w:t>
            </w:r>
            <w:r w:rsidRPr="00EA6270">
              <w:rPr>
                <w:sz w:val="22"/>
                <w:szCs w:val="22"/>
                <w:lang w:val="en-US"/>
              </w:rPr>
              <w:t>with a 2-year validity period.</w:t>
            </w:r>
          </w:p>
        </w:tc>
      </w:tr>
      <w:tr w:rsidR="00120731" w:rsidRPr="00EA6270" w14:paraId="535FCE4E" w14:textId="77777777" w:rsidTr="00EA6270">
        <w:tc>
          <w:tcPr>
            <w:tcW w:w="145" w:type="pct"/>
            <w:tcBorders>
              <w:top w:val="outset" w:sz="6" w:space="0" w:color="auto"/>
              <w:left w:val="outset" w:sz="6" w:space="0" w:color="auto"/>
              <w:bottom w:val="outset" w:sz="6" w:space="0" w:color="auto"/>
              <w:right w:val="outset" w:sz="6" w:space="0" w:color="auto"/>
            </w:tcBorders>
            <w:shd w:val="clear" w:color="auto" w:fill="FFFFFF"/>
          </w:tcPr>
          <w:p w14:paraId="0B2D7E04" w14:textId="77777777" w:rsidR="00120731" w:rsidRPr="00EA6270" w:rsidRDefault="00120731" w:rsidP="00120731">
            <w:pPr>
              <w:pStyle w:val="ListParagraph"/>
              <w:numPr>
                <w:ilvl w:val="0"/>
                <w:numId w:val="16"/>
              </w:numPr>
              <w:ind w:left="170" w:firstLine="0"/>
              <w:rPr>
                <w:rFonts w:eastAsia="Times New Roman"/>
                <w:sz w:val="22"/>
                <w:szCs w:val="22"/>
              </w:rPr>
            </w:pPr>
          </w:p>
        </w:tc>
        <w:tc>
          <w:tcPr>
            <w:tcW w:w="246" w:type="pct"/>
            <w:tcBorders>
              <w:top w:val="outset" w:sz="6" w:space="0" w:color="auto"/>
              <w:left w:val="outset" w:sz="6" w:space="0" w:color="auto"/>
              <w:bottom w:val="outset" w:sz="6" w:space="0" w:color="auto"/>
              <w:right w:val="outset" w:sz="6" w:space="0" w:color="auto"/>
            </w:tcBorders>
            <w:shd w:val="clear" w:color="auto" w:fill="EDEDED"/>
            <w:hideMark/>
          </w:tcPr>
          <w:p w14:paraId="6B481F84" w14:textId="77777777" w:rsidR="00120731" w:rsidRPr="00EA6270" w:rsidRDefault="00120731" w:rsidP="000D1158">
            <w:pPr>
              <w:jc w:val="center"/>
              <w:rPr>
                <w:rFonts w:eastAsia="Times New Roman"/>
                <w:sz w:val="22"/>
                <w:szCs w:val="22"/>
              </w:rPr>
            </w:pPr>
            <w:r w:rsidRPr="00EA6270">
              <w:rPr>
                <w:rFonts w:eastAsia="Times New Roman"/>
                <w:sz w:val="22"/>
                <w:szCs w:val="22"/>
              </w:rPr>
              <w:t>Q4/11</w:t>
            </w:r>
          </w:p>
        </w:tc>
        <w:tc>
          <w:tcPr>
            <w:tcW w:w="641" w:type="pct"/>
            <w:tcBorders>
              <w:top w:val="outset" w:sz="6" w:space="0" w:color="auto"/>
              <w:left w:val="outset" w:sz="6" w:space="0" w:color="auto"/>
              <w:bottom w:val="outset" w:sz="6" w:space="0" w:color="auto"/>
              <w:right w:val="outset" w:sz="6" w:space="0" w:color="auto"/>
            </w:tcBorders>
            <w:shd w:val="clear" w:color="auto" w:fill="FFFFFF"/>
            <w:hideMark/>
          </w:tcPr>
          <w:p w14:paraId="48EDF068" w14:textId="77777777" w:rsidR="00120731" w:rsidRPr="00EA6270" w:rsidRDefault="00120731" w:rsidP="000D1158">
            <w:pPr>
              <w:jc w:val="center"/>
              <w:rPr>
                <w:rFonts w:eastAsia="Times New Roman"/>
                <w:color w:val="000066"/>
                <w:sz w:val="22"/>
                <w:szCs w:val="22"/>
                <w:lang w:val="fr-CH"/>
              </w:rPr>
            </w:pPr>
            <w:r w:rsidRPr="00EA6270">
              <w:rPr>
                <w:sz w:val="22"/>
                <w:szCs w:val="22"/>
                <w:lang w:val="fr-CH"/>
              </w:rPr>
              <w:t>ITU-T Q.3406</w:t>
            </w:r>
            <w:r w:rsidRPr="00EA6270">
              <w:rPr>
                <w:sz w:val="22"/>
                <w:szCs w:val="22"/>
                <w:lang w:val="fr-CH"/>
              </w:rPr>
              <w:br/>
              <w:t xml:space="preserve">(ex </w:t>
            </w:r>
            <w:hyperlink r:id="rId18" w:tooltip="See more details" w:history="1">
              <w:r w:rsidRPr="00EA6270">
                <w:rPr>
                  <w:rStyle w:val="Hyperlink"/>
                  <w:rFonts w:eastAsia="Times New Roman"/>
                  <w:sz w:val="22"/>
                  <w:szCs w:val="22"/>
                  <w:lang w:val="fr-CH"/>
                </w:rPr>
                <w:t>Q.telemetry-VBNS</w:t>
              </w:r>
            </w:hyperlink>
            <w:r w:rsidRPr="00EA6270">
              <w:rPr>
                <w:sz w:val="22"/>
                <w:szCs w:val="22"/>
                <w:lang w:val="fr-CH"/>
              </w:rPr>
              <w:t>)</w:t>
            </w:r>
          </w:p>
        </w:tc>
        <w:tc>
          <w:tcPr>
            <w:tcW w:w="345" w:type="pct"/>
            <w:tcBorders>
              <w:top w:val="outset" w:sz="6" w:space="0" w:color="auto"/>
              <w:left w:val="outset" w:sz="6" w:space="0" w:color="auto"/>
              <w:bottom w:val="outset" w:sz="6" w:space="0" w:color="auto"/>
              <w:right w:val="outset" w:sz="6" w:space="0" w:color="auto"/>
            </w:tcBorders>
            <w:shd w:val="clear" w:color="auto" w:fill="FFFFFF"/>
            <w:hideMark/>
          </w:tcPr>
          <w:p w14:paraId="6B2C9D85" w14:textId="77777777" w:rsidR="00120731" w:rsidRPr="00EA6270" w:rsidRDefault="00120731" w:rsidP="000D1158">
            <w:pPr>
              <w:jc w:val="center"/>
              <w:rPr>
                <w:rFonts w:eastAsia="Times New Roman"/>
                <w:sz w:val="22"/>
                <w:szCs w:val="22"/>
              </w:rPr>
            </w:pPr>
            <w:r w:rsidRPr="00EA6270">
              <w:rPr>
                <w:rFonts w:eastAsia="Times New Roman"/>
                <w:sz w:val="22"/>
                <w:szCs w:val="22"/>
              </w:rPr>
              <w:t>2022-07</w:t>
            </w:r>
          </w:p>
        </w:tc>
        <w:tc>
          <w:tcPr>
            <w:tcW w:w="394" w:type="pct"/>
            <w:tcBorders>
              <w:top w:val="outset" w:sz="6" w:space="0" w:color="auto"/>
              <w:left w:val="outset" w:sz="6" w:space="0" w:color="auto"/>
              <w:bottom w:val="outset" w:sz="6" w:space="0" w:color="auto"/>
              <w:right w:val="outset" w:sz="6" w:space="0" w:color="auto"/>
            </w:tcBorders>
            <w:shd w:val="clear" w:color="auto" w:fill="FFFFFF"/>
            <w:hideMark/>
          </w:tcPr>
          <w:p w14:paraId="29A3EC0E" w14:textId="77777777" w:rsidR="00120731" w:rsidRPr="00EA6270" w:rsidRDefault="00120731" w:rsidP="000D1158">
            <w:pPr>
              <w:jc w:val="center"/>
              <w:rPr>
                <w:rFonts w:eastAsia="Times New Roman"/>
                <w:sz w:val="22"/>
                <w:szCs w:val="22"/>
              </w:rPr>
            </w:pPr>
            <w:r w:rsidRPr="00EA6270">
              <w:rPr>
                <w:rFonts w:eastAsia="Times New Roman"/>
                <w:sz w:val="22"/>
                <w:szCs w:val="22"/>
              </w:rPr>
              <w:t>AAP</w:t>
            </w:r>
          </w:p>
        </w:tc>
        <w:tc>
          <w:tcPr>
            <w:tcW w:w="1281" w:type="pct"/>
            <w:tcBorders>
              <w:top w:val="outset" w:sz="6" w:space="0" w:color="auto"/>
              <w:left w:val="outset" w:sz="6" w:space="0" w:color="auto"/>
              <w:bottom w:val="outset" w:sz="6" w:space="0" w:color="auto"/>
              <w:right w:val="outset" w:sz="6" w:space="0" w:color="auto"/>
            </w:tcBorders>
            <w:shd w:val="clear" w:color="auto" w:fill="FFFFFF"/>
            <w:hideMark/>
          </w:tcPr>
          <w:p w14:paraId="10A3AEEE" w14:textId="77777777" w:rsidR="00120731" w:rsidRPr="00EA6270" w:rsidRDefault="00120731" w:rsidP="000D1158">
            <w:pPr>
              <w:jc w:val="center"/>
              <w:rPr>
                <w:rFonts w:eastAsia="Times New Roman"/>
                <w:sz w:val="22"/>
                <w:szCs w:val="22"/>
              </w:rPr>
            </w:pPr>
            <w:r w:rsidRPr="00EA6270">
              <w:rPr>
                <w:rFonts w:eastAsia="Times New Roman"/>
                <w:sz w:val="22"/>
                <w:szCs w:val="22"/>
              </w:rPr>
              <w:t>Signalling requirements for telemetry of virtual broadband network services</w:t>
            </w:r>
          </w:p>
        </w:tc>
        <w:tc>
          <w:tcPr>
            <w:tcW w:w="641" w:type="pct"/>
            <w:tcBorders>
              <w:top w:val="outset" w:sz="6" w:space="0" w:color="auto"/>
              <w:left w:val="outset" w:sz="6" w:space="0" w:color="auto"/>
              <w:bottom w:val="outset" w:sz="6" w:space="0" w:color="auto"/>
              <w:right w:val="outset" w:sz="6" w:space="0" w:color="auto"/>
            </w:tcBorders>
            <w:shd w:val="clear" w:color="auto" w:fill="FFFFFF"/>
          </w:tcPr>
          <w:p w14:paraId="727A8BC4" w14:textId="77777777" w:rsidR="00120731" w:rsidRPr="00EA6270" w:rsidRDefault="00323132" w:rsidP="000D1158">
            <w:pPr>
              <w:jc w:val="center"/>
              <w:rPr>
                <w:rFonts w:eastAsia="Times New Roman"/>
                <w:color w:val="000066"/>
                <w:sz w:val="22"/>
                <w:szCs w:val="22"/>
              </w:rPr>
            </w:pPr>
            <w:hyperlink r:id="rId19" w:history="1">
              <w:r w:rsidR="00120731" w:rsidRPr="00EA6270">
                <w:rPr>
                  <w:rStyle w:val="Hyperlink"/>
                  <w:sz w:val="22"/>
                  <w:szCs w:val="22"/>
                  <w:shd w:val="clear" w:color="auto" w:fill="FFFFFF"/>
                  <w:lang w:val="fr-CH"/>
                </w:rPr>
                <w:t>SG11-TD224-R1/GEN</w:t>
              </w:r>
            </w:hyperlink>
          </w:p>
        </w:tc>
        <w:tc>
          <w:tcPr>
            <w:tcW w:w="1307" w:type="pct"/>
            <w:tcBorders>
              <w:top w:val="outset" w:sz="6" w:space="0" w:color="auto"/>
              <w:left w:val="outset" w:sz="6" w:space="0" w:color="auto"/>
              <w:bottom w:val="outset" w:sz="6" w:space="0" w:color="auto"/>
              <w:right w:val="outset" w:sz="6" w:space="0" w:color="auto"/>
            </w:tcBorders>
            <w:shd w:val="clear" w:color="auto" w:fill="FFFFFF"/>
          </w:tcPr>
          <w:p w14:paraId="6250DDF4" w14:textId="77777777" w:rsidR="00120731" w:rsidRPr="00EA6270" w:rsidRDefault="00120731" w:rsidP="000D1158">
            <w:pPr>
              <w:rPr>
                <w:rFonts w:eastAsia="Times New Roman"/>
                <w:sz w:val="22"/>
                <w:szCs w:val="22"/>
              </w:rPr>
            </w:pPr>
            <w:r w:rsidRPr="00EA6270">
              <w:rPr>
                <w:b/>
                <w:bCs/>
                <w:sz w:val="22"/>
                <w:szCs w:val="22"/>
                <w:lang w:val="en-US" w:eastAsia="zh-CN"/>
              </w:rPr>
              <w:t>telemetry server</w:t>
            </w:r>
            <w:r w:rsidRPr="00EA6270">
              <w:rPr>
                <w:sz w:val="22"/>
                <w:szCs w:val="22"/>
                <w:lang w:val="en-US" w:eastAsia="zh-CN"/>
              </w:rPr>
              <w:t>: The centralized server which is responsible for controlling the telemetry services.</w:t>
            </w:r>
          </w:p>
        </w:tc>
      </w:tr>
    </w:tbl>
    <w:p w14:paraId="6EE2AC50" w14:textId="77777777" w:rsidR="008B16CC" w:rsidRDefault="008B16CC" w:rsidP="008B16CC">
      <w:r>
        <w:br w:type="page"/>
      </w:r>
    </w:p>
    <w:p w14:paraId="276B6F5F" w14:textId="247B6358" w:rsidR="00347FC5" w:rsidRPr="00120731" w:rsidRDefault="008B16CC" w:rsidP="00CE27DD">
      <w:pPr>
        <w:spacing w:before="0" w:after="240"/>
        <w:rPr>
          <w:b/>
          <w:bCs/>
        </w:rPr>
      </w:pPr>
      <w:r w:rsidRPr="00A14163">
        <w:rPr>
          <w:b/>
          <w:bCs/>
        </w:rPr>
        <w:lastRenderedPageBreak/>
        <w:t xml:space="preserve">Work Items </w:t>
      </w:r>
      <w:r>
        <w:rPr>
          <w:b/>
          <w:bCs/>
        </w:rPr>
        <w:t xml:space="preserve">planned </w:t>
      </w:r>
      <w:r w:rsidRPr="00A14163">
        <w:rPr>
          <w:b/>
          <w:bCs/>
        </w:rPr>
        <w:t xml:space="preserve">to be consented at the </w:t>
      </w:r>
      <w:r>
        <w:rPr>
          <w:b/>
          <w:bCs/>
        </w:rPr>
        <w:t xml:space="preserve">next WPs </w:t>
      </w:r>
      <w:r w:rsidRPr="00A14163">
        <w:rPr>
          <w:b/>
          <w:bCs/>
        </w:rPr>
        <w:t>meeting</w:t>
      </w:r>
      <w:r>
        <w:rPr>
          <w:b/>
          <w:bCs/>
        </w:rPr>
        <w:t>s</w:t>
      </w:r>
      <w:r w:rsidRPr="00A14163">
        <w:rPr>
          <w:b/>
          <w:bCs/>
        </w:rPr>
        <w:t xml:space="preserve"> (</w:t>
      </w:r>
      <w:r>
        <w:rPr>
          <w:b/>
          <w:bCs/>
        </w:rPr>
        <w:t xml:space="preserve">7 December </w:t>
      </w:r>
      <w:r w:rsidRPr="00A14163">
        <w:rPr>
          <w:b/>
          <w:bCs/>
        </w:rPr>
        <w:t>2022)</w:t>
      </w:r>
      <w:bookmarkEnd w:id="10"/>
    </w:p>
    <w:tbl>
      <w:tblPr>
        <w:tblW w:w="5000" w:type="pct"/>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423"/>
        <w:gridCol w:w="716"/>
        <w:gridCol w:w="1866"/>
        <w:gridCol w:w="1004"/>
        <w:gridCol w:w="1147"/>
        <w:gridCol w:w="3729"/>
        <w:gridCol w:w="1866"/>
        <w:gridCol w:w="3805"/>
      </w:tblGrid>
      <w:tr w:rsidR="00120731" w:rsidRPr="00EA6270" w14:paraId="275B64E1" w14:textId="77777777" w:rsidTr="00EA6270">
        <w:trPr>
          <w:tblHeader/>
        </w:trPr>
        <w:tc>
          <w:tcPr>
            <w:tcW w:w="145" w:type="pct"/>
            <w:tcBorders>
              <w:top w:val="outset" w:sz="6" w:space="0" w:color="auto"/>
              <w:left w:val="outset" w:sz="6" w:space="0" w:color="auto"/>
              <w:bottom w:val="outset" w:sz="6" w:space="0" w:color="auto"/>
              <w:right w:val="outset" w:sz="6" w:space="0" w:color="auto"/>
            </w:tcBorders>
            <w:shd w:val="clear" w:color="auto" w:fill="E6DBF5"/>
          </w:tcPr>
          <w:p w14:paraId="3AFB2C38" w14:textId="77777777" w:rsidR="00120731" w:rsidRPr="00EA6270" w:rsidRDefault="00120731" w:rsidP="000D1158">
            <w:pPr>
              <w:jc w:val="center"/>
              <w:rPr>
                <w:rFonts w:eastAsia="Times New Roman"/>
                <w:b/>
                <w:bCs/>
                <w:sz w:val="22"/>
                <w:szCs w:val="22"/>
              </w:rPr>
            </w:pPr>
            <w:r w:rsidRPr="00EA6270">
              <w:rPr>
                <w:rFonts w:eastAsia="Times New Roman"/>
                <w:b/>
                <w:bCs/>
                <w:sz w:val="22"/>
                <w:szCs w:val="22"/>
              </w:rPr>
              <w:t>#</w:t>
            </w:r>
          </w:p>
        </w:tc>
        <w:tc>
          <w:tcPr>
            <w:tcW w:w="246" w:type="pct"/>
            <w:tcBorders>
              <w:top w:val="outset" w:sz="6" w:space="0" w:color="auto"/>
              <w:left w:val="outset" w:sz="6" w:space="0" w:color="auto"/>
              <w:bottom w:val="outset" w:sz="6" w:space="0" w:color="auto"/>
              <w:right w:val="outset" w:sz="6" w:space="0" w:color="auto"/>
            </w:tcBorders>
            <w:shd w:val="clear" w:color="auto" w:fill="E6DBF5"/>
            <w:hideMark/>
          </w:tcPr>
          <w:p w14:paraId="50DC3C81" w14:textId="77777777" w:rsidR="00120731" w:rsidRPr="00EA6270" w:rsidRDefault="00120731" w:rsidP="000D1158">
            <w:pPr>
              <w:jc w:val="center"/>
              <w:rPr>
                <w:rFonts w:eastAsia="Times New Roman"/>
                <w:b/>
                <w:bCs/>
                <w:sz w:val="22"/>
                <w:szCs w:val="22"/>
              </w:rPr>
            </w:pPr>
            <w:r w:rsidRPr="00EA6270">
              <w:rPr>
                <w:rFonts w:eastAsia="Times New Roman"/>
                <w:b/>
                <w:bCs/>
                <w:sz w:val="22"/>
                <w:szCs w:val="22"/>
              </w:rPr>
              <w:t>Q/11</w:t>
            </w:r>
          </w:p>
        </w:tc>
        <w:tc>
          <w:tcPr>
            <w:tcW w:w="641" w:type="pct"/>
            <w:tcBorders>
              <w:top w:val="outset" w:sz="6" w:space="0" w:color="auto"/>
              <w:left w:val="outset" w:sz="6" w:space="0" w:color="auto"/>
              <w:bottom w:val="outset" w:sz="6" w:space="0" w:color="auto"/>
              <w:right w:val="outset" w:sz="6" w:space="0" w:color="auto"/>
            </w:tcBorders>
            <w:shd w:val="clear" w:color="auto" w:fill="E6DBF5"/>
            <w:hideMark/>
          </w:tcPr>
          <w:p w14:paraId="2C0A0ABD" w14:textId="77777777" w:rsidR="00120731" w:rsidRPr="00EA6270" w:rsidRDefault="00120731" w:rsidP="000D1158">
            <w:pPr>
              <w:jc w:val="center"/>
              <w:rPr>
                <w:rFonts w:eastAsia="Times New Roman"/>
                <w:b/>
                <w:bCs/>
                <w:sz w:val="22"/>
                <w:szCs w:val="22"/>
              </w:rPr>
            </w:pPr>
            <w:r w:rsidRPr="00EA6270">
              <w:rPr>
                <w:rFonts w:eastAsia="Times New Roman"/>
                <w:b/>
                <w:bCs/>
                <w:sz w:val="22"/>
                <w:szCs w:val="22"/>
              </w:rPr>
              <w:t>Work item</w:t>
            </w:r>
          </w:p>
        </w:tc>
        <w:tc>
          <w:tcPr>
            <w:tcW w:w="345" w:type="pct"/>
            <w:tcBorders>
              <w:top w:val="outset" w:sz="6" w:space="0" w:color="auto"/>
              <w:left w:val="outset" w:sz="6" w:space="0" w:color="auto"/>
              <w:bottom w:val="outset" w:sz="6" w:space="0" w:color="auto"/>
              <w:right w:val="outset" w:sz="6" w:space="0" w:color="auto"/>
            </w:tcBorders>
            <w:shd w:val="clear" w:color="auto" w:fill="E6DBF5"/>
            <w:hideMark/>
          </w:tcPr>
          <w:p w14:paraId="184AC164" w14:textId="77777777" w:rsidR="00120731" w:rsidRPr="00EA6270" w:rsidRDefault="00120731" w:rsidP="000D1158">
            <w:pPr>
              <w:jc w:val="center"/>
              <w:rPr>
                <w:rFonts w:eastAsia="Times New Roman"/>
                <w:b/>
                <w:bCs/>
                <w:sz w:val="22"/>
                <w:szCs w:val="22"/>
              </w:rPr>
            </w:pPr>
            <w:r w:rsidRPr="00EA6270">
              <w:rPr>
                <w:rFonts w:eastAsia="Times New Roman"/>
                <w:b/>
                <w:bCs/>
                <w:sz w:val="22"/>
                <w:szCs w:val="22"/>
              </w:rPr>
              <w:t>Timing</w:t>
            </w:r>
          </w:p>
        </w:tc>
        <w:tc>
          <w:tcPr>
            <w:tcW w:w="394" w:type="pct"/>
            <w:tcBorders>
              <w:top w:val="outset" w:sz="6" w:space="0" w:color="auto"/>
              <w:left w:val="outset" w:sz="6" w:space="0" w:color="auto"/>
              <w:bottom w:val="outset" w:sz="6" w:space="0" w:color="auto"/>
              <w:right w:val="outset" w:sz="6" w:space="0" w:color="auto"/>
            </w:tcBorders>
            <w:shd w:val="clear" w:color="auto" w:fill="E6DBF5"/>
            <w:hideMark/>
          </w:tcPr>
          <w:p w14:paraId="06E9CCCF" w14:textId="77777777" w:rsidR="00120731" w:rsidRPr="00EA6270" w:rsidRDefault="00120731" w:rsidP="000D1158">
            <w:pPr>
              <w:jc w:val="center"/>
              <w:rPr>
                <w:rFonts w:eastAsia="Times New Roman"/>
                <w:b/>
                <w:bCs/>
                <w:sz w:val="22"/>
                <w:szCs w:val="22"/>
              </w:rPr>
            </w:pPr>
            <w:r w:rsidRPr="00EA6270">
              <w:rPr>
                <w:rFonts w:eastAsia="Times New Roman"/>
                <w:b/>
                <w:bCs/>
                <w:sz w:val="22"/>
                <w:szCs w:val="22"/>
              </w:rPr>
              <w:t>Approval process</w:t>
            </w:r>
          </w:p>
        </w:tc>
        <w:tc>
          <w:tcPr>
            <w:tcW w:w="1281" w:type="pct"/>
            <w:tcBorders>
              <w:top w:val="outset" w:sz="6" w:space="0" w:color="auto"/>
              <w:left w:val="outset" w:sz="6" w:space="0" w:color="auto"/>
              <w:bottom w:val="outset" w:sz="6" w:space="0" w:color="auto"/>
              <w:right w:val="outset" w:sz="6" w:space="0" w:color="auto"/>
            </w:tcBorders>
            <w:shd w:val="clear" w:color="auto" w:fill="E6DBF5"/>
            <w:hideMark/>
          </w:tcPr>
          <w:p w14:paraId="5262CC82" w14:textId="77777777" w:rsidR="00120731" w:rsidRPr="00EA6270" w:rsidRDefault="00120731" w:rsidP="000D1158">
            <w:pPr>
              <w:jc w:val="center"/>
              <w:rPr>
                <w:rFonts w:eastAsia="Times New Roman"/>
                <w:b/>
                <w:bCs/>
                <w:sz w:val="22"/>
                <w:szCs w:val="22"/>
              </w:rPr>
            </w:pPr>
            <w:r w:rsidRPr="00EA6270">
              <w:rPr>
                <w:rFonts w:eastAsia="Times New Roman"/>
                <w:b/>
                <w:bCs/>
                <w:sz w:val="22"/>
                <w:szCs w:val="22"/>
              </w:rPr>
              <w:t>Subject / Title</w:t>
            </w:r>
          </w:p>
        </w:tc>
        <w:tc>
          <w:tcPr>
            <w:tcW w:w="641" w:type="pct"/>
            <w:tcBorders>
              <w:top w:val="outset" w:sz="6" w:space="0" w:color="auto"/>
              <w:left w:val="outset" w:sz="6" w:space="0" w:color="auto"/>
              <w:bottom w:val="outset" w:sz="6" w:space="0" w:color="auto"/>
              <w:right w:val="outset" w:sz="6" w:space="0" w:color="auto"/>
            </w:tcBorders>
            <w:shd w:val="clear" w:color="auto" w:fill="E6DBF5"/>
            <w:hideMark/>
          </w:tcPr>
          <w:p w14:paraId="334C709E" w14:textId="77777777" w:rsidR="00120731" w:rsidRPr="00EA6270" w:rsidRDefault="00120731" w:rsidP="000D1158">
            <w:pPr>
              <w:jc w:val="center"/>
              <w:rPr>
                <w:rFonts w:eastAsia="Times New Roman"/>
                <w:b/>
                <w:bCs/>
                <w:sz w:val="22"/>
                <w:szCs w:val="22"/>
              </w:rPr>
            </w:pPr>
            <w:r w:rsidRPr="00EA6270">
              <w:rPr>
                <w:rFonts w:eastAsia="Times New Roman"/>
                <w:b/>
                <w:bCs/>
                <w:sz w:val="22"/>
                <w:szCs w:val="22"/>
              </w:rPr>
              <w:t>Base text(s)</w:t>
            </w:r>
          </w:p>
        </w:tc>
        <w:tc>
          <w:tcPr>
            <w:tcW w:w="1307" w:type="pct"/>
            <w:tcBorders>
              <w:top w:val="outset" w:sz="6" w:space="0" w:color="auto"/>
              <w:left w:val="outset" w:sz="6" w:space="0" w:color="auto"/>
              <w:bottom w:val="outset" w:sz="6" w:space="0" w:color="auto"/>
              <w:right w:val="outset" w:sz="6" w:space="0" w:color="auto"/>
            </w:tcBorders>
            <w:shd w:val="clear" w:color="auto" w:fill="E6DBF5"/>
          </w:tcPr>
          <w:p w14:paraId="16892BA0" w14:textId="77777777" w:rsidR="00120731" w:rsidRPr="00EA6270" w:rsidRDefault="00120731" w:rsidP="000D1158">
            <w:pPr>
              <w:jc w:val="center"/>
              <w:rPr>
                <w:rFonts w:eastAsia="Times New Roman"/>
                <w:b/>
                <w:bCs/>
                <w:sz w:val="22"/>
                <w:szCs w:val="22"/>
              </w:rPr>
            </w:pPr>
            <w:r w:rsidRPr="00EA6270">
              <w:rPr>
                <w:rFonts w:eastAsia="Times New Roman"/>
                <w:b/>
                <w:bCs/>
                <w:sz w:val="22"/>
                <w:szCs w:val="22"/>
              </w:rPr>
              <w:t>Terms and Definitions defined in the WI</w:t>
            </w:r>
          </w:p>
        </w:tc>
      </w:tr>
      <w:tr w:rsidR="00120731" w:rsidRPr="00EA6270" w14:paraId="5E15685C" w14:textId="77777777" w:rsidTr="00EA6270">
        <w:tc>
          <w:tcPr>
            <w:tcW w:w="5000" w:type="pct"/>
            <w:gridSpan w:val="8"/>
            <w:tcBorders>
              <w:top w:val="outset" w:sz="6" w:space="0" w:color="auto"/>
              <w:left w:val="outset" w:sz="6" w:space="0" w:color="auto"/>
              <w:bottom w:val="outset" w:sz="6" w:space="0" w:color="auto"/>
              <w:right w:val="outset" w:sz="6" w:space="0" w:color="auto"/>
            </w:tcBorders>
            <w:shd w:val="clear" w:color="auto" w:fill="FFFFFF"/>
          </w:tcPr>
          <w:p w14:paraId="7839D7B6" w14:textId="77777777" w:rsidR="00120731" w:rsidRPr="00EA6270" w:rsidRDefault="00120731" w:rsidP="000D1158">
            <w:pPr>
              <w:rPr>
                <w:rFonts w:eastAsia="Times New Roman"/>
                <w:b/>
                <w:bCs/>
                <w:sz w:val="22"/>
                <w:szCs w:val="22"/>
              </w:rPr>
            </w:pPr>
            <w:r w:rsidRPr="00EA6270">
              <w:rPr>
                <w:rFonts w:eastAsia="Times New Roman"/>
                <w:b/>
                <w:bCs/>
                <w:sz w:val="22"/>
                <w:szCs w:val="22"/>
              </w:rPr>
              <w:t>Working Party 1/11</w:t>
            </w:r>
          </w:p>
        </w:tc>
      </w:tr>
      <w:tr w:rsidR="00120731" w:rsidRPr="00EA6270" w14:paraId="04BBD469" w14:textId="77777777" w:rsidTr="00EA6270">
        <w:tc>
          <w:tcPr>
            <w:tcW w:w="145" w:type="pct"/>
            <w:tcBorders>
              <w:top w:val="outset" w:sz="6" w:space="0" w:color="auto"/>
              <w:left w:val="outset" w:sz="6" w:space="0" w:color="auto"/>
              <w:bottom w:val="outset" w:sz="6" w:space="0" w:color="auto"/>
              <w:right w:val="outset" w:sz="6" w:space="0" w:color="auto"/>
            </w:tcBorders>
            <w:shd w:val="clear" w:color="auto" w:fill="FFFFFF"/>
          </w:tcPr>
          <w:p w14:paraId="76518C60" w14:textId="77777777" w:rsidR="00120731" w:rsidRPr="00EA6270" w:rsidRDefault="00120731" w:rsidP="00120731">
            <w:pPr>
              <w:pStyle w:val="ListParagraph"/>
              <w:numPr>
                <w:ilvl w:val="0"/>
                <w:numId w:val="17"/>
              </w:numPr>
              <w:ind w:left="170" w:firstLine="0"/>
              <w:jc w:val="center"/>
              <w:rPr>
                <w:rFonts w:eastAsia="Times New Roman"/>
                <w:sz w:val="22"/>
                <w:szCs w:val="22"/>
              </w:rPr>
            </w:pPr>
          </w:p>
        </w:tc>
        <w:tc>
          <w:tcPr>
            <w:tcW w:w="246" w:type="pct"/>
            <w:tcBorders>
              <w:top w:val="outset" w:sz="6" w:space="0" w:color="auto"/>
              <w:left w:val="outset" w:sz="6" w:space="0" w:color="auto"/>
              <w:bottom w:val="outset" w:sz="6" w:space="0" w:color="auto"/>
              <w:right w:val="outset" w:sz="6" w:space="0" w:color="auto"/>
            </w:tcBorders>
            <w:shd w:val="clear" w:color="auto" w:fill="EDEDED"/>
          </w:tcPr>
          <w:p w14:paraId="318341DA" w14:textId="77777777" w:rsidR="00120731" w:rsidRPr="00EA6270" w:rsidRDefault="00120731" w:rsidP="000D1158">
            <w:pPr>
              <w:jc w:val="center"/>
              <w:rPr>
                <w:rFonts w:eastAsia="Times New Roman"/>
                <w:sz w:val="22"/>
                <w:szCs w:val="22"/>
              </w:rPr>
            </w:pPr>
            <w:r w:rsidRPr="00EA6270">
              <w:rPr>
                <w:rFonts w:eastAsia="Times New Roman"/>
                <w:sz w:val="22"/>
                <w:szCs w:val="22"/>
              </w:rPr>
              <w:t>Q1/11</w:t>
            </w:r>
          </w:p>
        </w:tc>
        <w:tc>
          <w:tcPr>
            <w:tcW w:w="641" w:type="pct"/>
            <w:tcBorders>
              <w:top w:val="outset" w:sz="6" w:space="0" w:color="auto"/>
              <w:left w:val="outset" w:sz="6" w:space="0" w:color="auto"/>
              <w:bottom w:val="outset" w:sz="6" w:space="0" w:color="auto"/>
              <w:right w:val="outset" w:sz="6" w:space="0" w:color="auto"/>
            </w:tcBorders>
            <w:shd w:val="clear" w:color="auto" w:fill="FFFFFF"/>
          </w:tcPr>
          <w:p w14:paraId="13820F28" w14:textId="77777777" w:rsidR="00120731" w:rsidRPr="00EA6270" w:rsidRDefault="00323132" w:rsidP="000D1158">
            <w:pPr>
              <w:jc w:val="center"/>
              <w:rPr>
                <w:sz w:val="22"/>
                <w:szCs w:val="22"/>
              </w:rPr>
            </w:pPr>
            <w:hyperlink r:id="rId20" w:tooltip="See more details" w:history="1">
              <w:r w:rsidR="00120731" w:rsidRPr="00EA6270">
                <w:rPr>
                  <w:rStyle w:val="Hyperlink"/>
                  <w:rFonts w:eastAsia="Times New Roman"/>
                  <w:sz w:val="22"/>
                  <w:szCs w:val="22"/>
                </w:rPr>
                <w:t>Q.LiteIMS-SA</w:t>
              </w:r>
            </w:hyperlink>
          </w:p>
        </w:tc>
        <w:tc>
          <w:tcPr>
            <w:tcW w:w="345" w:type="pct"/>
            <w:tcBorders>
              <w:top w:val="outset" w:sz="6" w:space="0" w:color="auto"/>
              <w:left w:val="outset" w:sz="6" w:space="0" w:color="auto"/>
              <w:bottom w:val="outset" w:sz="6" w:space="0" w:color="auto"/>
              <w:right w:val="outset" w:sz="6" w:space="0" w:color="auto"/>
            </w:tcBorders>
            <w:shd w:val="clear" w:color="auto" w:fill="FFFFFF"/>
          </w:tcPr>
          <w:p w14:paraId="7F8C2587" w14:textId="77777777" w:rsidR="00120731" w:rsidRPr="00EA6270" w:rsidRDefault="00120731" w:rsidP="000D1158">
            <w:pPr>
              <w:jc w:val="center"/>
              <w:rPr>
                <w:rFonts w:eastAsia="Times New Roman"/>
                <w:sz w:val="22"/>
                <w:szCs w:val="22"/>
              </w:rPr>
            </w:pPr>
            <w:r w:rsidRPr="00EA6270">
              <w:rPr>
                <w:rFonts w:eastAsia="Times New Roman"/>
                <w:sz w:val="22"/>
                <w:szCs w:val="22"/>
              </w:rPr>
              <w:t>2022-Q4</w:t>
            </w:r>
          </w:p>
        </w:tc>
        <w:tc>
          <w:tcPr>
            <w:tcW w:w="394" w:type="pct"/>
            <w:tcBorders>
              <w:top w:val="outset" w:sz="6" w:space="0" w:color="auto"/>
              <w:left w:val="outset" w:sz="6" w:space="0" w:color="auto"/>
              <w:bottom w:val="outset" w:sz="6" w:space="0" w:color="auto"/>
              <w:right w:val="outset" w:sz="6" w:space="0" w:color="auto"/>
            </w:tcBorders>
            <w:shd w:val="clear" w:color="auto" w:fill="FFFFFF"/>
          </w:tcPr>
          <w:p w14:paraId="3E88AE7E" w14:textId="77777777" w:rsidR="00120731" w:rsidRPr="00EA6270" w:rsidRDefault="00120731" w:rsidP="000D1158">
            <w:pPr>
              <w:jc w:val="center"/>
              <w:rPr>
                <w:rFonts w:eastAsia="Times New Roman"/>
                <w:sz w:val="22"/>
                <w:szCs w:val="22"/>
              </w:rPr>
            </w:pPr>
            <w:r w:rsidRPr="00EA6270">
              <w:rPr>
                <w:rFonts w:eastAsia="Times New Roman"/>
                <w:sz w:val="22"/>
                <w:szCs w:val="22"/>
              </w:rPr>
              <w:t>AAP</w:t>
            </w:r>
          </w:p>
        </w:tc>
        <w:tc>
          <w:tcPr>
            <w:tcW w:w="1281" w:type="pct"/>
            <w:tcBorders>
              <w:top w:val="outset" w:sz="6" w:space="0" w:color="auto"/>
              <w:left w:val="outset" w:sz="6" w:space="0" w:color="auto"/>
              <w:bottom w:val="outset" w:sz="6" w:space="0" w:color="auto"/>
              <w:right w:val="outset" w:sz="6" w:space="0" w:color="auto"/>
            </w:tcBorders>
            <w:shd w:val="clear" w:color="auto" w:fill="FFFFFF"/>
          </w:tcPr>
          <w:p w14:paraId="1C9AFAC2" w14:textId="77777777" w:rsidR="00120731" w:rsidRPr="00EA6270" w:rsidRDefault="00120731" w:rsidP="000D1158">
            <w:pPr>
              <w:jc w:val="center"/>
              <w:rPr>
                <w:rFonts w:eastAsia="Times New Roman"/>
                <w:sz w:val="22"/>
                <w:szCs w:val="22"/>
              </w:rPr>
            </w:pPr>
            <w:r w:rsidRPr="00EA6270">
              <w:rPr>
                <w:rFonts w:eastAsia="Times New Roman"/>
                <w:sz w:val="22"/>
                <w:szCs w:val="22"/>
              </w:rPr>
              <w:t>Signalling architecture of Lite IMS for IMT-2020 advanced network</w:t>
            </w:r>
          </w:p>
        </w:tc>
        <w:tc>
          <w:tcPr>
            <w:tcW w:w="641" w:type="pct"/>
            <w:tcBorders>
              <w:top w:val="outset" w:sz="6" w:space="0" w:color="auto"/>
              <w:left w:val="outset" w:sz="6" w:space="0" w:color="auto"/>
              <w:bottom w:val="outset" w:sz="6" w:space="0" w:color="auto"/>
              <w:right w:val="outset" w:sz="6" w:space="0" w:color="auto"/>
            </w:tcBorders>
            <w:shd w:val="clear" w:color="auto" w:fill="FFFFFF"/>
          </w:tcPr>
          <w:p w14:paraId="009295EF" w14:textId="77777777" w:rsidR="00120731" w:rsidRPr="00EA6270" w:rsidRDefault="00323132" w:rsidP="000D1158">
            <w:pPr>
              <w:jc w:val="center"/>
              <w:rPr>
                <w:sz w:val="22"/>
                <w:szCs w:val="22"/>
              </w:rPr>
            </w:pPr>
            <w:hyperlink r:id="rId21" w:history="1">
              <w:r w:rsidR="00120731" w:rsidRPr="00EA6270">
                <w:rPr>
                  <w:rStyle w:val="Hyperlink"/>
                  <w:sz w:val="22"/>
                  <w:szCs w:val="22"/>
                </w:rPr>
                <w:t>SG11-TD168/GEN</w:t>
              </w:r>
            </w:hyperlink>
          </w:p>
        </w:tc>
        <w:tc>
          <w:tcPr>
            <w:tcW w:w="1307" w:type="pct"/>
            <w:tcBorders>
              <w:top w:val="outset" w:sz="6" w:space="0" w:color="auto"/>
              <w:left w:val="outset" w:sz="6" w:space="0" w:color="auto"/>
              <w:bottom w:val="outset" w:sz="6" w:space="0" w:color="auto"/>
              <w:right w:val="outset" w:sz="6" w:space="0" w:color="auto"/>
            </w:tcBorders>
            <w:shd w:val="clear" w:color="auto" w:fill="FFFFFF"/>
          </w:tcPr>
          <w:p w14:paraId="128EA0CF" w14:textId="77777777" w:rsidR="00120731" w:rsidRPr="00EA6270" w:rsidRDefault="00120731" w:rsidP="000D1158">
            <w:pPr>
              <w:rPr>
                <w:rFonts w:eastAsia="Times New Roman"/>
                <w:sz w:val="22"/>
                <w:szCs w:val="22"/>
              </w:rPr>
            </w:pPr>
            <w:r w:rsidRPr="00EA6270">
              <w:rPr>
                <w:rFonts w:eastAsia="Times New Roman"/>
                <w:b/>
                <w:bCs/>
                <w:sz w:val="22"/>
                <w:szCs w:val="22"/>
              </w:rPr>
              <w:t>Lite IMS</w:t>
            </w:r>
            <w:r w:rsidRPr="00EA6270">
              <w:rPr>
                <w:rFonts w:eastAsia="Times New Roman"/>
                <w:sz w:val="22"/>
                <w:szCs w:val="22"/>
              </w:rPr>
              <w:t>: Refers to the novel IMS network with the characteristics of high efficiency, extensibility, intelligence and high value-added, aiming to be applied in IMT-2020 advanced network.</w:t>
            </w:r>
          </w:p>
        </w:tc>
      </w:tr>
      <w:tr w:rsidR="00120731" w:rsidRPr="00EA6270" w14:paraId="3A680E16" w14:textId="77777777" w:rsidTr="00EA6270">
        <w:tc>
          <w:tcPr>
            <w:tcW w:w="5000" w:type="pct"/>
            <w:gridSpan w:val="8"/>
            <w:tcBorders>
              <w:top w:val="outset" w:sz="6" w:space="0" w:color="auto"/>
              <w:left w:val="outset" w:sz="6" w:space="0" w:color="auto"/>
              <w:bottom w:val="outset" w:sz="6" w:space="0" w:color="auto"/>
              <w:right w:val="outset" w:sz="6" w:space="0" w:color="auto"/>
            </w:tcBorders>
            <w:shd w:val="clear" w:color="auto" w:fill="FFFFFF"/>
          </w:tcPr>
          <w:p w14:paraId="34D06965" w14:textId="77777777" w:rsidR="00120731" w:rsidRPr="00EA6270" w:rsidRDefault="00120731" w:rsidP="000D1158">
            <w:pPr>
              <w:rPr>
                <w:rFonts w:eastAsia="Times New Roman"/>
                <w:sz w:val="22"/>
                <w:szCs w:val="22"/>
              </w:rPr>
            </w:pPr>
            <w:r w:rsidRPr="00EA6270">
              <w:rPr>
                <w:rFonts w:eastAsia="Times New Roman"/>
                <w:b/>
                <w:bCs/>
                <w:sz w:val="22"/>
                <w:szCs w:val="22"/>
              </w:rPr>
              <w:t>Working Party 2/11</w:t>
            </w:r>
          </w:p>
        </w:tc>
      </w:tr>
      <w:tr w:rsidR="00120731" w:rsidRPr="00EA6270" w14:paraId="7A5D87D2" w14:textId="77777777" w:rsidTr="00EA6270">
        <w:tc>
          <w:tcPr>
            <w:tcW w:w="145" w:type="pct"/>
            <w:tcBorders>
              <w:top w:val="outset" w:sz="6" w:space="0" w:color="auto"/>
              <w:left w:val="outset" w:sz="6" w:space="0" w:color="auto"/>
              <w:bottom w:val="outset" w:sz="6" w:space="0" w:color="auto"/>
              <w:right w:val="outset" w:sz="6" w:space="0" w:color="auto"/>
            </w:tcBorders>
            <w:shd w:val="clear" w:color="auto" w:fill="FFFFFF"/>
          </w:tcPr>
          <w:p w14:paraId="44F141A3" w14:textId="77777777" w:rsidR="00120731" w:rsidRPr="00EA6270" w:rsidRDefault="00120731" w:rsidP="00120731">
            <w:pPr>
              <w:pStyle w:val="ListParagraph"/>
              <w:numPr>
                <w:ilvl w:val="0"/>
                <w:numId w:val="17"/>
              </w:numPr>
              <w:ind w:left="170" w:firstLine="0"/>
              <w:jc w:val="center"/>
              <w:rPr>
                <w:rFonts w:eastAsia="Times New Roman"/>
                <w:sz w:val="22"/>
                <w:szCs w:val="22"/>
              </w:rPr>
            </w:pPr>
          </w:p>
        </w:tc>
        <w:tc>
          <w:tcPr>
            <w:tcW w:w="246" w:type="pct"/>
            <w:tcBorders>
              <w:top w:val="outset" w:sz="6" w:space="0" w:color="auto"/>
              <w:left w:val="outset" w:sz="6" w:space="0" w:color="auto"/>
              <w:bottom w:val="outset" w:sz="6" w:space="0" w:color="auto"/>
              <w:right w:val="outset" w:sz="6" w:space="0" w:color="auto"/>
            </w:tcBorders>
            <w:shd w:val="clear" w:color="auto" w:fill="EDEDED"/>
          </w:tcPr>
          <w:p w14:paraId="766FF210" w14:textId="77777777" w:rsidR="00120731" w:rsidRPr="00EA6270" w:rsidRDefault="00120731" w:rsidP="000D1158">
            <w:pPr>
              <w:jc w:val="center"/>
              <w:rPr>
                <w:rFonts w:eastAsia="Times New Roman"/>
                <w:sz w:val="22"/>
                <w:szCs w:val="22"/>
              </w:rPr>
            </w:pPr>
            <w:r w:rsidRPr="00EA6270">
              <w:rPr>
                <w:rFonts w:eastAsia="Times New Roman"/>
                <w:sz w:val="22"/>
                <w:szCs w:val="22"/>
              </w:rPr>
              <w:t>Q7/11</w:t>
            </w:r>
          </w:p>
        </w:tc>
        <w:tc>
          <w:tcPr>
            <w:tcW w:w="641" w:type="pct"/>
            <w:tcBorders>
              <w:top w:val="outset" w:sz="6" w:space="0" w:color="auto"/>
              <w:left w:val="outset" w:sz="6" w:space="0" w:color="auto"/>
              <w:bottom w:val="outset" w:sz="6" w:space="0" w:color="auto"/>
              <w:right w:val="outset" w:sz="6" w:space="0" w:color="auto"/>
            </w:tcBorders>
            <w:shd w:val="clear" w:color="auto" w:fill="FFFFFF"/>
          </w:tcPr>
          <w:p w14:paraId="3FA64693" w14:textId="77777777" w:rsidR="00120731" w:rsidRPr="00EA6270" w:rsidRDefault="00323132" w:rsidP="000D1158">
            <w:pPr>
              <w:jc w:val="center"/>
              <w:rPr>
                <w:sz w:val="22"/>
                <w:szCs w:val="22"/>
              </w:rPr>
            </w:pPr>
            <w:hyperlink r:id="rId22" w:tooltip="See more details" w:history="1">
              <w:r w:rsidR="00120731" w:rsidRPr="00EA6270">
                <w:rPr>
                  <w:rStyle w:val="Hyperlink"/>
                  <w:rFonts w:eastAsia="Times New Roman"/>
                  <w:sz w:val="22"/>
                  <w:szCs w:val="22"/>
                </w:rPr>
                <w:t>Q.IEC-PRO</w:t>
              </w:r>
            </w:hyperlink>
          </w:p>
        </w:tc>
        <w:tc>
          <w:tcPr>
            <w:tcW w:w="345" w:type="pct"/>
            <w:tcBorders>
              <w:top w:val="outset" w:sz="6" w:space="0" w:color="auto"/>
              <w:left w:val="outset" w:sz="6" w:space="0" w:color="auto"/>
              <w:bottom w:val="outset" w:sz="6" w:space="0" w:color="auto"/>
              <w:right w:val="outset" w:sz="6" w:space="0" w:color="auto"/>
            </w:tcBorders>
            <w:shd w:val="clear" w:color="auto" w:fill="FFFFFF"/>
          </w:tcPr>
          <w:p w14:paraId="68EE4B7E" w14:textId="77777777" w:rsidR="00120731" w:rsidRPr="00EA6270" w:rsidRDefault="00120731" w:rsidP="000D1158">
            <w:pPr>
              <w:jc w:val="center"/>
              <w:rPr>
                <w:rFonts w:eastAsia="Times New Roman"/>
                <w:sz w:val="22"/>
                <w:szCs w:val="22"/>
              </w:rPr>
            </w:pPr>
            <w:r w:rsidRPr="00EA6270">
              <w:rPr>
                <w:rFonts w:eastAsia="Times New Roman"/>
                <w:sz w:val="22"/>
                <w:szCs w:val="22"/>
              </w:rPr>
              <w:t>2022-4Q</w:t>
            </w:r>
          </w:p>
        </w:tc>
        <w:tc>
          <w:tcPr>
            <w:tcW w:w="394" w:type="pct"/>
            <w:tcBorders>
              <w:top w:val="outset" w:sz="6" w:space="0" w:color="auto"/>
              <w:left w:val="outset" w:sz="6" w:space="0" w:color="auto"/>
              <w:bottom w:val="outset" w:sz="6" w:space="0" w:color="auto"/>
              <w:right w:val="outset" w:sz="6" w:space="0" w:color="auto"/>
            </w:tcBorders>
            <w:shd w:val="clear" w:color="auto" w:fill="FFFFFF"/>
          </w:tcPr>
          <w:p w14:paraId="18D315AA" w14:textId="77777777" w:rsidR="00120731" w:rsidRPr="00EA6270" w:rsidRDefault="00120731" w:rsidP="000D1158">
            <w:pPr>
              <w:jc w:val="center"/>
              <w:rPr>
                <w:rFonts w:eastAsia="Times New Roman"/>
                <w:sz w:val="22"/>
                <w:szCs w:val="22"/>
              </w:rPr>
            </w:pPr>
            <w:r w:rsidRPr="00EA6270">
              <w:rPr>
                <w:rFonts w:eastAsia="Times New Roman"/>
                <w:sz w:val="22"/>
                <w:szCs w:val="22"/>
              </w:rPr>
              <w:t>AAP</w:t>
            </w:r>
          </w:p>
        </w:tc>
        <w:tc>
          <w:tcPr>
            <w:tcW w:w="1281" w:type="pct"/>
            <w:tcBorders>
              <w:top w:val="outset" w:sz="6" w:space="0" w:color="auto"/>
              <w:left w:val="outset" w:sz="6" w:space="0" w:color="auto"/>
              <w:bottom w:val="outset" w:sz="6" w:space="0" w:color="auto"/>
              <w:right w:val="outset" w:sz="6" w:space="0" w:color="auto"/>
            </w:tcBorders>
            <w:shd w:val="clear" w:color="auto" w:fill="FFFFFF"/>
          </w:tcPr>
          <w:p w14:paraId="74F2DC04" w14:textId="77777777" w:rsidR="00120731" w:rsidRPr="00EA6270" w:rsidRDefault="00120731" w:rsidP="000D1158">
            <w:pPr>
              <w:jc w:val="center"/>
              <w:rPr>
                <w:rFonts w:eastAsia="Times New Roman"/>
                <w:sz w:val="22"/>
                <w:szCs w:val="22"/>
              </w:rPr>
            </w:pPr>
            <w:r w:rsidRPr="00EA6270">
              <w:rPr>
                <w:rFonts w:eastAsia="Times New Roman"/>
                <w:sz w:val="22"/>
                <w:szCs w:val="22"/>
              </w:rPr>
              <w:t>Protocols for microservices based intelligent edge computing</w:t>
            </w:r>
          </w:p>
        </w:tc>
        <w:tc>
          <w:tcPr>
            <w:tcW w:w="641" w:type="pct"/>
            <w:tcBorders>
              <w:top w:val="outset" w:sz="6" w:space="0" w:color="auto"/>
              <w:left w:val="outset" w:sz="6" w:space="0" w:color="auto"/>
              <w:bottom w:val="outset" w:sz="6" w:space="0" w:color="auto"/>
              <w:right w:val="outset" w:sz="6" w:space="0" w:color="auto"/>
            </w:tcBorders>
            <w:shd w:val="clear" w:color="auto" w:fill="FFFFFF"/>
          </w:tcPr>
          <w:p w14:paraId="23EF8DAD" w14:textId="77777777" w:rsidR="00120731" w:rsidRPr="00EA6270" w:rsidRDefault="00323132" w:rsidP="000D1158">
            <w:pPr>
              <w:jc w:val="center"/>
              <w:rPr>
                <w:sz w:val="22"/>
                <w:szCs w:val="22"/>
                <w:highlight w:val="yellow"/>
              </w:rPr>
            </w:pPr>
            <w:hyperlink r:id="rId23" w:history="1">
              <w:r w:rsidR="00120731" w:rsidRPr="00EA6270">
                <w:rPr>
                  <w:rStyle w:val="Hyperlink"/>
                  <w:sz w:val="22"/>
                  <w:szCs w:val="22"/>
                </w:rPr>
                <w:t>SG11-TD214/GEN</w:t>
              </w:r>
            </w:hyperlink>
          </w:p>
        </w:tc>
        <w:tc>
          <w:tcPr>
            <w:tcW w:w="1307" w:type="pct"/>
            <w:tcBorders>
              <w:top w:val="outset" w:sz="6" w:space="0" w:color="auto"/>
              <w:left w:val="outset" w:sz="6" w:space="0" w:color="auto"/>
              <w:bottom w:val="outset" w:sz="6" w:space="0" w:color="auto"/>
              <w:right w:val="outset" w:sz="6" w:space="0" w:color="auto"/>
            </w:tcBorders>
            <w:shd w:val="clear" w:color="auto" w:fill="FFFFFF"/>
          </w:tcPr>
          <w:p w14:paraId="381AE204" w14:textId="77777777" w:rsidR="00120731" w:rsidRPr="00EA6270" w:rsidRDefault="00120731" w:rsidP="000D1158">
            <w:pPr>
              <w:rPr>
                <w:rFonts w:eastAsia="Times New Roman"/>
                <w:sz w:val="22"/>
                <w:szCs w:val="22"/>
              </w:rPr>
            </w:pPr>
            <w:r w:rsidRPr="00EA6270">
              <w:rPr>
                <w:rFonts w:eastAsia="Times New Roman"/>
                <w:b/>
                <w:bCs/>
                <w:sz w:val="22"/>
                <w:szCs w:val="22"/>
              </w:rPr>
              <w:t>Microservices</w:t>
            </w:r>
            <w:r w:rsidRPr="00EA6270">
              <w:rPr>
                <w:rFonts w:eastAsia="Times New Roman"/>
                <w:sz w:val="22"/>
                <w:szCs w:val="22"/>
              </w:rPr>
              <w:t>: Microservices are a variant of the service-oriented architecture architectural style that structures an application as a collection of services that are loosely coupled, fine-grained, lightweight, independently deployable and organized around business capabilities</w:t>
            </w:r>
          </w:p>
        </w:tc>
      </w:tr>
    </w:tbl>
    <w:p w14:paraId="4B5A1C8A" w14:textId="22AA7650" w:rsidR="006C572E" w:rsidRPr="006C572E" w:rsidRDefault="00AD3D75" w:rsidP="00EA6270">
      <w:pPr>
        <w:spacing w:before="240" w:after="120"/>
        <w:jc w:val="center"/>
        <w:rPr>
          <w:lang w:val="fr-CH" w:eastAsia="en-US"/>
        </w:rPr>
      </w:pPr>
      <w:r>
        <w:rPr>
          <w:lang w:val="fr-CH" w:eastAsia="en-US"/>
        </w:rPr>
        <w:t>___________________</w:t>
      </w:r>
    </w:p>
    <w:sectPr w:rsidR="006C572E" w:rsidRPr="006C572E" w:rsidSect="00C05DF2">
      <w:headerReference w:type="first" r:id="rId24"/>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1BBD" w14:textId="77777777" w:rsidR="005553EE" w:rsidRDefault="005553EE" w:rsidP="00C42125">
      <w:pPr>
        <w:spacing w:before="0"/>
      </w:pPr>
      <w:r>
        <w:separator/>
      </w:r>
    </w:p>
  </w:endnote>
  <w:endnote w:type="continuationSeparator" w:id="0">
    <w:p w14:paraId="73CE3449" w14:textId="77777777" w:rsidR="005553EE" w:rsidRDefault="005553E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BFBE" w14:textId="77777777" w:rsidR="005553EE" w:rsidRDefault="005553EE" w:rsidP="00C42125">
      <w:pPr>
        <w:spacing w:before="0"/>
      </w:pPr>
      <w:r>
        <w:separator/>
      </w:r>
    </w:p>
  </w:footnote>
  <w:footnote w:type="continuationSeparator" w:id="0">
    <w:p w14:paraId="51ED517D" w14:textId="77777777" w:rsidR="005553EE" w:rsidRDefault="005553E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411D" w14:textId="73C37A83" w:rsidR="00EA6270" w:rsidRPr="00C05DF2" w:rsidRDefault="00C05DF2" w:rsidP="00C05DF2">
    <w:pPr>
      <w:pStyle w:val="Header"/>
    </w:pPr>
    <w:r w:rsidRPr="00C05DF2">
      <w:t xml:space="preserve">- </w:t>
    </w:r>
    <w:r w:rsidRPr="00C05DF2">
      <w:fldChar w:fldCharType="begin"/>
    </w:r>
    <w:r w:rsidRPr="00C05DF2">
      <w:instrText xml:space="preserve"> PAGE  \* MERGEFORMAT </w:instrText>
    </w:r>
    <w:r w:rsidRPr="00C05DF2">
      <w:fldChar w:fldCharType="separate"/>
    </w:r>
    <w:r w:rsidRPr="00C05DF2">
      <w:rPr>
        <w:noProof/>
      </w:rPr>
      <w:t>1</w:t>
    </w:r>
    <w:r w:rsidRPr="00C05DF2">
      <w:fldChar w:fldCharType="end"/>
    </w:r>
    <w:r w:rsidRPr="00C05DF2">
      <w:t xml:space="preserve"> -</w:t>
    </w:r>
  </w:p>
  <w:p w14:paraId="2D3FFB96" w14:textId="1DAB0458" w:rsidR="00C05DF2" w:rsidRPr="00C05DF2" w:rsidRDefault="00C05DF2" w:rsidP="00C05DF2">
    <w:pPr>
      <w:pStyle w:val="Header"/>
      <w:spacing w:after="240"/>
    </w:pPr>
    <w:r w:rsidRPr="00C05DF2">
      <w:fldChar w:fldCharType="begin"/>
    </w:r>
    <w:r w:rsidRPr="00C05DF2">
      <w:instrText xml:space="preserve"> STYLEREF  Docnumber  </w:instrText>
    </w:r>
    <w:r w:rsidRPr="00C05DF2">
      <w:fldChar w:fldCharType="separate"/>
    </w:r>
    <w:r w:rsidR="00323132">
      <w:rPr>
        <w:noProof/>
      </w:rPr>
      <w:t>SCV-TD23</w:t>
    </w:r>
    <w:r w:rsidRPr="00C05DF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889" w14:textId="3C233B82" w:rsidR="007C4CEE" w:rsidRDefault="007C4CEE" w:rsidP="007C4CEE">
    <w:pPr>
      <w:pStyle w:val="Header"/>
      <w:spacing w:after="240"/>
    </w:pPr>
    <w:r>
      <w:t xml:space="preserve">- </w:t>
    </w:r>
    <w:sdt>
      <w:sdtPr>
        <w:id w:val="10757042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br/>
          <w:t>SG11-TD237</w:t>
        </w:r>
        <w:r w:rsidR="00F756D0">
          <w:rPr>
            <w:noProof/>
          </w:rPr>
          <w:t>-R1</w:t>
        </w:r>
        <w:r>
          <w:rPr>
            <w:noProof/>
          </w:rPr>
          <w:t>/GEN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A4162A"/>
    <w:multiLevelType w:val="hybridMultilevel"/>
    <w:tmpl w:val="EB42C468"/>
    <w:lvl w:ilvl="0" w:tplc="46E653AA">
      <w:start w:val="1"/>
      <w:numFmt w:val="decimal"/>
      <w:lvlText w:val="%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6B67BB"/>
    <w:multiLevelType w:val="multilevel"/>
    <w:tmpl w:val="4746D7F8"/>
    <w:lvl w:ilvl="0">
      <w:start w:val="7"/>
      <w:numFmt w:val="decimal"/>
      <w:lvlText w:val="%1"/>
      <w:lvlJc w:val="left"/>
      <w:pPr>
        <w:tabs>
          <w:tab w:val="num" w:pos="432"/>
        </w:tabs>
        <w:ind w:left="432" w:hanging="432"/>
      </w:pPr>
      <w:rPr>
        <w:rFonts w:hint="default"/>
      </w:rPr>
    </w:lvl>
    <w:lvl w:ilvl="1">
      <w:start w:val="8"/>
      <w:numFmt w:val="decimal"/>
      <w:lvlText w:val="%1.%2"/>
      <w:lvlJc w:val="left"/>
      <w:pPr>
        <w:tabs>
          <w:tab w:val="num" w:pos="576"/>
        </w:tabs>
        <w:ind w:left="576" w:hanging="576"/>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bullet"/>
      <w:lvlText w:val=""/>
      <w:lvlJc w:val="left"/>
      <w:pPr>
        <w:tabs>
          <w:tab w:val="num" w:pos="1008"/>
        </w:tabs>
        <w:ind w:left="1008" w:hanging="1008"/>
      </w:pPr>
      <w:rPr>
        <w:rFonts w:ascii="Wingdings" w:hAnsi="Wingding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3434B30"/>
    <w:multiLevelType w:val="hybridMultilevel"/>
    <w:tmpl w:val="7FB2666E"/>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8A4744"/>
    <w:multiLevelType w:val="hybridMultilevel"/>
    <w:tmpl w:val="A00460A0"/>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307861"/>
    <w:multiLevelType w:val="hybridMultilevel"/>
    <w:tmpl w:val="C5F288B0"/>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665AE2"/>
    <w:multiLevelType w:val="hybridMultilevel"/>
    <w:tmpl w:val="94CE3226"/>
    <w:lvl w:ilvl="0" w:tplc="6A2A4C02">
      <w:start w:val="1"/>
      <w:numFmt w:val="bullet"/>
      <w:lvlText w:val="•"/>
      <w:lvlJc w:val="left"/>
      <w:pPr>
        <w:ind w:left="400" w:hanging="400"/>
      </w:pPr>
      <w:rPr>
        <w:rFonts w:ascii="Gulim" w:hAnsi="Gulim" w:hint="default"/>
      </w:rPr>
    </w:lvl>
    <w:lvl w:ilvl="1" w:tplc="634A9348">
      <w:numFmt w:val="bullet"/>
      <w:lvlText w:val="-"/>
      <w:lvlJc w:val="left"/>
      <w:pPr>
        <w:ind w:left="800" w:hanging="400"/>
      </w:pPr>
      <w:rPr>
        <w:rFonts w:ascii="Gulim" w:eastAsia="Gulim" w:hAnsi="Gulim" w:cs="Batang" w:hint="eastAsia"/>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6F4C00BB"/>
    <w:multiLevelType w:val="hybridMultilevel"/>
    <w:tmpl w:val="448E71D0"/>
    <w:lvl w:ilvl="0" w:tplc="925A0A8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354615">
    <w:abstractNumId w:val="9"/>
  </w:num>
  <w:num w:numId="2" w16cid:durableId="832648391">
    <w:abstractNumId w:val="7"/>
  </w:num>
  <w:num w:numId="3" w16cid:durableId="1598056125">
    <w:abstractNumId w:val="6"/>
  </w:num>
  <w:num w:numId="4" w16cid:durableId="1475297383">
    <w:abstractNumId w:val="5"/>
  </w:num>
  <w:num w:numId="5" w16cid:durableId="70395258">
    <w:abstractNumId w:val="4"/>
  </w:num>
  <w:num w:numId="6" w16cid:durableId="1246957977">
    <w:abstractNumId w:val="8"/>
  </w:num>
  <w:num w:numId="7" w16cid:durableId="532815759">
    <w:abstractNumId w:val="3"/>
  </w:num>
  <w:num w:numId="8" w16cid:durableId="1279603680">
    <w:abstractNumId w:val="2"/>
  </w:num>
  <w:num w:numId="9" w16cid:durableId="183597760">
    <w:abstractNumId w:val="1"/>
  </w:num>
  <w:num w:numId="10" w16cid:durableId="150415175">
    <w:abstractNumId w:val="0"/>
  </w:num>
  <w:num w:numId="11" w16cid:durableId="415059029">
    <w:abstractNumId w:val="16"/>
  </w:num>
  <w:num w:numId="12" w16cid:durableId="953948534">
    <w:abstractNumId w:val="11"/>
  </w:num>
  <w:num w:numId="13" w16cid:durableId="1012756888">
    <w:abstractNumId w:val="15"/>
  </w:num>
  <w:num w:numId="14" w16cid:durableId="375204492">
    <w:abstractNumId w:val="13"/>
  </w:num>
  <w:num w:numId="15" w16cid:durableId="853303272">
    <w:abstractNumId w:val="10"/>
  </w:num>
  <w:num w:numId="16" w16cid:durableId="1783107000">
    <w:abstractNumId w:val="12"/>
  </w:num>
  <w:num w:numId="17" w16cid:durableId="3934279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14F69"/>
    <w:rsid w:val="000171DB"/>
    <w:rsid w:val="00023D9A"/>
    <w:rsid w:val="0003582E"/>
    <w:rsid w:val="00043D75"/>
    <w:rsid w:val="00057000"/>
    <w:rsid w:val="00061268"/>
    <w:rsid w:val="000640E0"/>
    <w:rsid w:val="000920CE"/>
    <w:rsid w:val="000966A8"/>
    <w:rsid w:val="000A5CA2"/>
    <w:rsid w:val="000B739D"/>
    <w:rsid w:val="000C368D"/>
    <w:rsid w:val="000C397B"/>
    <w:rsid w:val="000E6125"/>
    <w:rsid w:val="00113DBE"/>
    <w:rsid w:val="001200A6"/>
    <w:rsid w:val="00120731"/>
    <w:rsid w:val="00124A40"/>
    <w:rsid w:val="001251DA"/>
    <w:rsid w:val="00125432"/>
    <w:rsid w:val="00136DDD"/>
    <w:rsid w:val="00137F40"/>
    <w:rsid w:val="001410FD"/>
    <w:rsid w:val="00144BDF"/>
    <w:rsid w:val="001519DD"/>
    <w:rsid w:val="00155DDC"/>
    <w:rsid w:val="00161830"/>
    <w:rsid w:val="001871EC"/>
    <w:rsid w:val="001875B6"/>
    <w:rsid w:val="001A20C3"/>
    <w:rsid w:val="001A670F"/>
    <w:rsid w:val="001B6A45"/>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63B33"/>
    <w:rsid w:val="002759E7"/>
    <w:rsid w:val="00277326"/>
    <w:rsid w:val="002A11C4"/>
    <w:rsid w:val="002A399B"/>
    <w:rsid w:val="002A4F46"/>
    <w:rsid w:val="002C26C0"/>
    <w:rsid w:val="002C2BC5"/>
    <w:rsid w:val="002C502A"/>
    <w:rsid w:val="002D6447"/>
    <w:rsid w:val="002E0407"/>
    <w:rsid w:val="002E3C52"/>
    <w:rsid w:val="002E79CB"/>
    <w:rsid w:val="002F5070"/>
    <w:rsid w:val="002F7F55"/>
    <w:rsid w:val="0030745F"/>
    <w:rsid w:val="00314630"/>
    <w:rsid w:val="0032090A"/>
    <w:rsid w:val="00321CDE"/>
    <w:rsid w:val="00323132"/>
    <w:rsid w:val="00333E15"/>
    <w:rsid w:val="003449F4"/>
    <w:rsid w:val="00347FC5"/>
    <w:rsid w:val="003571BC"/>
    <w:rsid w:val="0036090C"/>
    <w:rsid w:val="00361116"/>
    <w:rsid w:val="00362562"/>
    <w:rsid w:val="00385FB5"/>
    <w:rsid w:val="0038715D"/>
    <w:rsid w:val="00394DBF"/>
    <w:rsid w:val="003957A6"/>
    <w:rsid w:val="003A43EF"/>
    <w:rsid w:val="003B4CF8"/>
    <w:rsid w:val="003C7445"/>
    <w:rsid w:val="003D0336"/>
    <w:rsid w:val="003E1F8C"/>
    <w:rsid w:val="003E39A2"/>
    <w:rsid w:val="003E57AB"/>
    <w:rsid w:val="003E7207"/>
    <w:rsid w:val="003F2BED"/>
    <w:rsid w:val="00400B49"/>
    <w:rsid w:val="00405C79"/>
    <w:rsid w:val="00443878"/>
    <w:rsid w:val="004539A8"/>
    <w:rsid w:val="004703E9"/>
    <w:rsid w:val="004712CA"/>
    <w:rsid w:val="00473782"/>
    <w:rsid w:val="0047422E"/>
    <w:rsid w:val="0049090D"/>
    <w:rsid w:val="0049674B"/>
    <w:rsid w:val="004C0673"/>
    <w:rsid w:val="004C4E4E"/>
    <w:rsid w:val="004C615D"/>
    <w:rsid w:val="004F01EB"/>
    <w:rsid w:val="004F23BA"/>
    <w:rsid w:val="004F3816"/>
    <w:rsid w:val="0050586A"/>
    <w:rsid w:val="00520DBF"/>
    <w:rsid w:val="0053731C"/>
    <w:rsid w:val="00543D41"/>
    <w:rsid w:val="005553EE"/>
    <w:rsid w:val="00556A5B"/>
    <w:rsid w:val="0055751E"/>
    <w:rsid w:val="00566EDA"/>
    <w:rsid w:val="0057081A"/>
    <w:rsid w:val="00572654"/>
    <w:rsid w:val="005751F1"/>
    <w:rsid w:val="005769D7"/>
    <w:rsid w:val="005976A1"/>
    <w:rsid w:val="005A7D74"/>
    <w:rsid w:val="005B5629"/>
    <w:rsid w:val="005B6B78"/>
    <w:rsid w:val="005C0300"/>
    <w:rsid w:val="005C27A2"/>
    <w:rsid w:val="005D4FEB"/>
    <w:rsid w:val="005F4B6A"/>
    <w:rsid w:val="006010F3"/>
    <w:rsid w:val="00606DB6"/>
    <w:rsid w:val="00615A0A"/>
    <w:rsid w:val="00626673"/>
    <w:rsid w:val="006333D4"/>
    <w:rsid w:val="006369B2"/>
    <w:rsid w:val="0063718D"/>
    <w:rsid w:val="00647525"/>
    <w:rsid w:val="00647A71"/>
    <w:rsid w:val="00652D9F"/>
    <w:rsid w:val="006570B0"/>
    <w:rsid w:val="0066022F"/>
    <w:rsid w:val="006733F0"/>
    <w:rsid w:val="006813BC"/>
    <w:rsid w:val="006823F3"/>
    <w:rsid w:val="0069210B"/>
    <w:rsid w:val="00692AB1"/>
    <w:rsid w:val="00695DD7"/>
    <w:rsid w:val="00695FC2"/>
    <w:rsid w:val="006A4055"/>
    <w:rsid w:val="006A6DA0"/>
    <w:rsid w:val="006A7C27"/>
    <w:rsid w:val="006B12B6"/>
    <w:rsid w:val="006B2FE4"/>
    <w:rsid w:val="006B37B0"/>
    <w:rsid w:val="006C5641"/>
    <w:rsid w:val="006C572E"/>
    <w:rsid w:val="006D1089"/>
    <w:rsid w:val="006D1B86"/>
    <w:rsid w:val="006D7355"/>
    <w:rsid w:val="006F7DEE"/>
    <w:rsid w:val="00715551"/>
    <w:rsid w:val="00715CA6"/>
    <w:rsid w:val="00731135"/>
    <w:rsid w:val="007324AF"/>
    <w:rsid w:val="00740128"/>
    <w:rsid w:val="007409B4"/>
    <w:rsid w:val="00741974"/>
    <w:rsid w:val="00754192"/>
    <w:rsid w:val="0075525E"/>
    <w:rsid w:val="00756D3D"/>
    <w:rsid w:val="0077581F"/>
    <w:rsid w:val="007806C2"/>
    <w:rsid w:val="00781FEE"/>
    <w:rsid w:val="007903F8"/>
    <w:rsid w:val="00794F4F"/>
    <w:rsid w:val="007974BE"/>
    <w:rsid w:val="007A0916"/>
    <w:rsid w:val="007A0DFD"/>
    <w:rsid w:val="007B2BC6"/>
    <w:rsid w:val="007B311A"/>
    <w:rsid w:val="007C4CEE"/>
    <w:rsid w:val="007C7122"/>
    <w:rsid w:val="007D3F11"/>
    <w:rsid w:val="007D66E2"/>
    <w:rsid w:val="007E2C69"/>
    <w:rsid w:val="007E53E4"/>
    <w:rsid w:val="007E656A"/>
    <w:rsid w:val="007F3CAA"/>
    <w:rsid w:val="007F664D"/>
    <w:rsid w:val="0080418D"/>
    <w:rsid w:val="00812E67"/>
    <w:rsid w:val="00837203"/>
    <w:rsid w:val="00842137"/>
    <w:rsid w:val="00853F5F"/>
    <w:rsid w:val="008623ED"/>
    <w:rsid w:val="00864B5A"/>
    <w:rsid w:val="00871298"/>
    <w:rsid w:val="00872559"/>
    <w:rsid w:val="00874AA3"/>
    <w:rsid w:val="00875AA6"/>
    <w:rsid w:val="00880944"/>
    <w:rsid w:val="0089088E"/>
    <w:rsid w:val="00892297"/>
    <w:rsid w:val="008964D6"/>
    <w:rsid w:val="008A3DA0"/>
    <w:rsid w:val="008B0D95"/>
    <w:rsid w:val="008B16CC"/>
    <w:rsid w:val="008B5123"/>
    <w:rsid w:val="008E0172"/>
    <w:rsid w:val="00900EF1"/>
    <w:rsid w:val="0090550B"/>
    <w:rsid w:val="00906CD2"/>
    <w:rsid w:val="009302DE"/>
    <w:rsid w:val="00936852"/>
    <w:rsid w:val="0094045D"/>
    <w:rsid w:val="009406B5"/>
    <w:rsid w:val="00946166"/>
    <w:rsid w:val="009507EC"/>
    <w:rsid w:val="00983164"/>
    <w:rsid w:val="009972EF"/>
    <w:rsid w:val="009B5035"/>
    <w:rsid w:val="009C3160"/>
    <w:rsid w:val="009E766E"/>
    <w:rsid w:val="009F1960"/>
    <w:rsid w:val="009F2C64"/>
    <w:rsid w:val="009F715E"/>
    <w:rsid w:val="00A10DBB"/>
    <w:rsid w:val="00A11720"/>
    <w:rsid w:val="00A21247"/>
    <w:rsid w:val="00A31D47"/>
    <w:rsid w:val="00A35DC4"/>
    <w:rsid w:val="00A4013E"/>
    <w:rsid w:val="00A4045F"/>
    <w:rsid w:val="00A427CD"/>
    <w:rsid w:val="00A45FEE"/>
    <w:rsid w:val="00A4600B"/>
    <w:rsid w:val="00A50506"/>
    <w:rsid w:val="00A51EF0"/>
    <w:rsid w:val="00A67A81"/>
    <w:rsid w:val="00A72B43"/>
    <w:rsid w:val="00A730A6"/>
    <w:rsid w:val="00A84724"/>
    <w:rsid w:val="00A971A0"/>
    <w:rsid w:val="00AA1F22"/>
    <w:rsid w:val="00AD3D75"/>
    <w:rsid w:val="00AF5A57"/>
    <w:rsid w:val="00AF735D"/>
    <w:rsid w:val="00B024D7"/>
    <w:rsid w:val="00B05821"/>
    <w:rsid w:val="00B100D6"/>
    <w:rsid w:val="00B164C9"/>
    <w:rsid w:val="00B26C28"/>
    <w:rsid w:val="00B30F21"/>
    <w:rsid w:val="00B376D2"/>
    <w:rsid w:val="00B4174C"/>
    <w:rsid w:val="00B453F5"/>
    <w:rsid w:val="00B46993"/>
    <w:rsid w:val="00B532CE"/>
    <w:rsid w:val="00B61624"/>
    <w:rsid w:val="00B66481"/>
    <w:rsid w:val="00B7189C"/>
    <w:rsid w:val="00B718A5"/>
    <w:rsid w:val="00B90AD6"/>
    <w:rsid w:val="00BA1E8A"/>
    <w:rsid w:val="00BA788A"/>
    <w:rsid w:val="00BB4983"/>
    <w:rsid w:val="00BB7597"/>
    <w:rsid w:val="00BC2AAB"/>
    <w:rsid w:val="00BC62E2"/>
    <w:rsid w:val="00BF02DC"/>
    <w:rsid w:val="00BF1C1D"/>
    <w:rsid w:val="00C05DF2"/>
    <w:rsid w:val="00C3697F"/>
    <w:rsid w:val="00C37820"/>
    <w:rsid w:val="00C42125"/>
    <w:rsid w:val="00C443B2"/>
    <w:rsid w:val="00C504D7"/>
    <w:rsid w:val="00C62814"/>
    <w:rsid w:val="00C62BE6"/>
    <w:rsid w:val="00C67B25"/>
    <w:rsid w:val="00C748F7"/>
    <w:rsid w:val="00C74937"/>
    <w:rsid w:val="00CA6409"/>
    <w:rsid w:val="00CB2599"/>
    <w:rsid w:val="00CD2139"/>
    <w:rsid w:val="00CD2497"/>
    <w:rsid w:val="00CD6848"/>
    <w:rsid w:val="00CE1E6E"/>
    <w:rsid w:val="00CE27DD"/>
    <w:rsid w:val="00CE5986"/>
    <w:rsid w:val="00CF34C4"/>
    <w:rsid w:val="00D11885"/>
    <w:rsid w:val="00D13547"/>
    <w:rsid w:val="00D62335"/>
    <w:rsid w:val="00D647EF"/>
    <w:rsid w:val="00D73137"/>
    <w:rsid w:val="00D745B2"/>
    <w:rsid w:val="00D977A2"/>
    <w:rsid w:val="00DA1D47"/>
    <w:rsid w:val="00DC6F1C"/>
    <w:rsid w:val="00DC774A"/>
    <w:rsid w:val="00DD50DE"/>
    <w:rsid w:val="00DE1286"/>
    <w:rsid w:val="00DE3062"/>
    <w:rsid w:val="00E04F5E"/>
    <w:rsid w:val="00E0581D"/>
    <w:rsid w:val="00E204DD"/>
    <w:rsid w:val="00E353EC"/>
    <w:rsid w:val="00E51F61"/>
    <w:rsid w:val="00E53C24"/>
    <w:rsid w:val="00E56E77"/>
    <w:rsid w:val="00E71046"/>
    <w:rsid w:val="00E72E36"/>
    <w:rsid w:val="00E87795"/>
    <w:rsid w:val="00EA6270"/>
    <w:rsid w:val="00EB444D"/>
    <w:rsid w:val="00EC5E75"/>
    <w:rsid w:val="00ED5B66"/>
    <w:rsid w:val="00EE5C0D"/>
    <w:rsid w:val="00EF4792"/>
    <w:rsid w:val="00F02294"/>
    <w:rsid w:val="00F27BA9"/>
    <w:rsid w:val="00F30DE7"/>
    <w:rsid w:val="00F35F57"/>
    <w:rsid w:val="00F44D3D"/>
    <w:rsid w:val="00F50467"/>
    <w:rsid w:val="00F562A0"/>
    <w:rsid w:val="00F57FA4"/>
    <w:rsid w:val="00F756D0"/>
    <w:rsid w:val="00FA02CB"/>
    <w:rsid w:val="00FA2177"/>
    <w:rsid w:val="00FB0783"/>
    <w:rsid w:val="00FB7A8B"/>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aliases w:val="CEO_Hyperlink,超级链接,超?级链,Style 58,超????,超链接1,하이퍼링크2,하이퍼링크21,超??级链Ú,fL????,fL?级,超??级链,超?级链Ú,’´?级链,’´????,’´??级链Ú,’´??级"/>
    <w:basedOn w:val="DefaultParagraphFont"/>
    <w:uiPriority w:val="99"/>
    <w:qForma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iPriority w:val="99"/>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semiHidden/>
    <w:unhideWhenUsed/>
    <w:rsid w:val="00740128"/>
    <w:rPr>
      <w:sz w:val="20"/>
      <w:szCs w:val="20"/>
    </w:rPr>
  </w:style>
  <w:style w:type="character" w:customStyle="1" w:styleId="CommentTextChar">
    <w:name w:val="Comment Text Char"/>
    <w:basedOn w:val="DefaultParagraphFont"/>
    <w:link w:val="CommentText"/>
    <w:uiPriority w:val="99"/>
    <w:semiHidden/>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740128"/>
    <w:rPr>
      <w:color w:val="605E5C"/>
      <w:shd w:val="clear" w:color="auto" w:fill="E1DFDD"/>
    </w:rPr>
  </w:style>
  <w:style w:type="character" w:customStyle="1" w:styleId="Mention1">
    <w:name w:val="Mention1"/>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customStyle="1" w:styleId="Hashtag1">
    <w:name w:val="Hashtag1"/>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uiPriority w:val="34"/>
    <w:qFormat/>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812E67"/>
    <w:rPr>
      <w:u w:val="dotted"/>
    </w:rPr>
  </w:style>
  <w:style w:type="character" w:customStyle="1" w:styleId="SmartLink1">
    <w:name w:val="SmartLink1"/>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900EF1"/>
  </w:style>
  <w:style w:type="paragraph" w:customStyle="1" w:styleId="TSBHeaderSource">
    <w:name w:val="TSBHeaderSource"/>
    <w:basedOn w:val="Normal"/>
    <w:qFormat/>
    <w:rsid w:val="00900EF1"/>
  </w:style>
  <w:style w:type="paragraph" w:customStyle="1" w:styleId="TSBHeaderTitle">
    <w:name w:val="TSBHeaderTitle"/>
    <w:basedOn w:val="Normal"/>
    <w:qFormat/>
    <w:rsid w:val="00900EF1"/>
  </w:style>
  <w:style w:type="paragraph" w:customStyle="1" w:styleId="TSBHeaderSummary">
    <w:name w:val="TSBHeaderSummary"/>
    <w:basedOn w:val="Normal"/>
    <w:rsid w:val="00900EF1"/>
  </w:style>
  <w:style w:type="paragraph" w:customStyle="1" w:styleId="LSApproval">
    <w:name w:val="LSApproval"/>
    <w:basedOn w:val="Normal"/>
    <w:rsid w:val="00695FC2"/>
    <w:rPr>
      <w:b/>
      <w:bCs/>
    </w:rPr>
  </w:style>
  <w:style w:type="paragraph" w:customStyle="1" w:styleId="TSBHeaderRight14">
    <w:name w:val="TSBHeaderRight14"/>
    <w:basedOn w:val="Normal"/>
    <w:qFormat/>
    <w:rsid w:val="00BA1E8A"/>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table" w:styleId="TableGrid">
    <w:name w:val="Table Grid"/>
    <w:basedOn w:val="TableNormal"/>
    <w:qFormat/>
    <w:rsid w:val="006C572E"/>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rsid w:val="006C572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itu.int/itu-t/workprog/wp_item.aspx?isn=17837"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tu.int/md/meetingdoc.asp?lang=en&amp;parent=T22-SG11-220706-TD-GEN-0168" TargetMode="External"/><Relationship Id="rId7" Type="http://schemas.openxmlformats.org/officeDocument/2006/relationships/webSettings" Target="webSettings.xml"/><Relationship Id="rId12" Type="http://schemas.openxmlformats.org/officeDocument/2006/relationships/hyperlink" Target="mailto:zanon@anatel.gov.br" TargetMode="External"/><Relationship Id="rId17" Type="http://schemas.openxmlformats.org/officeDocument/2006/relationships/hyperlink" Target="https://www.itu.int/md/meetingdoc.asp?lang=en&amp;parent=T22-SG11-220706-TD-GEN-019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itu-t/workprog/wp_item.aspx?isn=17851" TargetMode="External"/><Relationship Id="rId20" Type="http://schemas.openxmlformats.org/officeDocument/2006/relationships/hyperlink" Target="http://www.itu.int/itu-t/workprog/wp_item.aspx?isn=1784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r.mittar@gov.in"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itu.int/md/meetingdoc.asp?lang=en&amp;parent=T22-SG11-220706-TD-GEN-0189" TargetMode="External"/><Relationship Id="rId23" Type="http://schemas.openxmlformats.org/officeDocument/2006/relationships/hyperlink" Target="https://www.itu.int/md/meetingdoc.asp?lang=en&amp;parent=T22-SG11-220706-TD-GEN-0214" TargetMode="External"/><Relationship Id="rId10" Type="http://schemas.openxmlformats.org/officeDocument/2006/relationships/image" Target="media/image1.png"/><Relationship Id="rId19" Type="http://schemas.openxmlformats.org/officeDocument/2006/relationships/hyperlink" Target="https://www.itu.int/md/meetingdoc.asp?lang=en&amp;parent=T22-SG11-220706-TD-GEN-02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workprog/wp_item.aspx?isn=17844" TargetMode="External"/><Relationship Id="rId22" Type="http://schemas.openxmlformats.org/officeDocument/2006/relationships/hyperlink" Target="http://www.itu.int/itu-t/workprog/wp_item.aspx?isn=17839"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BAD8BE7EA948678CF5060F147BCFC3"/>
        <w:category>
          <w:name w:val="General"/>
          <w:gallery w:val="placeholder"/>
        </w:category>
        <w:types>
          <w:type w:val="bbPlcHdr"/>
        </w:types>
        <w:behaviors>
          <w:behavior w:val="content"/>
        </w:behaviors>
        <w:guid w:val="{F0CFAFE2-E62F-4293-B50B-1DCA48266ABF}"/>
      </w:docPartPr>
      <w:docPartBody>
        <w:p w:rsidR="005E45A2" w:rsidRDefault="009941C4" w:rsidP="009941C4">
          <w:pPr>
            <w:pStyle w:val="05BAD8BE7EA948678CF5060F147BCFC3"/>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DF0"/>
    <w:rsid w:val="000D6149"/>
    <w:rsid w:val="0020760C"/>
    <w:rsid w:val="00356DF0"/>
    <w:rsid w:val="003818D3"/>
    <w:rsid w:val="005E45A2"/>
    <w:rsid w:val="009941C4"/>
    <w:rsid w:val="00AC5FC7"/>
    <w:rsid w:val="00B666E4"/>
    <w:rsid w:val="00B874B9"/>
    <w:rsid w:val="00D55053"/>
    <w:rsid w:val="00EC61A9"/>
    <w:rsid w:val="00F345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1C4"/>
    <w:rPr>
      <w:color w:val="808080"/>
    </w:rPr>
  </w:style>
  <w:style w:type="paragraph" w:customStyle="1" w:styleId="05BAD8BE7EA948678CF5060F147BCFC3">
    <w:name w:val="05BAD8BE7EA948678CF5060F147BCFC3"/>
    <w:rsid w:val="009941C4"/>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03853-3EB2-494B-993B-B1AC5A0B808C}"/>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docProps/app.xml><?xml version="1.0" encoding="utf-8"?>
<Properties xmlns="http://schemas.openxmlformats.org/officeDocument/2006/extended-properties" xmlns:vt="http://schemas.openxmlformats.org/officeDocument/2006/docPropsVTypes">
  <Template>Basic_Liaison_Statement.dotx</Template>
  <TotalTime>2</TotalTime>
  <Pages>4</Pages>
  <Words>602</Words>
  <Characters>3624</Characters>
  <Application>Microsoft Office Word</Application>
  <DocSecurity>0</DocSecurity>
  <Lines>175</Lines>
  <Paragraphs>101</Paragraphs>
  <ScaleCrop>false</ScaleCrop>
  <HeadingPairs>
    <vt:vector size="2" baseType="variant">
      <vt:variant>
        <vt:lpstr>Title</vt:lpstr>
      </vt:variant>
      <vt:variant>
        <vt:i4>1</vt:i4>
      </vt:variant>
    </vt:vector>
  </HeadingPairs>
  <TitlesOfParts>
    <vt:vector size="1" baseType="lpstr">
      <vt:lpstr>LS/o/r on […] (SGXX-LSYY) [to ZZZ]</vt:lpstr>
    </vt:vector>
  </TitlesOfParts>
  <Manager>ITU-T</Manager>
  <Company>International Telecommunication Union (ITU)</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new ITU-T SG11 terms and definitions (Geneva, 6-15 July 2022)</dc:title>
  <dc:subject/>
  <dc:creator>ITU-T Study Group 11</dc:creator>
  <cp:keywords/>
  <dc:description>SCV-TD23  For: Virtual, 10 November 2022_x000d_Document date: _x000d_Saved by ITU51015586 at 15:43:50 on 22/09/2022</dc:description>
  <cp:lastModifiedBy>TSB-AC</cp:lastModifiedBy>
  <cp:revision>4</cp:revision>
  <cp:lastPrinted>2016-12-23T12:52:00Z</cp:lastPrinted>
  <dcterms:created xsi:type="dcterms:W3CDTF">2022-09-22T09:03:00Z</dcterms:created>
  <dcterms:modified xsi:type="dcterms:W3CDTF">2022-09-22T13:43:00Z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0x01010017487812B7DF734F899F9E259C366837</vt:lpwstr>
  </property>
  <property fmtid="{D5CDD505-2E9C-101B-9397-08002B2CF9AE}" pid="3" name="Docnum">
    <vt:lpwstr>SCV-TD23</vt:lpwstr>
  </property>
  <property fmtid="{D5CDD505-2E9C-101B-9397-08002B2CF9AE}" pid="4" name="Docdate">
    <vt:lpwstr/>
  </property>
  <property fmtid="{D5CDD505-2E9C-101B-9397-08002B2CF9AE}" pid="5" name="Docorlang">
    <vt:lpwstr/>
  </property>
  <property fmtid="{D5CDD505-2E9C-101B-9397-08002B2CF9AE}" pid="6" name="Docbluepink">
    <vt:lpwstr>All/11</vt:lpwstr>
  </property>
  <property fmtid="{D5CDD505-2E9C-101B-9397-08002B2CF9AE}" pid="7" name="Docdest">
    <vt:lpwstr>Virtual, 10 November 2022</vt:lpwstr>
  </property>
  <property fmtid="{D5CDD505-2E9C-101B-9397-08002B2CF9AE}" pid="8" name="Docauthor">
    <vt:lpwstr>ITU-T Study Group 11</vt:lpwstr>
  </property>
</Properties>
</file>