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E20FA4" w:rsidRPr="00E20FA4">
        <w:trPr>
          <w:cantSplit/>
        </w:trPr>
        <w:tc>
          <w:tcPr>
            <w:tcW w:w="1417" w:type="dxa"/>
            <w:vMerge w:val="restart"/>
          </w:tcPr>
          <w:p w:rsidR="00E20FA4" w:rsidRPr="00E20FA4" w:rsidRDefault="00E20FA4" w:rsidP="00E20FA4">
            <w:bookmarkStart w:id="0" w:name="InsertLogo"/>
            <w:bookmarkStart w:id="1" w:name="dnum" w:colFirst="2" w:colLast="2"/>
            <w:bookmarkStart w:id="2" w:name="dtableau"/>
            <w:bookmarkEnd w:id="0"/>
            <w:r w:rsidRPr="00E20FA4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0C56F7DE" wp14:editId="7F6FA855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E20FA4" w:rsidRPr="00E20FA4" w:rsidRDefault="00E20FA4" w:rsidP="00E20FA4">
            <w:pPr>
              <w:rPr>
                <w:sz w:val="20"/>
              </w:rPr>
            </w:pPr>
            <w:r w:rsidRPr="00E20FA4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E20FA4" w:rsidRPr="00E20FA4" w:rsidRDefault="00E000F3" w:rsidP="004461C7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SCV</w:t>
            </w:r>
            <w:r w:rsidR="00E20FA4">
              <w:rPr>
                <w:sz w:val="28"/>
              </w:rPr>
              <w:t xml:space="preserve"> – LS </w:t>
            </w:r>
            <w:r w:rsidR="004461C7">
              <w:rPr>
                <w:sz w:val="28"/>
              </w:rPr>
              <w:t>2</w:t>
            </w:r>
            <w:r w:rsidR="00E20FA4">
              <w:rPr>
                <w:sz w:val="28"/>
              </w:rPr>
              <w:t xml:space="preserve"> – E</w:t>
            </w:r>
          </w:p>
        </w:tc>
      </w:tr>
      <w:tr w:rsidR="00E20FA4" w:rsidRPr="00E20FA4">
        <w:trPr>
          <w:cantSplit/>
          <w:trHeight w:val="355"/>
        </w:trPr>
        <w:tc>
          <w:tcPr>
            <w:tcW w:w="1417" w:type="dxa"/>
            <w:vMerge/>
          </w:tcPr>
          <w:p w:rsidR="00E20FA4" w:rsidRPr="00E20FA4" w:rsidRDefault="00E20FA4" w:rsidP="00E20FA4">
            <w:bookmarkStart w:id="3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E20FA4" w:rsidRPr="00E20FA4" w:rsidRDefault="00E20FA4" w:rsidP="00E20FA4">
            <w:pPr>
              <w:rPr>
                <w:b/>
                <w:bCs/>
                <w:sz w:val="26"/>
              </w:rPr>
            </w:pPr>
            <w:r w:rsidRPr="00E20FA4">
              <w:rPr>
                <w:b/>
                <w:bCs/>
                <w:sz w:val="26"/>
              </w:rPr>
              <w:t>TELECOMMUNICATION</w:t>
            </w:r>
            <w:r w:rsidRPr="00E20FA4">
              <w:rPr>
                <w:b/>
                <w:bCs/>
                <w:sz w:val="26"/>
              </w:rPr>
              <w:br/>
              <w:t>STANDARDIZATION SECTOR</w:t>
            </w:r>
          </w:p>
          <w:p w:rsidR="00E20FA4" w:rsidRPr="00E000F3" w:rsidRDefault="00E000F3" w:rsidP="00E20FA4">
            <w:pPr>
              <w:rPr>
                <w:smallCaps/>
                <w:sz w:val="20"/>
              </w:rPr>
            </w:pPr>
            <w:r w:rsidRPr="00E000F3">
              <w:rPr>
                <w:sz w:val="20"/>
              </w:rPr>
              <w:t>Standardization Committee for Vocabulary</w:t>
            </w:r>
          </w:p>
        </w:tc>
        <w:tc>
          <w:tcPr>
            <w:tcW w:w="4466" w:type="dxa"/>
            <w:gridSpan w:val="3"/>
          </w:tcPr>
          <w:p w:rsidR="00E20FA4" w:rsidRPr="00E20FA4" w:rsidRDefault="00E20FA4" w:rsidP="00E20FA4">
            <w:pPr>
              <w:jc w:val="right"/>
              <w:rPr>
                <w:b/>
                <w:bCs/>
              </w:rPr>
            </w:pPr>
          </w:p>
        </w:tc>
      </w:tr>
      <w:tr w:rsidR="00E20FA4" w:rsidRPr="00E20FA4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E20FA4" w:rsidRPr="00E20FA4" w:rsidRDefault="00E20FA4" w:rsidP="00E20FA4">
            <w:bookmarkStart w:id="4" w:name="dorlang" w:colFirst="2" w:colLast="2"/>
            <w:bookmarkEnd w:id="3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E20FA4" w:rsidRPr="00E20FA4" w:rsidRDefault="00E20FA4" w:rsidP="00E20FA4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E20FA4" w:rsidRDefault="00E20FA4" w:rsidP="00E20FA4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E20FA4" w:rsidRPr="00E20FA4" w:rsidRDefault="00E20FA4" w:rsidP="00E20FA4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E20FA4" w:rsidRPr="00E20FA4">
        <w:trPr>
          <w:cantSplit/>
          <w:trHeight w:val="357"/>
        </w:trPr>
        <w:tc>
          <w:tcPr>
            <w:tcW w:w="1617" w:type="dxa"/>
            <w:gridSpan w:val="2"/>
          </w:tcPr>
          <w:p w:rsidR="00E20FA4" w:rsidRPr="00E20FA4" w:rsidRDefault="00E20FA4" w:rsidP="00E20FA4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E20FA4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:rsidR="00E20FA4" w:rsidRPr="00E20FA4" w:rsidRDefault="00E20FA4" w:rsidP="00E20FA4"/>
        </w:tc>
        <w:tc>
          <w:tcPr>
            <w:tcW w:w="4946" w:type="dxa"/>
            <w:gridSpan w:val="4"/>
          </w:tcPr>
          <w:p w:rsidR="00E20FA4" w:rsidRPr="00E20FA4" w:rsidRDefault="00E20FA4" w:rsidP="00E20FA4">
            <w:pPr>
              <w:jc w:val="right"/>
            </w:pPr>
            <w:r w:rsidRPr="00E20FA4">
              <w:t>Geneva, 21 May 2013</w:t>
            </w:r>
          </w:p>
        </w:tc>
      </w:tr>
      <w:tr w:rsidR="00E20FA4" w:rsidRPr="00E20FA4">
        <w:trPr>
          <w:cantSplit/>
          <w:trHeight w:val="357"/>
        </w:trPr>
        <w:tc>
          <w:tcPr>
            <w:tcW w:w="9923" w:type="dxa"/>
            <w:gridSpan w:val="8"/>
          </w:tcPr>
          <w:p w:rsidR="00E20FA4" w:rsidRPr="00E20FA4" w:rsidRDefault="00E20FA4" w:rsidP="00E20FA4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E20FA4">
              <w:rPr>
                <w:b/>
                <w:bCs/>
              </w:rPr>
              <w:t>LIAISON STATEMENT</w:t>
            </w:r>
          </w:p>
        </w:tc>
      </w:tr>
      <w:tr w:rsidR="00E20FA4" w:rsidRPr="00E20FA4">
        <w:trPr>
          <w:cantSplit/>
          <w:trHeight w:val="357"/>
        </w:trPr>
        <w:tc>
          <w:tcPr>
            <w:tcW w:w="1617" w:type="dxa"/>
            <w:gridSpan w:val="2"/>
          </w:tcPr>
          <w:p w:rsidR="00E20FA4" w:rsidRPr="00E20FA4" w:rsidRDefault="00E20FA4" w:rsidP="00E20FA4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20FA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E20FA4" w:rsidRPr="00E20FA4" w:rsidRDefault="00E20FA4" w:rsidP="00E20FA4">
            <w:r w:rsidRPr="00E20FA4">
              <w:t>Standardization Committee for Vocabulary</w:t>
            </w:r>
          </w:p>
        </w:tc>
      </w:tr>
      <w:tr w:rsidR="00E20FA4" w:rsidRPr="00E20FA4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E20FA4" w:rsidRPr="00E20FA4" w:rsidRDefault="00E20FA4" w:rsidP="00E20FA4">
            <w:pPr>
              <w:spacing w:after="120"/>
            </w:pPr>
            <w:bookmarkStart w:id="9" w:name="dtitle1" w:colFirst="1" w:colLast="1"/>
            <w:bookmarkEnd w:id="8"/>
            <w:r w:rsidRPr="00E20FA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E20FA4" w:rsidRPr="00E20FA4" w:rsidRDefault="00E20FA4" w:rsidP="00E20FA4">
            <w:pPr>
              <w:spacing w:after="120"/>
            </w:pPr>
            <w:r w:rsidRPr="00E20FA4">
              <w:t>LS/o on TSAG action identified in WTSA Resolution 67 (Rev. Dubai, 2012)</w:t>
            </w:r>
          </w:p>
        </w:tc>
      </w:tr>
      <w:bookmarkEnd w:id="2"/>
      <w:bookmarkEnd w:id="9"/>
      <w:tr w:rsidR="009F5CAB" w:rsidTr="003869CD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3869CD" w:rsidRDefault="00E20FA4" w:rsidP="003869CD">
            <w:pPr>
              <w:pStyle w:val="LSForAction"/>
            </w:pPr>
            <w:r>
              <w:t>TSAG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3869CD" w:rsidRDefault="003F4217" w:rsidP="003869CD">
            <w:pPr>
              <w:pStyle w:val="LSForComment"/>
            </w:pPr>
            <w:r>
              <w:t>-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3869CD" w:rsidRDefault="003F4217" w:rsidP="003869CD">
            <w:pPr>
              <w:pStyle w:val="LSForInfo"/>
            </w:pPr>
            <w:r>
              <w:t>-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3869CD" w:rsidRPr="003869CD" w:rsidRDefault="00FF17D6">
            <w:pPr>
              <w:rPr>
                <w:b/>
                <w:bCs/>
              </w:rPr>
            </w:pPr>
            <w:r>
              <w:rPr>
                <w:b/>
                <w:bCs/>
              </w:rPr>
              <w:t>SCV meeting (</w:t>
            </w:r>
            <w:r w:rsidR="00E20FA4">
              <w:rPr>
                <w:b/>
                <w:bCs/>
              </w:rPr>
              <w:t>21 May 2013</w:t>
            </w:r>
            <w:r>
              <w:rPr>
                <w:b/>
                <w:bCs/>
              </w:rPr>
              <w:t>)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3869CD" w:rsidRDefault="007E527D" w:rsidP="003869CD">
            <w:pPr>
              <w:pStyle w:val="LSDeadline"/>
            </w:pPr>
            <w:r>
              <w:t>26 November 2013</w:t>
            </w:r>
          </w:p>
        </w:tc>
      </w:tr>
      <w:tr w:rsidR="00E20FA4" w:rsidTr="003869CD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E20FA4" w:rsidRDefault="00E20FA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E20FA4" w:rsidRPr="00E20FA4" w:rsidRDefault="00E20FA4" w:rsidP="00E20FA4">
            <w:pPr>
              <w:rPr>
                <w:szCs w:val="24"/>
                <w:lang w:val="en-US"/>
              </w:rPr>
            </w:pPr>
            <w:r w:rsidRPr="00E20FA4">
              <w:rPr>
                <w:szCs w:val="24"/>
                <w:lang w:val="en-US"/>
              </w:rPr>
              <w:t xml:space="preserve">Dr. </w:t>
            </w:r>
            <w:proofErr w:type="spellStart"/>
            <w:r w:rsidRPr="00E20FA4">
              <w:rPr>
                <w:szCs w:val="24"/>
                <w:lang w:val="en-US"/>
              </w:rPr>
              <w:t>Imad</w:t>
            </w:r>
            <w:proofErr w:type="spellEnd"/>
            <w:r w:rsidRPr="00E20FA4">
              <w:rPr>
                <w:szCs w:val="24"/>
                <w:lang w:val="en-US"/>
              </w:rPr>
              <w:t xml:space="preserve"> Y. </w:t>
            </w:r>
            <w:proofErr w:type="spellStart"/>
            <w:r w:rsidRPr="00E20FA4">
              <w:rPr>
                <w:szCs w:val="24"/>
                <w:lang w:val="en-US"/>
              </w:rPr>
              <w:t>Hoballah</w:t>
            </w:r>
            <w:proofErr w:type="spellEnd"/>
          </w:p>
          <w:p w:rsidR="00E20FA4" w:rsidRPr="00E20FA4" w:rsidRDefault="00E20FA4" w:rsidP="00E20FA4">
            <w:pPr>
              <w:spacing w:before="0"/>
              <w:rPr>
                <w:szCs w:val="24"/>
                <w:lang w:val="en-US"/>
              </w:rPr>
            </w:pPr>
            <w:r w:rsidRPr="00E20FA4">
              <w:rPr>
                <w:rFonts w:asciiTheme="majorBidi" w:hAnsiTheme="majorBidi" w:cstheme="majorBidi"/>
                <w:szCs w:val="24"/>
              </w:rPr>
              <w:t>Telecommunication Regulatory Authority</w:t>
            </w:r>
            <w:r w:rsidRPr="00E20FA4">
              <w:rPr>
                <w:szCs w:val="24"/>
                <w:lang w:val="en-US"/>
              </w:rPr>
              <w:br/>
              <w:t>Lebanon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E20FA4" w:rsidRPr="00E20FA4" w:rsidRDefault="00E20FA4" w:rsidP="00E20FA4">
            <w:pPr>
              <w:rPr>
                <w:szCs w:val="24"/>
              </w:rPr>
            </w:pPr>
            <w:r w:rsidRPr="00E20FA4">
              <w:rPr>
                <w:rFonts w:asciiTheme="majorBidi" w:hAnsiTheme="majorBidi" w:cstheme="majorBidi"/>
                <w:szCs w:val="24"/>
                <w:lang w:eastAsia="ja-JP"/>
              </w:rPr>
              <w:t xml:space="preserve">Tel.: </w:t>
            </w:r>
            <w:r w:rsidRPr="00E20FA4">
              <w:rPr>
                <w:rFonts w:asciiTheme="majorBidi" w:hAnsiTheme="majorBidi" w:cstheme="majorBidi"/>
                <w:szCs w:val="24"/>
                <w:lang w:eastAsia="ja-JP"/>
              </w:rPr>
              <w:tab/>
            </w:r>
            <w:r w:rsidRPr="00E20FA4">
              <w:rPr>
                <w:rFonts w:asciiTheme="majorBidi" w:hAnsiTheme="majorBidi" w:cstheme="majorBidi"/>
                <w:szCs w:val="24"/>
                <w:lang w:val="fr-FR"/>
              </w:rPr>
              <w:t>+961 1 96 43 43</w:t>
            </w:r>
            <w:r w:rsidRPr="00E20FA4">
              <w:rPr>
                <w:rFonts w:asciiTheme="majorBidi" w:hAnsiTheme="majorBidi" w:cstheme="majorBidi"/>
                <w:szCs w:val="24"/>
                <w:lang w:eastAsia="ja-JP"/>
              </w:rPr>
              <w:br/>
              <w:t xml:space="preserve">Fax: </w:t>
            </w:r>
            <w:r w:rsidRPr="00E20FA4">
              <w:rPr>
                <w:rFonts w:asciiTheme="majorBidi" w:hAnsiTheme="majorBidi" w:cstheme="majorBidi"/>
                <w:szCs w:val="24"/>
                <w:lang w:eastAsia="ja-JP"/>
              </w:rPr>
              <w:tab/>
            </w:r>
            <w:r w:rsidRPr="00E20FA4">
              <w:rPr>
                <w:rFonts w:asciiTheme="majorBidi" w:hAnsiTheme="majorBidi" w:cstheme="majorBidi"/>
                <w:szCs w:val="24"/>
                <w:lang w:val="fr-FR"/>
              </w:rPr>
              <w:t>+961 1 96 43 44</w:t>
            </w:r>
            <w:r w:rsidRPr="00E20FA4">
              <w:rPr>
                <w:rFonts w:asciiTheme="majorBidi" w:hAnsiTheme="majorBidi" w:cstheme="majorBidi"/>
                <w:szCs w:val="24"/>
                <w:lang w:eastAsia="ja-JP"/>
              </w:rPr>
              <w:br/>
            </w:r>
            <w:r w:rsidRPr="00E20FA4">
              <w:rPr>
                <w:szCs w:val="24"/>
                <w:lang w:eastAsia="ja-JP"/>
              </w:rPr>
              <w:t xml:space="preserve">Email: </w:t>
            </w:r>
            <w:r w:rsidRPr="00E20FA4">
              <w:rPr>
                <w:szCs w:val="24"/>
                <w:lang w:eastAsia="ja-JP"/>
              </w:rPr>
              <w:tab/>
            </w:r>
            <w:r w:rsidRPr="00E20FA4">
              <w:rPr>
                <w:rFonts w:eastAsia="Malgun Gothic"/>
                <w:szCs w:val="24"/>
                <w:lang w:eastAsia="ko-KR"/>
              </w:rPr>
              <w:t>imad.hoballah@tra.gov.lb</w:t>
            </w:r>
          </w:p>
        </w:tc>
      </w:tr>
      <w:tr w:rsidR="003869CD" w:rsidTr="003869CD">
        <w:trPr>
          <w:cantSplit/>
          <w:trHeight w:val="204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3869CD" w:rsidRDefault="003869CD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:rsidR="00E000F3" w:rsidRDefault="00E000F3" w:rsidP="00E20FA4">
      <w:pPr>
        <w:jc w:val="both"/>
      </w:pPr>
    </w:p>
    <w:p w:rsidR="00E20FA4" w:rsidRPr="00E20FA4" w:rsidRDefault="00E20FA4" w:rsidP="003F4217">
      <w:pPr>
        <w:jc w:val="both"/>
        <w:rPr>
          <w:szCs w:val="24"/>
        </w:rPr>
      </w:pPr>
      <w:r>
        <w:t>At its 21 May 2013 meeting, the participants of the Standardization Committee for Vocabulary (SCV)</w:t>
      </w:r>
      <w:r w:rsidRPr="00E20FA4">
        <w:t xml:space="preserve"> review</w:t>
      </w:r>
      <w:r>
        <w:t>ed</w:t>
      </w:r>
      <w:r w:rsidRPr="00E20FA4">
        <w:t xml:space="preserve"> the text of Resolution 67 (Rev. Dubai, 2012) of the World Telecommunication Standardization Assembly held in Dubai (WTSA-12)</w:t>
      </w:r>
      <w:r>
        <w:t xml:space="preserve"> and noted the instruction to</w:t>
      </w:r>
      <w:r w:rsidRPr="00E20FA4">
        <w:t xml:space="preserve"> TSAG</w:t>
      </w:r>
      <w:r>
        <w:t>.  It was agreed to remind TSAG</w:t>
      </w:r>
      <w:r w:rsidR="003F4217">
        <w:t>, through this liaison,</w:t>
      </w:r>
      <w:r>
        <w:t xml:space="preserve"> </w:t>
      </w:r>
      <w:r w:rsidRPr="00E20FA4">
        <w:t>that WTSA-12:</w:t>
      </w:r>
    </w:p>
    <w:p w:rsidR="00E20FA4" w:rsidRPr="00E20FA4" w:rsidRDefault="00E20FA4" w:rsidP="00E20FA4">
      <w:pPr>
        <w:pStyle w:val="Call"/>
        <w:rPr>
          <w:sz w:val="22"/>
          <w:szCs w:val="22"/>
        </w:rPr>
      </w:pPr>
      <w:proofErr w:type="gramStart"/>
      <w:r w:rsidRPr="00E20FA4">
        <w:rPr>
          <w:sz w:val="22"/>
          <w:szCs w:val="22"/>
        </w:rPr>
        <w:t>instructs</w:t>
      </w:r>
      <w:proofErr w:type="gramEnd"/>
      <w:r w:rsidRPr="00E20FA4">
        <w:rPr>
          <w:sz w:val="22"/>
          <w:szCs w:val="22"/>
        </w:rPr>
        <w:t xml:space="preserve"> the Telecommunication Standardization Advisory Group</w:t>
      </w:r>
    </w:p>
    <w:p w:rsidR="009F5CAB" w:rsidRDefault="00E20FA4" w:rsidP="00E20FA4">
      <w:pPr>
        <w:tabs>
          <w:tab w:val="clear" w:pos="794"/>
        </w:tabs>
        <w:ind w:left="426"/>
        <w:rPr>
          <w:sz w:val="22"/>
          <w:szCs w:val="22"/>
        </w:rPr>
      </w:pPr>
      <w:proofErr w:type="gramStart"/>
      <w:r w:rsidRPr="00E20FA4">
        <w:rPr>
          <w:sz w:val="22"/>
          <w:szCs w:val="22"/>
        </w:rPr>
        <w:t>to</w:t>
      </w:r>
      <w:proofErr w:type="gramEnd"/>
      <w:r w:rsidRPr="00E20FA4">
        <w:rPr>
          <w:sz w:val="22"/>
          <w:szCs w:val="22"/>
        </w:rPr>
        <w:t xml:space="preserve"> consider the best mechanism for deciding which Recommendations approved under the alternative approval process (AAP) shall be translated, in light of the relevant Council d</w:t>
      </w:r>
      <w:r w:rsidRPr="00E20FA4">
        <w:rPr>
          <w:rFonts w:cs="Calibri"/>
          <w:color w:val="000000"/>
          <w:sz w:val="22"/>
          <w:szCs w:val="22"/>
        </w:rPr>
        <w:t>ecisions</w:t>
      </w:r>
      <w:r w:rsidRPr="00E20FA4">
        <w:rPr>
          <w:sz w:val="22"/>
          <w:szCs w:val="22"/>
        </w:rPr>
        <w:t>.</w:t>
      </w:r>
    </w:p>
    <w:p w:rsidR="00E20FA4" w:rsidRDefault="00E20FA4" w:rsidP="00E20FA4">
      <w:pPr>
        <w:tabs>
          <w:tab w:val="clear" w:pos="794"/>
          <w:tab w:val="left" w:pos="567"/>
        </w:tabs>
        <w:rPr>
          <w:szCs w:val="24"/>
        </w:rPr>
      </w:pPr>
      <w:r w:rsidRPr="00E20FA4">
        <w:rPr>
          <w:szCs w:val="24"/>
        </w:rPr>
        <w:t>SCV</w:t>
      </w:r>
      <w:r>
        <w:rPr>
          <w:szCs w:val="24"/>
        </w:rPr>
        <w:t xml:space="preserve"> requests to be kept informed of progress made by TSAG on this important matter.</w:t>
      </w:r>
    </w:p>
    <w:p w:rsidR="00FF17D6" w:rsidRDefault="003F4217" w:rsidP="001A112F">
      <w:pPr>
        <w:tabs>
          <w:tab w:val="left" w:pos="567"/>
        </w:tabs>
        <w:jc w:val="both"/>
        <w:rPr>
          <w:szCs w:val="24"/>
          <w:lang w:val="en-US"/>
        </w:rPr>
      </w:pPr>
      <w:r>
        <w:rPr>
          <w:szCs w:val="24"/>
        </w:rPr>
        <w:t xml:space="preserve">Additionally, </w:t>
      </w:r>
      <w:r w:rsidR="00FF17D6">
        <w:rPr>
          <w:szCs w:val="24"/>
        </w:rPr>
        <w:t xml:space="preserve">SCV wishes to draw your attention to the report of its May 2013 meeting, which is available in </w:t>
      </w:r>
      <w:hyperlink r:id="rId9" w:history="1">
        <w:r w:rsidR="00FF17D6" w:rsidRPr="00FF17D6">
          <w:rPr>
            <w:rStyle w:val="Hyperlink"/>
            <w:szCs w:val="24"/>
          </w:rPr>
          <w:t>SCV-TD-13</w:t>
        </w:r>
      </w:hyperlink>
      <w:r w:rsidR="00FF17D6">
        <w:rPr>
          <w:szCs w:val="24"/>
        </w:rPr>
        <w:t xml:space="preserve">, and </w:t>
      </w:r>
      <w:r>
        <w:rPr>
          <w:szCs w:val="24"/>
        </w:rPr>
        <w:t xml:space="preserve">to the fact </w:t>
      </w:r>
      <w:r w:rsidR="00FF17D6">
        <w:rPr>
          <w:szCs w:val="24"/>
        </w:rPr>
        <w:t xml:space="preserve">that SCV </w:t>
      </w:r>
      <w:bookmarkStart w:id="10" w:name="_GoBack"/>
      <w:bookmarkEnd w:id="10"/>
      <w:r w:rsidR="00FF17D6">
        <w:rPr>
          <w:szCs w:val="24"/>
        </w:rPr>
        <w:t>plans to convene</w:t>
      </w:r>
      <w:r w:rsidR="00FF17D6" w:rsidRPr="00FF17D6">
        <w:rPr>
          <w:rFonts w:asciiTheme="minorHAnsi" w:eastAsiaTheme="minorEastAsia" w:hAnsi="Calibri" w:cstheme="minorBidi"/>
          <w:b/>
          <w:color w:val="000000" w:themeColor="text1"/>
          <w:kern w:val="24"/>
          <w:sz w:val="64"/>
          <w:szCs w:val="64"/>
          <w:lang w:val="en-US" w:eastAsia="zh-CN"/>
        </w:rPr>
        <w:t xml:space="preserve"> </w:t>
      </w:r>
      <w:r w:rsidR="00FF17D6">
        <w:rPr>
          <w:lang w:val="en-US"/>
        </w:rPr>
        <w:t>a v</w:t>
      </w:r>
      <w:r w:rsidR="00FF17D6" w:rsidRPr="00FF17D6">
        <w:rPr>
          <w:lang w:val="en-US"/>
        </w:rPr>
        <w:t>irtual meeting</w:t>
      </w:r>
      <w:r w:rsidR="00FF17D6">
        <w:rPr>
          <w:lang w:val="en-US"/>
        </w:rPr>
        <w:t xml:space="preserve"> on </w:t>
      </w:r>
      <w:r w:rsidR="001A112F">
        <w:rPr>
          <w:szCs w:val="24"/>
          <w:lang w:val="en-US"/>
        </w:rPr>
        <w:t>4</w:t>
      </w:r>
      <w:r w:rsidR="00FF17D6">
        <w:rPr>
          <w:szCs w:val="24"/>
          <w:lang w:val="en-US"/>
        </w:rPr>
        <w:t xml:space="preserve"> </w:t>
      </w:r>
      <w:r w:rsidR="001A112F">
        <w:rPr>
          <w:szCs w:val="24"/>
          <w:lang w:val="en-US"/>
        </w:rPr>
        <w:t>Dec</w:t>
      </w:r>
      <w:r w:rsidR="00FF17D6">
        <w:rPr>
          <w:szCs w:val="24"/>
          <w:lang w:val="en-US"/>
        </w:rPr>
        <w:t xml:space="preserve">ember </w:t>
      </w:r>
      <w:r w:rsidR="00FF17D6" w:rsidRPr="00FF17D6">
        <w:rPr>
          <w:szCs w:val="24"/>
          <w:lang w:val="en-US"/>
        </w:rPr>
        <w:t>2013</w:t>
      </w:r>
      <w:r w:rsidR="00FF17D6">
        <w:rPr>
          <w:szCs w:val="24"/>
          <w:lang w:val="en-US"/>
        </w:rPr>
        <w:t xml:space="preserve"> and a f</w:t>
      </w:r>
      <w:r w:rsidR="00FF17D6" w:rsidRPr="00FF17D6">
        <w:rPr>
          <w:szCs w:val="24"/>
          <w:lang w:val="en-US"/>
        </w:rPr>
        <w:t>ace-to-face meeting in Geneva</w:t>
      </w:r>
      <w:r w:rsidR="00FF17D6">
        <w:rPr>
          <w:szCs w:val="24"/>
          <w:lang w:val="en-US"/>
        </w:rPr>
        <w:t xml:space="preserve"> on </w:t>
      </w:r>
      <w:r w:rsidR="00FF17D6" w:rsidRPr="00FF17D6">
        <w:rPr>
          <w:szCs w:val="24"/>
          <w:lang w:val="en-US"/>
        </w:rPr>
        <w:t>1</w:t>
      </w:r>
      <w:r w:rsidR="00FF17D6">
        <w:rPr>
          <w:szCs w:val="24"/>
          <w:lang w:val="en-US"/>
        </w:rPr>
        <w:t xml:space="preserve"> July </w:t>
      </w:r>
      <w:r w:rsidR="00FF17D6" w:rsidRPr="00FF17D6">
        <w:rPr>
          <w:szCs w:val="24"/>
          <w:lang w:val="en-US"/>
        </w:rPr>
        <w:t>2014</w:t>
      </w:r>
      <w:r w:rsidR="00FF17D6">
        <w:rPr>
          <w:szCs w:val="24"/>
          <w:lang w:val="en-US"/>
        </w:rPr>
        <w:t>.</w:t>
      </w:r>
    </w:p>
    <w:p w:rsidR="00C16F81" w:rsidRDefault="00C16F81" w:rsidP="00C16F81">
      <w:pPr>
        <w:tabs>
          <w:tab w:val="clear" w:pos="794"/>
          <w:tab w:val="left" w:pos="567"/>
        </w:tabs>
        <w:rPr>
          <w:szCs w:val="24"/>
          <w:lang w:val="en-US"/>
        </w:rPr>
      </w:pPr>
      <w:r>
        <w:rPr>
          <w:szCs w:val="24"/>
          <w:lang w:val="en-US"/>
        </w:rPr>
        <w:t xml:space="preserve">Please send replies to this liaison statement, if any, to the secretariat at </w:t>
      </w:r>
      <w:hyperlink r:id="rId10" w:history="1">
        <w:r>
          <w:rPr>
            <w:rStyle w:val="Hyperlink"/>
            <w:szCs w:val="24"/>
            <w:lang w:val="en-US"/>
          </w:rPr>
          <w:t>tsbscv@itu.int</w:t>
        </w:r>
      </w:hyperlink>
      <w:r>
        <w:rPr>
          <w:szCs w:val="24"/>
          <w:lang w:val="en-US"/>
        </w:rPr>
        <w:t xml:space="preserve">. </w:t>
      </w:r>
    </w:p>
    <w:p w:rsidR="00C16F81" w:rsidRPr="00C16F81" w:rsidRDefault="00C16F81" w:rsidP="00C16F81">
      <w:pPr>
        <w:tabs>
          <w:tab w:val="left" w:pos="567"/>
        </w:tabs>
        <w:jc w:val="center"/>
        <w:rPr>
          <w:szCs w:val="24"/>
          <w:lang w:val="en-US"/>
        </w:rPr>
      </w:pPr>
      <w:r>
        <w:rPr>
          <w:szCs w:val="24"/>
          <w:lang w:val="en-US"/>
        </w:rPr>
        <w:t>___________________</w:t>
      </w:r>
    </w:p>
    <w:sectPr w:rsidR="00C16F81" w:rsidRPr="00C16F81" w:rsidSect="00E20FA4">
      <w:headerReference w:type="default" r:id="rId11"/>
      <w:foot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D6" w:rsidRDefault="00FF17D6" w:rsidP="009F5CAB">
      <w:r>
        <w:separator/>
      </w:r>
    </w:p>
  </w:endnote>
  <w:endnote w:type="continuationSeparator" w:id="0">
    <w:p w:rsidR="00FF17D6" w:rsidRDefault="00FF17D6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D6" w:rsidRPr="00E20FA4" w:rsidRDefault="00FF17D6" w:rsidP="00E20FA4">
    <w:pPr>
      <w:pStyle w:val="Footer"/>
      <w:rPr>
        <w:lang w:val="fr-CH"/>
      </w:rPr>
    </w:pPr>
    <w:r w:rsidRPr="00E20FA4">
      <w:rPr>
        <w:lang w:val="fr-CH"/>
      </w:rPr>
      <w:t>ITU-T\COM-T\IPR\LS\11E.DOC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FF17D6" w:rsidRPr="00E20FA4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F17D6" w:rsidRPr="00E20FA4" w:rsidRDefault="00FF17D6" w:rsidP="00E20FA4">
          <w:pPr>
            <w:spacing w:before="0"/>
            <w:rPr>
              <w:sz w:val="18"/>
            </w:rPr>
          </w:pPr>
          <w:r w:rsidRPr="00E20FA4">
            <w:rPr>
              <w:b/>
              <w:bCs/>
              <w:sz w:val="18"/>
            </w:rPr>
            <w:t>Attention:</w:t>
          </w:r>
          <w:r w:rsidRPr="00E20FA4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FF17D6" w:rsidRPr="00E20FA4" w:rsidRDefault="00FF17D6" w:rsidP="00E20FA4">
          <w:pPr>
            <w:spacing w:before="0"/>
            <w:rPr>
              <w:sz w:val="18"/>
            </w:rPr>
          </w:pPr>
          <w:r w:rsidRPr="00E20FA4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FF17D6" w:rsidRPr="00E20FA4" w:rsidRDefault="00FF17D6" w:rsidP="00E20FA4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D6" w:rsidRDefault="00FF17D6" w:rsidP="009F5CAB">
      <w:r>
        <w:separator/>
      </w:r>
    </w:p>
  </w:footnote>
  <w:footnote w:type="continuationSeparator" w:id="0">
    <w:p w:rsidR="00FF17D6" w:rsidRDefault="00FF17D6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D6" w:rsidRPr="00E20FA4" w:rsidRDefault="00FF17D6" w:rsidP="00E20FA4">
    <w:pPr>
      <w:pStyle w:val="Header"/>
    </w:pPr>
    <w:r w:rsidRPr="00E20FA4">
      <w:t xml:space="preserve">- </w:t>
    </w:r>
    <w:r w:rsidRPr="00E20FA4">
      <w:fldChar w:fldCharType="begin"/>
    </w:r>
    <w:r w:rsidRPr="00E20FA4">
      <w:instrText xml:space="preserve"> PAGE  \* MERGEFORMAT </w:instrText>
    </w:r>
    <w:r w:rsidRPr="00E20FA4">
      <w:fldChar w:fldCharType="separate"/>
    </w:r>
    <w:r>
      <w:rPr>
        <w:noProof/>
      </w:rPr>
      <w:t>1</w:t>
    </w:r>
    <w:r w:rsidRPr="00E20FA4">
      <w:fldChar w:fldCharType="end"/>
    </w:r>
    <w:r w:rsidRPr="00E20FA4">
      <w:t xml:space="preserve"> -</w:t>
    </w:r>
  </w:p>
  <w:p w:rsidR="00FF17D6" w:rsidRPr="00E20FA4" w:rsidRDefault="00FF17D6" w:rsidP="00E20FA4">
    <w:pPr>
      <w:pStyle w:val="Header"/>
      <w:spacing w:after="240"/>
    </w:pPr>
    <w:r w:rsidRPr="00E20FA4">
      <w:fldChar w:fldCharType="begin"/>
    </w:r>
    <w:r w:rsidRPr="00E20FA4">
      <w:instrText xml:space="preserve"> STYLEREF  Docnumber  </w:instrText>
    </w:r>
    <w:r w:rsidRPr="00E20FA4">
      <w:fldChar w:fldCharType="separate"/>
    </w:r>
    <w:r>
      <w:rPr>
        <w:b/>
        <w:bCs/>
        <w:noProof/>
        <w:lang w:val="en-US"/>
      </w:rPr>
      <w:t>Error! Use the Home tab to apply Docnumber to the text that you want to appear here.</w:t>
    </w:r>
    <w:r w:rsidRPr="00E20FA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C7909E9"/>
    <w:multiLevelType w:val="hybridMultilevel"/>
    <w:tmpl w:val="E5BACCB2"/>
    <w:lvl w:ilvl="0" w:tplc="3D24E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25D8">
      <w:start w:val="62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2A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C9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6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4E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A7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64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88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AB"/>
    <w:rsid w:val="001A112F"/>
    <w:rsid w:val="00226033"/>
    <w:rsid w:val="002D76D1"/>
    <w:rsid w:val="002F0CB2"/>
    <w:rsid w:val="003869CD"/>
    <w:rsid w:val="003F4217"/>
    <w:rsid w:val="004461C7"/>
    <w:rsid w:val="007E527D"/>
    <w:rsid w:val="009F5CAB"/>
    <w:rsid w:val="00C16F81"/>
    <w:rsid w:val="00C955F2"/>
    <w:rsid w:val="00CC5757"/>
    <w:rsid w:val="00E000F3"/>
    <w:rsid w:val="00E20FA4"/>
    <w:rsid w:val="00E64BE9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customStyle="1" w:styleId="CallChar">
    <w:name w:val="Call Char"/>
    <w:link w:val="Call"/>
    <w:uiPriority w:val="99"/>
    <w:rsid w:val="00E20FA4"/>
    <w:rPr>
      <w:i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E20FA4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E20FA4"/>
    <w:rPr>
      <w:b/>
      <w:sz w:val="24"/>
      <w:lang w:val="en-GB" w:eastAsia="en-US"/>
    </w:rPr>
  </w:style>
  <w:style w:type="character" w:styleId="Hyperlink">
    <w:name w:val="Hyperlink"/>
    <w:basedOn w:val="DefaultParagraphFont"/>
    <w:rsid w:val="00FF17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7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customStyle="1" w:styleId="CallChar">
    <w:name w:val="Call Char"/>
    <w:link w:val="Call"/>
    <w:uiPriority w:val="99"/>
    <w:rsid w:val="00E20FA4"/>
    <w:rPr>
      <w:i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E20FA4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E20FA4"/>
    <w:rPr>
      <w:b/>
      <w:sz w:val="24"/>
      <w:lang w:val="en-GB" w:eastAsia="en-US"/>
    </w:rPr>
  </w:style>
  <w:style w:type="character" w:styleId="Hyperlink">
    <w:name w:val="Hyperlink"/>
    <w:basedOn w:val="DefaultParagraphFont"/>
    <w:rsid w:val="00FF17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7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cv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committees/scv/Documents/SCV_TD-013&#8203;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35BA2F-B3C5-4429-99F1-1DFC775262E6}"/>
</file>

<file path=customXml/itemProps2.xml><?xml version="1.0" encoding="utf-8"?>
<ds:datastoreItem xmlns:ds="http://schemas.openxmlformats.org/officeDocument/2006/customXml" ds:itemID="{55B17D44-5B26-4C8E-88C2-EFB4234D8A8F}"/>
</file>

<file path=customXml/itemProps3.xml><?xml version="1.0" encoding="utf-8"?>
<ds:datastoreItem xmlns:ds="http://schemas.openxmlformats.org/officeDocument/2006/customXml" ds:itemID="{319A2990-0759-4143-B6F9-D6C0A8F72388}"/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13</TotalTime>
  <Pages>1</Pages>
  <Words>262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TSAG action identified in WTSA Resolution 67 (Rev. Dubai, 2012)</vt:lpstr>
    </vt:vector>
  </TitlesOfParts>
  <Manager>ITU-T</Manager>
  <Company>International Telecommunication Union (ITU)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TSAG action identified in WTSA Resolution 67 (Rev. Dubai, 2012)</dc:title>
  <dc:creator>Standardization Committee for Vocabulary</dc:creator>
  <dc:description>IPR – LS 11 – E  For: Geneva, 21 May 2013_x000d_Document date: _x000d_Saved by ITU51007607 at 11:08:03 on 20/05/2013</dc:description>
  <cp:lastModifiedBy>Ratta, Greg</cp:lastModifiedBy>
  <cp:revision>8</cp:revision>
  <cp:lastPrinted>2002-08-01T07:30:00Z</cp:lastPrinted>
  <dcterms:created xsi:type="dcterms:W3CDTF">2013-05-20T09:11:00Z</dcterms:created>
  <dcterms:modified xsi:type="dcterms:W3CDTF">2013-05-23T13:52:00Z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IPR – LS 11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21 May 2013</vt:lpwstr>
  </property>
  <property fmtid="{D5CDD505-2E9C-101B-9397-08002B2CF9AE}" pid="7" name="Docauthor">
    <vt:lpwstr>Standardization Committee for Vocabulary</vt:lpwstr>
  </property>
  <property fmtid="{D5CDD505-2E9C-101B-9397-08002B2CF9AE}" pid="8" name="ContentTypeId">
    <vt:lpwstr>0x01010017487812B7DF734F899F9E259C366837</vt:lpwstr>
  </property>
</Properties>
</file>