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24"/>
        <w:gridCol w:w="486"/>
        <w:gridCol w:w="3115"/>
        <w:gridCol w:w="145"/>
        <w:gridCol w:w="4536"/>
      </w:tblGrid>
      <w:tr w:rsidR="006E13C7" w:rsidRPr="006E13C7" w14:paraId="712CBCFA" w14:textId="77777777" w:rsidTr="003F6975">
        <w:trPr>
          <w:cantSplit/>
        </w:trPr>
        <w:tc>
          <w:tcPr>
            <w:tcW w:w="1191" w:type="dxa"/>
            <w:vMerge w:val="restart"/>
          </w:tcPr>
          <w:p w14:paraId="4FA5480D" w14:textId="77777777" w:rsidR="006E13C7" w:rsidRPr="006E13C7" w:rsidRDefault="006E13C7" w:rsidP="006E13C7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6E13C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1BC0E47" wp14:editId="367C8D90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5"/>
            <w:vMerge w:val="restart"/>
          </w:tcPr>
          <w:p w14:paraId="12CA06FF" w14:textId="77777777" w:rsidR="006E13C7" w:rsidRPr="006E13C7" w:rsidRDefault="006E13C7" w:rsidP="006E13C7">
            <w:pPr>
              <w:rPr>
                <w:sz w:val="16"/>
                <w:szCs w:val="16"/>
              </w:rPr>
            </w:pPr>
            <w:r w:rsidRPr="006E13C7">
              <w:rPr>
                <w:sz w:val="16"/>
                <w:szCs w:val="16"/>
              </w:rPr>
              <w:t>INTERNATIONAL TELECOMMUNICATION UNION</w:t>
            </w:r>
          </w:p>
          <w:p w14:paraId="6B7B2A2B" w14:textId="77777777" w:rsidR="006E13C7" w:rsidRPr="006E13C7" w:rsidRDefault="006E13C7" w:rsidP="006E13C7">
            <w:pPr>
              <w:rPr>
                <w:b/>
                <w:bCs/>
                <w:sz w:val="26"/>
                <w:szCs w:val="26"/>
              </w:rPr>
            </w:pPr>
            <w:r w:rsidRPr="006E13C7">
              <w:rPr>
                <w:b/>
                <w:bCs/>
                <w:sz w:val="26"/>
                <w:szCs w:val="26"/>
              </w:rPr>
              <w:t>TELECOMMUNICATION</w:t>
            </w:r>
            <w:r w:rsidRPr="006E13C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F0DA309" w14:textId="77777777" w:rsidR="006E13C7" w:rsidRPr="006E13C7" w:rsidRDefault="006E13C7" w:rsidP="006E13C7">
            <w:pPr>
              <w:rPr>
                <w:sz w:val="20"/>
                <w:szCs w:val="20"/>
              </w:rPr>
            </w:pPr>
            <w:r w:rsidRPr="006E13C7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6E13C7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7934945D" w14:textId="3796A92C" w:rsidR="006E13C7" w:rsidRPr="006E13C7" w:rsidRDefault="006E13C7" w:rsidP="006E13C7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SCV-TD97</w:t>
            </w:r>
          </w:p>
        </w:tc>
      </w:tr>
      <w:tr w:rsidR="006E13C7" w:rsidRPr="006E13C7" w14:paraId="4555B99F" w14:textId="77777777" w:rsidTr="003F6975">
        <w:trPr>
          <w:cantSplit/>
        </w:trPr>
        <w:tc>
          <w:tcPr>
            <w:tcW w:w="1191" w:type="dxa"/>
            <w:vMerge/>
          </w:tcPr>
          <w:p w14:paraId="5C5AB323" w14:textId="77777777" w:rsidR="006E13C7" w:rsidRPr="006E13C7" w:rsidRDefault="006E13C7" w:rsidP="006E13C7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5"/>
            <w:vMerge/>
          </w:tcPr>
          <w:p w14:paraId="1E972A59" w14:textId="77777777" w:rsidR="006E13C7" w:rsidRPr="006E13C7" w:rsidRDefault="006E13C7" w:rsidP="006E13C7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284049A3" w14:textId="3E7B9B95" w:rsidR="006E13C7" w:rsidRPr="006E13C7" w:rsidRDefault="006E13C7" w:rsidP="006E13C7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6E13C7" w:rsidRPr="006E13C7" w14:paraId="3AAA935B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4BEE693" w14:textId="77777777" w:rsidR="006E13C7" w:rsidRPr="006E13C7" w:rsidRDefault="006E13C7" w:rsidP="006E13C7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5"/>
            <w:vMerge/>
            <w:tcBorders>
              <w:bottom w:val="single" w:sz="12" w:space="0" w:color="auto"/>
            </w:tcBorders>
          </w:tcPr>
          <w:p w14:paraId="2AA058C4" w14:textId="77777777" w:rsidR="006E13C7" w:rsidRPr="006E13C7" w:rsidRDefault="006E13C7" w:rsidP="006E13C7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47A15FE" w14:textId="77777777" w:rsidR="006E13C7" w:rsidRPr="006E13C7" w:rsidRDefault="006E13C7" w:rsidP="006E13C7">
            <w:pPr>
              <w:jc w:val="right"/>
              <w:rPr>
                <w:b/>
                <w:bCs/>
                <w:sz w:val="28"/>
                <w:szCs w:val="28"/>
              </w:rPr>
            </w:pPr>
            <w:r w:rsidRPr="006E13C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E13C7" w:rsidRPr="006E13C7" w14:paraId="26C516F7" w14:textId="77777777" w:rsidTr="003F6975">
        <w:trPr>
          <w:cantSplit/>
        </w:trPr>
        <w:tc>
          <w:tcPr>
            <w:tcW w:w="1617" w:type="dxa"/>
            <w:gridSpan w:val="3"/>
          </w:tcPr>
          <w:p w14:paraId="3CE3DAFB" w14:textId="02B21624" w:rsidR="006E13C7" w:rsidRPr="006E13C7" w:rsidRDefault="006E13C7" w:rsidP="006E13C7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3"/>
          </w:tcPr>
          <w:p w14:paraId="0C54AF9F" w14:textId="45D38E25" w:rsidR="006E13C7" w:rsidRPr="006E13C7" w:rsidRDefault="006E13C7" w:rsidP="006E13C7">
            <w:r w:rsidRPr="006E13C7">
              <w:t>2/12</w:t>
            </w:r>
          </w:p>
        </w:tc>
        <w:tc>
          <w:tcPr>
            <w:tcW w:w="4681" w:type="dxa"/>
            <w:gridSpan w:val="2"/>
          </w:tcPr>
          <w:p w14:paraId="27E21179" w14:textId="266AB906" w:rsidR="006E13C7" w:rsidRPr="006E13C7" w:rsidRDefault="006E13C7" w:rsidP="006E13C7">
            <w:pPr>
              <w:jc w:val="right"/>
            </w:pPr>
            <w:r w:rsidRPr="006E13C7">
              <w:t>Virtual</w:t>
            </w:r>
            <w:r>
              <w:t>,</w:t>
            </w:r>
            <w:r w:rsidRPr="006E13C7">
              <w:t xml:space="preserve"> 17 June 2019</w:t>
            </w:r>
          </w:p>
        </w:tc>
      </w:tr>
      <w:tr w:rsidR="006E13C7" w:rsidRPr="006E13C7" w14:paraId="3C7DBF12" w14:textId="77777777" w:rsidTr="003F6975">
        <w:trPr>
          <w:cantSplit/>
        </w:trPr>
        <w:tc>
          <w:tcPr>
            <w:tcW w:w="9923" w:type="dxa"/>
            <w:gridSpan w:val="8"/>
          </w:tcPr>
          <w:p w14:paraId="516E0688" w14:textId="77777777" w:rsidR="006E13C7" w:rsidRPr="006E13C7" w:rsidRDefault="006E13C7" w:rsidP="006E13C7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6E13C7">
              <w:rPr>
                <w:b/>
                <w:bCs/>
              </w:rPr>
              <w:t>TD</w:t>
            </w:r>
          </w:p>
          <w:p w14:paraId="720ECA8F" w14:textId="04FD6B46" w:rsidR="006E13C7" w:rsidRPr="006E13C7" w:rsidRDefault="006E13C7" w:rsidP="006E13C7">
            <w:pPr>
              <w:jc w:val="center"/>
              <w:rPr>
                <w:b/>
                <w:bCs/>
              </w:rPr>
            </w:pPr>
            <w:r w:rsidRPr="006E13C7">
              <w:rPr>
                <w:b/>
                <w:bCs/>
              </w:rPr>
              <w:t>(Ref.: SG12-LS72)</w:t>
            </w:r>
          </w:p>
        </w:tc>
      </w:tr>
      <w:tr w:rsidR="006E13C7" w:rsidRPr="006E13C7" w14:paraId="31B4C006" w14:textId="77777777" w:rsidTr="003F6975">
        <w:trPr>
          <w:cantSplit/>
        </w:trPr>
        <w:tc>
          <w:tcPr>
            <w:tcW w:w="1617" w:type="dxa"/>
            <w:gridSpan w:val="3"/>
          </w:tcPr>
          <w:p w14:paraId="3F17D767" w14:textId="77777777" w:rsidR="006E13C7" w:rsidRPr="006E13C7" w:rsidRDefault="006E13C7" w:rsidP="006E13C7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6E13C7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5"/>
          </w:tcPr>
          <w:p w14:paraId="10AF574C" w14:textId="1FAC56BA" w:rsidR="006E13C7" w:rsidRPr="006E13C7" w:rsidRDefault="006E13C7" w:rsidP="006E13C7">
            <w:r w:rsidRPr="006E13C7">
              <w:t>ITU-T Study Group 12</w:t>
            </w:r>
          </w:p>
        </w:tc>
      </w:tr>
      <w:tr w:rsidR="006E13C7" w:rsidRPr="006E13C7" w14:paraId="2F6A2BD2" w14:textId="77777777" w:rsidTr="003F6975">
        <w:trPr>
          <w:cantSplit/>
        </w:trPr>
        <w:tc>
          <w:tcPr>
            <w:tcW w:w="1617" w:type="dxa"/>
            <w:gridSpan w:val="3"/>
          </w:tcPr>
          <w:p w14:paraId="7E376F9B" w14:textId="77777777" w:rsidR="006E13C7" w:rsidRPr="006E13C7" w:rsidRDefault="006E13C7" w:rsidP="006E13C7">
            <w:bookmarkStart w:id="8" w:name="dtitle1" w:colFirst="1" w:colLast="1"/>
            <w:bookmarkEnd w:id="7"/>
            <w:r w:rsidRPr="006E13C7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5"/>
          </w:tcPr>
          <w:p w14:paraId="2FC18DD0" w14:textId="3187F277" w:rsidR="006E13C7" w:rsidRPr="006E13C7" w:rsidRDefault="006E13C7" w:rsidP="006E13C7">
            <w:r w:rsidRPr="006E13C7">
              <w:t>LS on definition of broadband access</w:t>
            </w:r>
          </w:p>
        </w:tc>
      </w:tr>
      <w:tr w:rsidR="006E13C7" w:rsidRPr="006E13C7" w14:paraId="54F83953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171FE72A" w14:textId="77777777" w:rsidR="006E13C7" w:rsidRPr="006E13C7" w:rsidRDefault="006E13C7" w:rsidP="006E13C7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6E13C7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5"/>
            <w:tcBorders>
              <w:bottom w:val="single" w:sz="8" w:space="0" w:color="auto"/>
            </w:tcBorders>
          </w:tcPr>
          <w:p w14:paraId="3DF401DC" w14:textId="77777777" w:rsidR="006E13C7" w:rsidRPr="006E13C7" w:rsidRDefault="006E13C7" w:rsidP="006E13C7"/>
        </w:tc>
      </w:tr>
      <w:bookmarkEnd w:id="1"/>
      <w:bookmarkEnd w:id="9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5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46C70AA6" w:rsidR="00CD6848" w:rsidRDefault="0049622A" w:rsidP="00F05E8B">
            <w:pPr>
              <w:pStyle w:val="LSForAction"/>
            </w:pPr>
            <w:r>
              <w:t>SCV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5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77777777" w:rsidR="00CD6848" w:rsidRDefault="00CD6848" w:rsidP="00F05E8B">
            <w:pPr>
              <w:pStyle w:val="LSForComment"/>
            </w:pPr>
          </w:p>
        </w:tc>
      </w:tr>
      <w:tr w:rsidR="00CD6848" w14:paraId="057FE425" w14:textId="77777777" w:rsidTr="002E4581">
        <w:trPr>
          <w:cantSplit/>
          <w:trHeight w:val="336"/>
        </w:trPr>
        <w:tc>
          <w:tcPr>
            <w:tcW w:w="2127" w:type="dxa"/>
            <w:gridSpan w:val="5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77777777" w:rsidR="00CD6848" w:rsidRDefault="00CD6848" w:rsidP="00F05E8B">
            <w:pPr>
              <w:pStyle w:val="LSForInfo"/>
            </w:pP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5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75089F30" w:rsidR="00CD6848" w:rsidRPr="00617940" w:rsidRDefault="00617940" w:rsidP="00617940">
            <w:r w:rsidRPr="00617940">
              <w:t xml:space="preserve">ITU-T </w:t>
            </w:r>
            <w:r w:rsidR="008A1C33" w:rsidRPr="00617940">
              <w:t xml:space="preserve">SG12 </w:t>
            </w:r>
            <w:r w:rsidRPr="00617940">
              <w:t>meeting (6 December 2018)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5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6822A1DF" w:rsidR="00CD6848" w:rsidRDefault="00AD45A5" w:rsidP="00F05E8B">
            <w:pPr>
              <w:pStyle w:val="LSDeadline"/>
            </w:pPr>
            <w:r>
              <w:t>-</w:t>
            </w:r>
          </w:p>
        </w:tc>
      </w:tr>
      <w:tr w:rsidR="002A11C4" w:rsidRPr="0049090D" w14:paraId="574D4B2C" w14:textId="77777777" w:rsidTr="002E4581">
        <w:trPr>
          <w:cantSplit/>
          <w:trHeight w:val="819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58B756D7" w14:textId="66AA5A55" w:rsidR="002A11C4" w:rsidRPr="00136DDD" w:rsidRDefault="004C430E" w:rsidP="0049622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49622A">
                  <w:rPr>
                    <w:lang w:val="en-US"/>
                  </w:rPr>
                  <w:t xml:space="preserve">Joachim </w:t>
                </w:r>
                <w:proofErr w:type="spellStart"/>
                <w:r w:rsidR="0049622A">
                  <w:rPr>
                    <w:lang w:val="en-US"/>
                  </w:rPr>
                  <w:t>Pomy</w:t>
                </w:r>
                <w:proofErr w:type="spellEnd"/>
                <w:r w:rsidR="00A11720" w:rsidRPr="00136DDD">
                  <w:rPr>
                    <w:lang w:val="en-US"/>
                  </w:rPr>
                  <w:br/>
                </w:r>
                <w:proofErr w:type="spellStart"/>
                <w:r w:rsidR="0049622A">
                  <w:rPr>
                    <w:lang w:val="en-US"/>
                  </w:rPr>
                  <w:t>Opticom</w:t>
                </w:r>
                <w:proofErr w:type="spellEnd"/>
                <w:r w:rsidR="0049622A">
                  <w:rPr>
                    <w:lang w:val="en-US"/>
                  </w:rPr>
                  <w:t xml:space="preserve"> GmbH</w:t>
                </w:r>
                <w:r w:rsidR="00A11720" w:rsidRPr="00136DDD">
                  <w:rPr>
                    <w:lang w:val="en-US"/>
                  </w:rPr>
                  <w:br/>
                </w:r>
                <w:r w:rsidR="0049622A">
                  <w:rPr>
                    <w:lang w:val="en-US"/>
                  </w:rPr>
                  <w:t>Germany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28847CA9" w:rsidR="002A11C4" w:rsidRPr="00061268" w:rsidRDefault="002A11C4" w:rsidP="0049622A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 +</w:t>
                </w:r>
                <w:r w:rsidR="0049622A">
                  <w:rPr>
                    <w:lang w:val="pt-BR"/>
                  </w:rPr>
                  <w:t>49 177 78 71958</w:t>
                </w:r>
                <w:r w:rsidRPr="00061268">
                  <w:rPr>
                    <w:lang w:val="pt-BR"/>
                  </w:rPr>
                  <w:br/>
                  <w:t>Fax: +</w:t>
                </w:r>
                <w:r w:rsidR="0049622A">
                  <w:rPr>
                    <w:lang w:val="pt-BR"/>
                  </w:rPr>
                  <w:t>49 6251 945 4 945</w:t>
                </w:r>
                <w:r w:rsidRPr="00061268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617940" w:rsidRPr="00EA6B95">
                    <w:rPr>
                      <w:rStyle w:val="Hyperlink"/>
                      <w:rFonts w:ascii="Times New Roman" w:hAnsi="Times New Roman"/>
                      <w:lang w:val="pt-BR"/>
                    </w:rPr>
                    <w:t>consultant@joachimpomy.de</w:t>
                  </w:r>
                </w:hyperlink>
                <w:r w:rsidR="00617940">
                  <w:rPr>
                    <w:lang w:val="pt-BR"/>
                  </w:rPr>
                  <w:t xml:space="preserve"> </w:t>
                </w:r>
              </w:p>
            </w:tc>
          </w:sdtContent>
        </w:sdt>
      </w:tr>
      <w:tr w:rsidR="0089088E" w:rsidRPr="00136DDD" w14:paraId="3B2E1AE1" w14:textId="77777777" w:rsidTr="009647CD">
        <w:trPr>
          <w:cantSplit/>
        </w:trPr>
        <w:tc>
          <w:tcPr>
            <w:tcW w:w="1641" w:type="dxa"/>
            <w:gridSpan w:val="4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  <w:gridSpan w:val="4"/>
          </w:tcPr>
          <w:p w14:paraId="75E3B1EF" w14:textId="71F558D7" w:rsidR="0089088E" w:rsidRPr="00136DDD" w:rsidRDefault="004C430E" w:rsidP="005774AA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774AA">
                  <w:t>Definition of broadband access</w:t>
                </w:r>
              </w:sdtContent>
            </w:sdt>
          </w:p>
        </w:tc>
      </w:tr>
      <w:tr w:rsidR="0089088E" w:rsidRPr="00136DDD" w14:paraId="7D0F8B1C" w14:textId="77777777" w:rsidTr="009647CD">
        <w:trPr>
          <w:cantSplit/>
        </w:trPr>
        <w:tc>
          <w:tcPr>
            <w:tcW w:w="1641" w:type="dxa"/>
            <w:gridSpan w:val="4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  <w:gridSpan w:val="4"/>
              </w:tcPr>
              <w:p w14:paraId="4BE3CBD5" w14:textId="5A9D729E" w:rsidR="0089088E" w:rsidRPr="00136DDD" w:rsidRDefault="00D4659A" w:rsidP="00D4659A">
                <w:proofErr w:type="gramStart"/>
                <w:r w:rsidRPr="00D4659A">
                  <w:t xml:space="preserve">Study Group 12 reviewed the topic and strongly recommends to the SCV not </w:t>
                </w:r>
                <w:r w:rsidR="00A5593B">
                  <w:t xml:space="preserve">to </w:t>
                </w:r>
                <w:r w:rsidRPr="00D4659A">
                  <w:t xml:space="preserve">accept either of the </w:t>
                </w:r>
                <w:r>
                  <w:t>proposals</w:t>
                </w:r>
                <w:r w:rsidRPr="00D4659A">
                  <w:t xml:space="preserve"> as common ITU definition.</w:t>
                </w:r>
                <w:proofErr w:type="gramEnd"/>
              </w:p>
            </w:tc>
          </w:sdtContent>
        </w:sdt>
      </w:tr>
    </w:tbl>
    <w:p w14:paraId="6C5E2F68" w14:textId="72731857" w:rsidR="005774AA" w:rsidRPr="00A5593B" w:rsidRDefault="005774AA" w:rsidP="0089088E">
      <w:r w:rsidRPr="00A5593B">
        <w:t xml:space="preserve">It </w:t>
      </w:r>
      <w:proofErr w:type="gramStart"/>
      <w:r w:rsidRPr="00A5593B">
        <w:t>was brought</w:t>
      </w:r>
      <w:proofErr w:type="gramEnd"/>
      <w:r w:rsidRPr="00A5593B">
        <w:t xml:space="preserve"> to the attention</w:t>
      </w:r>
      <w:r w:rsidR="00D4659A" w:rsidRPr="00A5593B">
        <w:t xml:space="preserve"> of SG12</w:t>
      </w:r>
      <w:r w:rsidRPr="00A5593B">
        <w:t xml:space="preserve"> that the SCV is still discussing the harmonization of the term broadband access across the ITU having the following to options on the table:</w:t>
      </w:r>
    </w:p>
    <w:p w14:paraId="0A57D57C" w14:textId="77777777" w:rsidR="005774AA" w:rsidRPr="00A5593B" w:rsidRDefault="005774AA" w:rsidP="005774AA">
      <w:pPr>
        <w:rPr>
          <w:bCs/>
          <w:i/>
          <w:lang w:eastAsia="zh-CN"/>
        </w:rPr>
      </w:pPr>
      <w:r w:rsidRPr="00A5593B">
        <w:rPr>
          <w:b/>
          <w:iCs/>
          <w:lang w:eastAsia="zh-CN"/>
        </w:rPr>
        <w:t xml:space="preserve">[1] </w:t>
      </w:r>
      <w:proofErr w:type="gramStart"/>
      <w:r w:rsidRPr="00A5593B">
        <w:rPr>
          <w:b/>
          <w:iCs/>
          <w:lang w:eastAsia="zh-CN"/>
        </w:rPr>
        <w:t>broadband</w:t>
      </w:r>
      <w:proofErr w:type="gramEnd"/>
      <w:r w:rsidRPr="00A5593B">
        <w:rPr>
          <w:b/>
          <w:iCs/>
          <w:lang w:eastAsia="zh-CN"/>
        </w:rPr>
        <w:t xml:space="preserve"> access</w:t>
      </w:r>
      <w:r w:rsidRPr="00A5593B">
        <w:rPr>
          <w:bCs/>
          <w:iCs/>
          <w:lang w:eastAsia="zh-CN"/>
        </w:rPr>
        <w:t xml:space="preserve">: </w:t>
      </w:r>
      <w:r w:rsidRPr="00A5593B">
        <w:rPr>
          <w:bCs/>
          <w:i/>
          <w:lang w:eastAsia="zh-CN"/>
        </w:rPr>
        <w:t xml:space="preserve">Access in which the connection(s) capabilities support data rates greater than </w:t>
      </w:r>
      <w:bookmarkStart w:id="10" w:name="_Hlk524483466"/>
      <w:r w:rsidRPr="00A5593B">
        <w:rPr>
          <w:bCs/>
          <w:i/>
          <w:lang w:eastAsia="zh-CN"/>
        </w:rPr>
        <w:t>2 Mbit/s</w:t>
      </w:r>
      <w:bookmarkEnd w:id="10"/>
      <w:r w:rsidRPr="00A5593B">
        <w:rPr>
          <w:bCs/>
          <w:i/>
          <w:lang w:eastAsia="zh-CN"/>
        </w:rPr>
        <w:t>.</w:t>
      </w:r>
    </w:p>
    <w:p w14:paraId="626CFDF7" w14:textId="2C634F62" w:rsidR="005774AA" w:rsidRPr="00A5593B" w:rsidRDefault="005774AA" w:rsidP="005774AA">
      <w:pPr>
        <w:rPr>
          <w:i/>
          <w:iCs/>
        </w:rPr>
      </w:pPr>
      <w:r w:rsidRPr="00A5593B">
        <w:rPr>
          <w:b/>
          <w:bCs/>
        </w:rPr>
        <w:t xml:space="preserve">[2] </w:t>
      </w:r>
      <w:proofErr w:type="gramStart"/>
      <w:r w:rsidRPr="00A5593B">
        <w:rPr>
          <w:b/>
          <w:bCs/>
        </w:rPr>
        <w:t>broadband</w:t>
      </w:r>
      <w:proofErr w:type="gramEnd"/>
      <w:r w:rsidRPr="00A5593B">
        <w:rPr>
          <w:b/>
          <w:bCs/>
        </w:rPr>
        <w:t xml:space="preserve"> access: </w:t>
      </w:r>
      <w:r w:rsidRPr="00A5593B">
        <w:rPr>
          <w:i/>
          <w:iCs/>
        </w:rPr>
        <w:t>Access in which the connection(s) capabilities support data rates significantly greater than the narrowband rate access.</w:t>
      </w:r>
    </w:p>
    <w:p w14:paraId="0715AC58" w14:textId="77777777" w:rsidR="00A5593B" w:rsidRPr="00A5593B" w:rsidRDefault="00D4659A" w:rsidP="005774AA">
      <w:pPr>
        <w:rPr>
          <w:iCs/>
        </w:rPr>
      </w:pPr>
      <w:proofErr w:type="gramStart"/>
      <w:r w:rsidRPr="00A5593B">
        <w:rPr>
          <w:iCs/>
        </w:rPr>
        <w:t xml:space="preserve">Study Group 12 reviewed the topic and strongly recommends to the SCV not </w:t>
      </w:r>
      <w:r w:rsidR="00A5593B" w:rsidRPr="00A5593B">
        <w:rPr>
          <w:iCs/>
        </w:rPr>
        <w:t xml:space="preserve">to </w:t>
      </w:r>
      <w:r w:rsidRPr="00A5593B">
        <w:rPr>
          <w:iCs/>
        </w:rPr>
        <w:t>accept either of the above as common ITU definition.</w:t>
      </w:r>
      <w:proofErr w:type="gramEnd"/>
      <w:r w:rsidRPr="00A5593B">
        <w:rPr>
          <w:iCs/>
        </w:rPr>
        <w:t xml:space="preserve"> </w:t>
      </w:r>
    </w:p>
    <w:p w14:paraId="2E45F4F3" w14:textId="77777777" w:rsidR="00A5593B" w:rsidRPr="00A5593B" w:rsidRDefault="00D4659A" w:rsidP="005774AA">
      <w:pPr>
        <w:rPr>
          <w:iCs/>
        </w:rPr>
      </w:pPr>
      <w:r w:rsidRPr="00A5593B">
        <w:rPr>
          <w:iCs/>
        </w:rPr>
        <w:t xml:space="preserve">The term broadband in this context is technically not correct since it refers to what precisely </w:t>
      </w:r>
      <w:proofErr w:type="gramStart"/>
      <w:r w:rsidRPr="00A5593B">
        <w:rPr>
          <w:iCs/>
        </w:rPr>
        <w:t xml:space="preserve">should be </w:t>
      </w:r>
      <w:r w:rsidR="007B4BFF" w:rsidRPr="00A5593B">
        <w:rPr>
          <w:iCs/>
        </w:rPr>
        <w:t>referred</w:t>
      </w:r>
      <w:proofErr w:type="gramEnd"/>
      <w:r w:rsidRPr="00A5593B">
        <w:rPr>
          <w:iCs/>
        </w:rPr>
        <w:t xml:space="preserve"> to as internet access speed. </w:t>
      </w:r>
    </w:p>
    <w:p w14:paraId="5230D7CB" w14:textId="77777777" w:rsidR="00A5593B" w:rsidRPr="00A5593B" w:rsidRDefault="00D4659A" w:rsidP="005774AA">
      <w:pPr>
        <w:rPr>
          <w:iCs/>
        </w:rPr>
      </w:pPr>
      <w:r w:rsidRPr="00A5593B">
        <w:rPr>
          <w:iCs/>
        </w:rPr>
        <w:t xml:space="preserve">SG12 has made great progress in our work to define </w:t>
      </w:r>
      <w:r w:rsidR="007B4BFF" w:rsidRPr="00A5593B">
        <w:rPr>
          <w:iCs/>
        </w:rPr>
        <w:t xml:space="preserve">and harmonize a common Internet </w:t>
      </w:r>
      <w:r w:rsidRPr="00A5593B">
        <w:rPr>
          <w:iCs/>
        </w:rPr>
        <w:t xml:space="preserve">access </w:t>
      </w:r>
      <w:r w:rsidR="007B4BFF" w:rsidRPr="00A5593B">
        <w:rPr>
          <w:iCs/>
        </w:rPr>
        <w:t xml:space="preserve">capacity metric and latency metric with methods of </w:t>
      </w:r>
      <w:r w:rsidRPr="00A5593B">
        <w:rPr>
          <w:iCs/>
        </w:rPr>
        <w:t xml:space="preserve">measurement. </w:t>
      </w:r>
    </w:p>
    <w:p w14:paraId="24CF4319" w14:textId="4CD2E891" w:rsidR="005774AA" w:rsidRPr="00A5593B" w:rsidRDefault="00D4659A" w:rsidP="005774AA">
      <w:r w:rsidRPr="00A5593B">
        <w:rPr>
          <w:iCs/>
        </w:rPr>
        <w:t>Once th</w:t>
      </w:r>
      <w:r w:rsidR="007B4BFF" w:rsidRPr="00A5593B">
        <w:rPr>
          <w:iCs/>
        </w:rPr>
        <w:t>e metrics</w:t>
      </w:r>
      <w:r w:rsidRPr="00A5593B">
        <w:rPr>
          <w:iCs/>
        </w:rPr>
        <w:t xml:space="preserve"> </w:t>
      </w:r>
      <w:r w:rsidR="007B4BFF" w:rsidRPr="00A5593B">
        <w:rPr>
          <w:iCs/>
        </w:rPr>
        <w:t xml:space="preserve">and </w:t>
      </w:r>
      <w:r w:rsidRPr="00A5593B">
        <w:rPr>
          <w:iCs/>
        </w:rPr>
        <w:t>measurement metho</w:t>
      </w:r>
      <w:r w:rsidR="007B4BFF" w:rsidRPr="00A5593B">
        <w:rPr>
          <w:iCs/>
        </w:rPr>
        <w:t xml:space="preserve">ds </w:t>
      </w:r>
      <w:proofErr w:type="gramStart"/>
      <w:r w:rsidR="007B4BFF" w:rsidRPr="00A5593B">
        <w:rPr>
          <w:iCs/>
        </w:rPr>
        <w:t>are</w:t>
      </w:r>
      <w:r w:rsidRPr="00A5593B">
        <w:rPr>
          <w:iCs/>
        </w:rPr>
        <w:t xml:space="preserve"> approved</w:t>
      </w:r>
      <w:proofErr w:type="gramEnd"/>
      <w:r w:rsidRPr="00A5593B">
        <w:rPr>
          <w:iCs/>
        </w:rPr>
        <w:t>, it is up to stakeholders to define their requirements</w:t>
      </w:r>
      <w:r w:rsidR="007B4BFF" w:rsidRPr="00A5593B">
        <w:rPr>
          <w:iCs/>
        </w:rPr>
        <w:t xml:space="preserve"> in these dimensions, and avoid mentioning a numerical limit that will require frequent updates</w:t>
      </w:r>
      <w:r w:rsidRPr="00A5593B">
        <w:rPr>
          <w:iCs/>
        </w:rPr>
        <w:t>.</w:t>
      </w:r>
    </w:p>
    <w:p w14:paraId="2B3B28A6" w14:textId="31FD783D" w:rsidR="00794F4F" w:rsidRPr="00A5593B" w:rsidRDefault="00394DBF" w:rsidP="001200A6">
      <w:pPr>
        <w:jc w:val="center"/>
        <w:rPr>
          <w:u w:val="single"/>
        </w:rPr>
      </w:pPr>
      <w:r w:rsidRPr="00A5593B">
        <w:rPr>
          <w:u w:val="single"/>
        </w:rPr>
        <w:t>_______________________</w:t>
      </w:r>
      <w:bookmarkStart w:id="11" w:name="_GoBack"/>
      <w:bookmarkEnd w:id="11"/>
    </w:p>
    <w:sectPr w:rsidR="00794F4F" w:rsidRPr="00A5593B" w:rsidSect="006E13C7">
      <w:headerReference w:type="default" r:id="rId1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82049" w14:textId="77777777" w:rsidR="0044681A" w:rsidRDefault="0044681A" w:rsidP="00C42125">
      <w:pPr>
        <w:spacing w:before="0"/>
      </w:pPr>
      <w:r>
        <w:separator/>
      </w:r>
    </w:p>
  </w:endnote>
  <w:endnote w:type="continuationSeparator" w:id="0">
    <w:p w14:paraId="4EADBFA4" w14:textId="77777777" w:rsidR="0044681A" w:rsidRDefault="0044681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4F32F" w14:textId="77777777" w:rsidR="0044681A" w:rsidRDefault="0044681A" w:rsidP="00C42125">
      <w:pPr>
        <w:spacing w:before="0"/>
      </w:pPr>
      <w:r>
        <w:separator/>
      </w:r>
    </w:p>
  </w:footnote>
  <w:footnote w:type="continuationSeparator" w:id="0">
    <w:p w14:paraId="57FF7FD1" w14:textId="77777777" w:rsidR="0044681A" w:rsidRDefault="0044681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2ECBE" w14:textId="5562C355" w:rsidR="00617940" w:rsidRPr="006E13C7" w:rsidRDefault="006E13C7" w:rsidP="006E13C7">
    <w:pPr>
      <w:pStyle w:val="Header"/>
      <w:rPr>
        <w:sz w:val="18"/>
      </w:rPr>
    </w:pPr>
    <w:r w:rsidRPr="006E13C7">
      <w:rPr>
        <w:sz w:val="18"/>
      </w:rPr>
      <w:t xml:space="preserve">- </w:t>
    </w:r>
    <w:r w:rsidRPr="006E13C7">
      <w:rPr>
        <w:sz w:val="18"/>
      </w:rPr>
      <w:fldChar w:fldCharType="begin"/>
    </w:r>
    <w:r w:rsidRPr="006E13C7">
      <w:rPr>
        <w:sz w:val="18"/>
      </w:rPr>
      <w:instrText xml:space="preserve"> PAGE  \* MERGEFORMAT </w:instrText>
    </w:r>
    <w:r w:rsidRPr="006E13C7">
      <w:rPr>
        <w:sz w:val="18"/>
      </w:rPr>
      <w:fldChar w:fldCharType="separate"/>
    </w:r>
    <w:r w:rsidR="002E4581">
      <w:rPr>
        <w:noProof/>
        <w:sz w:val="18"/>
      </w:rPr>
      <w:t>2</w:t>
    </w:r>
    <w:r w:rsidRPr="006E13C7">
      <w:rPr>
        <w:sz w:val="18"/>
      </w:rPr>
      <w:fldChar w:fldCharType="end"/>
    </w:r>
    <w:r w:rsidRPr="006E13C7">
      <w:rPr>
        <w:sz w:val="18"/>
      </w:rPr>
      <w:t xml:space="preserve"> -</w:t>
    </w:r>
  </w:p>
  <w:p w14:paraId="506815EA" w14:textId="33C3A04A" w:rsidR="006E13C7" w:rsidRPr="006E13C7" w:rsidRDefault="006E13C7" w:rsidP="006E13C7">
    <w:pPr>
      <w:pStyle w:val="Header"/>
      <w:spacing w:after="240"/>
      <w:rPr>
        <w:sz w:val="18"/>
      </w:rPr>
    </w:pPr>
    <w:r w:rsidRPr="006E13C7">
      <w:rPr>
        <w:sz w:val="18"/>
      </w:rPr>
      <w:fldChar w:fldCharType="begin"/>
    </w:r>
    <w:r w:rsidRPr="006E13C7">
      <w:rPr>
        <w:sz w:val="18"/>
      </w:rPr>
      <w:instrText xml:space="preserve"> STYLEREF  Docnumber  </w:instrText>
    </w:r>
    <w:r>
      <w:rPr>
        <w:sz w:val="18"/>
      </w:rPr>
      <w:fldChar w:fldCharType="separate"/>
    </w:r>
    <w:r w:rsidR="002E4581">
      <w:rPr>
        <w:noProof/>
        <w:sz w:val="18"/>
      </w:rPr>
      <w:t>SCV-TD97</w:t>
    </w:r>
    <w:r w:rsidRPr="006E13C7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3D9A"/>
    <w:rsid w:val="0003582E"/>
    <w:rsid w:val="00043D75"/>
    <w:rsid w:val="00057000"/>
    <w:rsid w:val="00061268"/>
    <w:rsid w:val="000640E0"/>
    <w:rsid w:val="00082222"/>
    <w:rsid w:val="000966A8"/>
    <w:rsid w:val="000A5CA2"/>
    <w:rsid w:val="000C189B"/>
    <w:rsid w:val="000C397B"/>
    <w:rsid w:val="000E6125"/>
    <w:rsid w:val="00113DBE"/>
    <w:rsid w:val="001200A6"/>
    <w:rsid w:val="00124A40"/>
    <w:rsid w:val="001251DA"/>
    <w:rsid w:val="00125432"/>
    <w:rsid w:val="00136DDD"/>
    <w:rsid w:val="00137B8A"/>
    <w:rsid w:val="00137F40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855E7"/>
    <w:rsid w:val="002A11C4"/>
    <w:rsid w:val="002A399B"/>
    <w:rsid w:val="002C26C0"/>
    <w:rsid w:val="002C2BC5"/>
    <w:rsid w:val="002E0407"/>
    <w:rsid w:val="002E3C52"/>
    <w:rsid w:val="002E4581"/>
    <w:rsid w:val="002E79CB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7445"/>
    <w:rsid w:val="003E39A2"/>
    <w:rsid w:val="003E57AB"/>
    <w:rsid w:val="003F2BED"/>
    <w:rsid w:val="00400B49"/>
    <w:rsid w:val="00443878"/>
    <w:rsid w:val="0044681A"/>
    <w:rsid w:val="004539A8"/>
    <w:rsid w:val="004712CA"/>
    <w:rsid w:val="00473782"/>
    <w:rsid w:val="0047422E"/>
    <w:rsid w:val="0049090D"/>
    <w:rsid w:val="00495D52"/>
    <w:rsid w:val="0049622A"/>
    <w:rsid w:val="0049674B"/>
    <w:rsid w:val="004A2365"/>
    <w:rsid w:val="004C0673"/>
    <w:rsid w:val="004C430E"/>
    <w:rsid w:val="004C4E4E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774AA"/>
    <w:rsid w:val="005976A1"/>
    <w:rsid w:val="005A6241"/>
    <w:rsid w:val="005B5629"/>
    <w:rsid w:val="005C0300"/>
    <w:rsid w:val="005C27A2"/>
    <w:rsid w:val="005D4FEB"/>
    <w:rsid w:val="005F4B6A"/>
    <w:rsid w:val="006010F3"/>
    <w:rsid w:val="00615A0A"/>
    <w:rsid w:val="00617940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E13C7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4BFF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623ED"/>
    <w:rsid w:val="00875AA6"/>
    <w:rsid w:val="00880944"/>
    <w:rsid w:val="0089088E"/>
    <w:rsid w:val="00892297"/>
    <w:rsid w:val="008964D6"/>
    <w:rsid w:val="008A1C33"/>
    <w:rsid w:val="008B5123"/>
    <w:rsid w:val="008E0172"/>
    <w:rsid w:val="008F200F"/>
    <w:rsid w:val="008F28BB"/>
    <w:rsid w:val="00926025"/>
    <w:rsid w:val="00936852"/>
    <w:rsid w:val="0094045D"/>
    <w:rsid w:val="009406B5"/>
    <w:rsid w:val="00946166"/>
    <w:rsid w:val="009647CD"/>
    <w:rsid w:val="0097045F"/>
    <w:rsid w:val="00983164"/>
    <w:rsid w:val="009972EF"/>
    <w:rsid w:val="009B5035"/>
    <w:rsid w:val="009C3160"/>
    <w:rsid w:val="009E5DFD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593B"/>
    <w:rsid w:val="00A67A81"/>
    <w:rsid w:val="00A730A6"/>
    <w:rsid w:val="00A971A0"/>
    <w:rsid w:val="00AA1F22"/>
    <w:rsid w:val="00AD45A5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90AD6"/>
    <w:rsid w:val="00BA788A"/>
    <w:rsid w:val="00BB4983"/>
    <w:rsid w:val="00BB7597"/>
    <w:rsid w:val="00BC1DD8"/>
    <w:rsid w:val="00BC2AAB"/>
    <w:rsid w:val="00BC62E2"/>
    <w:rsid w:val="00C37820"/>
    <w:rsid w:val="00C42125"/>
    <w:rsid w:val="00C62814"/>
    <w:rsid w:val="00C67B25"/>
    <w:rsid w:val="00C748F7"/>
    <w:rsid w:val="00C74937"/>
    <w:rsid w:val="00CB2599"/>
    <w:rsid w:val="00CD2139"/>
    <w:rsid w:val="00CD6848"/>
    <w:rsid w:val="00CE5986"/>
    <w:rsid w:val="00CF0EAB"/>
    <w:rsid w:val="00D4659A"/>
    <w:rsid w:val="00D647EF"/>
    <w:rsid w:val="00D73137"/>
    <w:rsid w:val="00D977A2"/>
    <w:rsid w:val="00DA1D47"/>
    <w:rsid w:val="00DD50DE"/>
    <w:rsid w:val="00DE3062"/>
    <w:rsid w:val="00E0581D"/>
    <w:rsid w:val="00E204DD"/>
    <w:rsid w:val="00E353EC"/>
    <w:rsid w:val="00E51F61"/>
    <w:rsid w:val="00E53C24"/>
    <w:rsid w:val="00E56E77"/>
    <w:rsid w:val="00E87795"/>
    <w:rsid w:val="00EB444D"/>
    <w:rsid w:val="00ED5B66"/>
    <w:rsid w:val="00EE5C0D"/>
    <w:rsid w:val="00EF4792"/>
    <w:rsid w:val="00F02294"/>
    <w:rsid w:val="00F243BA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ultant@joachimpomy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50609"/>
    <w:rsid w:val="00061607"/>
    <w:rsid w:val="000D7EE9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841C9F"/>
    <w:rsid w:val="008D554D"/>
    <w:rsid w:val="00947D8D"/>
    <w:rsid w:val="00992675"/>
    <w:rsid w:val="009A4B03"/>
    <w:rsid w:val="009C15DD"/>
    <w:rsid w:val="009F2F69"/>
    <w:rsid w:val="00A3586C"/>
    <w:rsid w:val="00A65845"/>
    <w:rsid w:val="00A8359E"/>
    <w:rsid w:val="00AB0E6C"/>
    <w:rsid w:val="00AB0F92"/>
    <w:rsid w:val="00AD49AA"/>
    <w:rsid w:val="00AF3CAC"/>
    <w:rsid w:val="00B603E6"/>
    <w:rsid w:val="00BF10DB"/>
    <w:rsid w:val="00BF3BC1"/>
    <w:rsid w:val="00C02C21"/>
    <w:rsid w:val="00C27C84"/>
    <w:rsid w:val="00C7519D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44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032D18-D2CC-4B2F-B0BD-1535A6C36DF1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1519</Characters>
  <Application>Microsoft Office Word</Application>
  <DocSecurity>0</DocSecurity>
  <Lines>62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definition of broadband access</vt:lpstr>
    </vt:vector>
  </TitlesOfParts>
  <Manager>ITU-T</Manager>
  <Company>International Telecommunication Union (ITU)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definition of broadband access</dc:title>
  <dc:subject/>
  <dc:creator>ITU-T Study Group 12</dc:creator>
  <cp:keywords>Definition of broadband access</cp:keywords>
  <dc:description>SCV-TD97  For: Virtual, 17 June 2019_x000d_Document date: _x000d_Saved by ITU51011766 at 16:02:06 on 19/02/2019</dc:description>
  <cp:lastModifiedBy>TSB-AC</cp:lastModifiedBy>
  <cp:revision>5</cp:revision>
  <cp:lastPrinted>2016-12-23T12:52:00Z</cp:lastPrinted>
  <dcterms:created xsi:type="dcterms:W3CDTF">2019-02-19T15:01:00Z</dcterms:created>
  <dcterms:modified xsi:type="dcterms:W3CDTF">2019-02-19T15:02:00Z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SCV-TD97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2/12</vt:lpwstr>
  </property>
  <property fmtid="{D5CDD505-2E9C-101B-9397-08002B2CF9AE}" pid="6" name="Docdest">
    <vt:lpwstr>Virtual, 17 June 2019</vt:lpwstr>
  </property>
  <property fmtid="{D5CDD505-2E9C-101B-9397-08002B2CF9AE}" pid="7" name="Docauthor">
    <vt:lpwstr>ITU-T Study Group 12</vt:lpwstr>
  </property>
  <property fmtid="{D5CDD505-2E9C-101B-9397-08002B2CF9AE}" pid="8" name="ContentTypeId">
    <vt:lpwstr>0x01010017487812B7DF734F899F9E259C366837</vt:lpwstr>
  </property>
</Properties>
</file>