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571"/>
        <w:gridCol w:w="4225"/>
      </w:tblGrid>
      <w:tr w:rsidR="00CD3E75" w:rsidRPr="00FE1C0C" w:rsidTr="00D557DA">
        <w:trPr>
          <w:cantSplit/>
        </w:trPr>
        <w:tc>
          <w:tcPr>
            <w:tcW w:w="5188" w:type="dxa"/>
            <w:gridSpan w:val="2"/>
          </w:tcPr>
          <w:p w:rsidR="00CD3E75" w:rsidRPr="00FE1C0C" w:rsidRDefault="00CD3E75" w:rsidP="006F4546">
            <w:pPr>
              <w:rPr>
                <w:rFonts w:asciiTheme="majorBidi" w:hAnsiTheme="majorBidi" w:cstheme="majorBidi"/>
                <w:sz w:val="20"/>
              </w:rPr>
            </w:pPr>
            <w:r w:rsidRPr="00FE1C0C">
              <w:rPr>
                <w:rFonts w:asciiTheme="majorBidi" w:hAnsiTheme="majorBidi" w:cstheme="majorBidi"/>
                <w:sz w:val="20"/>
              </w:rPr>
              <w:t>INTERNATIONAL TELECOMMUNICATION UNION</w:t>
            </w:r>
          </w:p>
        </w:tc>
        <w:tc>
          <w:tcPr>
            <w:tcW w:w="4225" w:type="dxa"/>
          </w:tcPr>
          <w:p w:rsidR="00CD3E75" w:rsidRPr="00FE1C0C" w:rsidRDefault="00CD3E75" w:rsidP="006F4546">
            <w:pPr>
              <w:jc w:val="right"/>
              <w:rPr>
                <w:rFonts w:asciiTheme="majorBidi" w:hAnsiTheme="majorBidi" w:cstheme="majorBidi"/>
                <w:b/>
                <w:bCs/>
                <w:smallCaps/>
                <w:sz w:val="32"/>
              </w:rPr>
            </w:pPr>
            <w:r w:rsidRPr="00FE1C0C">
              <w:rPr>
                <w:rFonts w:asciiTheme="majorBidi" w:hAnsiTheme="majorBidi" w:cstheme="majorBidi"/>
                <w:b/>
                <w:bCs/>
                <w:smallCaps/>
                <w:sz w:val="32"/>
              </w:rPr>
              <w:t>SCV</w:t>
            </w:r>
            <w:r w:rsidR="00D557DA">
              <w:rPr>
                <w:rFonts w:asciiTheme="majorBidi" w:hAnsiTheme="majorBidi" w:cstheme="majorBidi"/>
                <w:b/>
                <w:bCs/>
                <w:smallCaps/>
                <w:sz w:val="32"/>
              </w:rPr>
              <w:t>/CCV</w:t>
            </w:r>
          </w:p>
        </w:tc>
      </w:tr>
      <w:tr w:rsidR="00CD3E75" w:rsidRPr="00FE1C0C" w:rsidTr="00D557DA">
        <w:trPr>
          <w:cantSplit/>
          <w:trHeight w:val="461"/>
        </w:trPr>
        <w:tc>
          <w:tcPr>
            <w:tcW w:w="5188" w:type="dxa"/>
            <w:gridSpan w:val="2"/>
            <w:vMerge w:val="restart"/>
            <w:tcBorders>
              <w:bottom w:val="nil"/>
            </w:tcBorders>
          </w:tcPr>
          <w:p w:rsidR="00CD3E75" w:rsidRPr="00FE1C0C" w:rsidRDefault="00CD3E75" w:rsidP="006F4546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bookmarkStart w:id="0" w:name="dnum" w:colFirst="1" w:colLast="1"/>
            <w:r w:rsidRPr="00FE1C0C">
              <w:rPr>
                <w:rFonts w:asciiTheme="majorBidi" w:hAnsiTheme="majorBidi" w:cstheme="majorBidi"/>
                <w:b/>
                <w:bCs/>
                <w:sz w:val="26"/>
              </w:rPr>
              <w:t>TELECOMMUNICATION</w:t>
            </w:r>
            <w:r w:rsidRPr="00FE1C0C">
              <w:rPr>
                <w:rFonts w:asciiTheme="majorBidi" w:hAnsiTheme="majorBidi" w:cstheme="majorBidi"/>
                <w:b/>
                <w:bCs/>
                <w:sz w:val="26"/>
              </w:rPr>
              <w:br/>
              <w:t>STANDARDIZATION SECTOR</w:t>
            </w:r>
          </w:p>
          <w:p w:rsidR="00CD3E75" w:rsidRPr="00FE1C0C" w:rsidRDefault="00CD3E75" w:rsidP="00E10B0D">
            <w:pPr>
              <w:rPr>
                <w:rFonts w:asciiTheme="majorBidi" w:hAnsiTheme="majorBidi" w:cstheme="majorBidi"/>
                <w:smallCaps/>
                <w:sz w:val="20"/>
              </w:rPr>
            </w:pPr>
            <w:r w:rsidRPr="00FE1C0C">
              <w:rPr>
                <w:rFonts w:asciiTheme="majorBidi" w:hAnsiTheme="majorBidi" w:cstheme="majorBidi"/>
                <w:sz w:val="20"/>
              </w:rPr>
              <w:t>STUDY PERIOD 201</w:t>
            </w:r>
            <w:r w:rsidR="00E10B0D">
              <w:rPr>
                <w:rFonts w:asciiTheme="majorBidi" w:hAnsiTheme="majorBidi" w:cstheme="majorBidi"/>
                <w:sz w:val="20"/>
              </w:rPr>
              <w:t>7</w:t>
            </w:r>
            <w:r w:rsidRPr="00FE1C0C">
              <w:rPr>
                <w:rFonts w:asciiTheme="majorBidi" w:hAnsiTheme="majorBidi" w:cstheme="majorBidi"/>
                <w:sz w:val="20"/>
              </w:rPr>
              <w:t>-20</w:t>
            </w:r>
            <w:r w:rsidR="00E10B0D">
              <w:rPr>
                <w:rFonts w:asciiTheme="majorBidi" w:hAnsiTheme="majorBidi" w:cstheme="majorBidi"/>
                <w:sz w:val="20"/>
              </w:rPr>
              <w:t>20</w:t>
            </w:r>
          </w:p>
        </w:tc>
        <w:tc>
          <w:tcPr>
            <w:tcW w:w="4225" w:type="dxa"/>
            <w:tcBorders>
              <w:bottom w:val="nil"/>
            </w:tcBorders>
          </w:tcPr>
          <w:p w:rsidR="00CD3E75" w:rsidRPr="00D557DA" w:rsidRDefault="00D557DA" w:rsidP="0008258D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557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Addendum 1 to</w:t>
            </w:r>
            <w:r w:rsidRPr="00D557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br/>
            </w:r>
            <w:r w:rsidR="00075E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Pr="00D557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ocument </w:t>
            </w:r>
            <w:r w:rsidR="00075E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TD-</w:t>
            </w:r>
            <w:r w:rsidR="00CD3E75" w:rsidRPr="00D557D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54 </w:t>
            </w:r>
          </w:p>
        </w:tc>
      </w:tr>
      <w:tr w:rsidR="00CD3E75" w:rsidRPr="00FE1C0C" w:rsidTr="00D557DA">
        <w:trPr>
          <w:cantSplit/>
          <w:trHeight w:val="355"/>
        </w:trPr>
        <w:tc>
          <w:tcPr>
            <w:tcW w:w="5188" w:type="dxa"/>
            <w:gridSpan w:val="2"/>
            <w:vMerge/>
            <w:tcBorders>
              <w:bottom w:val="single" w:sz="12" w:space="0" w:color="auto"/>
            </w:tcBorders>
          </w:tcPr>
          <w:p w:rsidR="00CD3E75" w:rsidRPr="00FE1C0C" w:rsidRDefault="00CD3E75" w:rsidP="006F4546">
            <w:pPr>
              <w:rPr>
                <w:rFonts w:asciiTheme="majorBidi" w:hAnsiTheme="majorBidi" w:cstheme="majorBidi"/>
                <w:b/>
                <w:bCs/>
                <w:sz w:val="26"/>
              </w:rPr>
            </w:pPr>
            <w:bookmarkStart w:id="1" w:name="dorlang" w:colFirst="1" w:colLast="1"/>
            <w:bookmarkEnd w:id="0"/>
          </w:p>
        </w:tc>
        <w:tc>
          <w:tcPr>
            <w:tcW w:w="4225" w:type="dxa"/>
            <w:tcBorders>
              <w:bottom w:val="single" w:sz="12" w:space="0" w:color="auto"/>
            </w:tcBorders>
          </w:tcPr>
          <w:p w:rsidR="00CD3E75" w:rsidRPr="00FE1C0C" w:rsidRDefault="00CD3E75" w:rsidP="00D557DA">
            <w:pPr>
              <w:jc w:val="right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FE1C0C">
              <w:rPr>
                <w:rFonts w:asciiTheme="majorBidi" w:hAnsiTheme="majorBidi" w:cstheme="majorBidi"/>
                <w:b/>
                <w:bCs/>
                <w:sz w:val="28"/>
              </w:rPr>
              <w:t>English only</w:t>
            </w:r>
          </w:p>
        </w:tc>
      </w:tr>
      <w:tr w:rsidR="00CD3E75" w:rsidRPr="00FE1C0C" w:rsidTr="00D557DA">
        <w:trPr>
          <w:cantSplit/>
          <w:trHeight w:val="357"/>
        </w:trPr>
        <w:tc>
          <w:tcPr>
            <w:tcW w:w="1617" w:type="dxa"/>
          </w:tcPr>
          <w:p w:rsidR="00CD3E75" w:rsidRPr="00FE1C0C" w:rsidRDefault="00D557DA" w:rsidP="00D557DA">
            <w:pPr>
              <w:rPr>
                <w:rFonts w:asciiTheme="majorBidi" w:hAnsiTheme="majorBidi" w:cstheme="majorBidi"/>
                <w:b/>
                <w:bCs/>
              </w:rPr>
            </w:pPr>
            <w:bookmarkStart w:id="2" w:name="dbluepink" w:colFirst="1" w:colLast="1"/>
            <w:bookmarkStart w:id="3" w:name="dmeeting" w:colFirst="2" w:colLast="2"/>
            <w:bookmarkEnd w:id="1"/>
            <w:r>
              <w:rPr>
                <w:rFonts w:asciiTheme="majorBidi" w:hAnsiTheme="majorBidi" w:cstheme="majorBidi"/>
                <w:b/>
                <w:bCs/>
              </w:rPr>
              <w:t>Subject</w:t>
            </w:r>
            <w:r w:rsidR="00CD3E75" w:rsidRPr="00FE1C0C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3571" w:type="dxa"/>
          </w:tcPr>
          <w:p w:rsidR="00CD3E75" w:rsidRPr="00FE1C0C" w:rsidRDefault="00D557DA" w:rsidP="006F4546">
            <w:pPr>
              <w:rPr>
                <w:rFonts w:asciiTheme="majorBidi" w:hAnsiTheme="majorBidi" w:cstheme="majorBidi"/>
              </w:rPr>
            </w:pPr>
            <w:r w:rsidRPr="0047436F">
              <w:rPr>
                <w:rFonts w:ascii="Verdana" w:hAnsi="Verdana"/>
                <w:sz w:val="20"/>
                <w:lang w:val="en-US"/>
              </w:rPr>
              <w:t>ITU-D Question 2/1</w:t>
            </w:r>
          </w:p>
        </w:tc>
        <w:tc>
          <w:tcPr>
            <w:tcW w:w="4225" w:type="dxa"/>
          </w:tcPr>
          <w:p w:rsidR="00CD3E75" w:rsidRPr="00FE1C0C" w:rsidRDefault="00CD3E75" w:rsidP="00D557DA">
            <w:pPr>
              <w:jc w:val="right"/>
              <w:rPr>
                <w:rFonts w:asciiTheme="majorBidi" w:hAnsiTheme="majorBidi" w:cstheme="majorBidi"/>
              </w:rPr>
            </w:pPr>
            <w:r w:rsidRPr="00FE1C0C">
              <w:rPr>
                <w:rFonts w:asciiTheme="majorBidi" w:hAnsiTheme="majorBidi" w:cstheme="majorBidi"/>
              </w:rPr>
              <w:t xml:space="preserve">Geneva, </w:t>
            </w:r>
            <w:r w:rsidR="00D557DA">
              <w:rPr>
                <w:rFonts w:asciiTheme="majorBidi" w:hAnsiTheme="majorBidi" w:cstheme="majorBidi"/>
              </w:rPr>
              <w:t>7</w:t>
            </w:r>
            <w:r w:rsidRPr="00FE1C0C">
              <w:rPr>
                <w:rFonts w:asciiTheme="majorBidi" w:hAnsiTheme="majorBidi" w:cstheme="majorBidi"/>
              </w:rPr>
              <w:t xml:space="preserve"> December 2016</w:t>
            </w:r>
          </w:p>
        </w:tc>
      </w:tr>
      <w:tr w:rsidR="00CD3E75" w:rsidRPr="00FE1C0C" w:rsidTr="006F4546">
        <w:trPr>
          <w:cantSplit/>
          <w:trHeight w:val="357"/>
        </w:trPr>
        <w:tc>
          <w:tcPr>
            <w:tcW w:w="9413" w:type="dxa"/>
            <w:gridSpan w:val="3"/>
          </w:tcPr>
          <w:p w:rsidR="00CD3E75" w:rsidRPr="00D557DA" w:rsidRDefault="00D557DA" w:rsidP="00D557D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" w:name="dtitle" w:colFirst="0" w:colLast="0"/>
            <w:bookmarkEnd w:id="2"/>
            <w:bookmarkEnd w:id="3"/>
            <w:r w:rsidRPr="00D557DA">
              <w:rPr>
                <w:b/>
                <w:bCs/>
                <w:lang w:eastAsia="zh-CN"/>
              </w:rPr>
              <w:t>Standardization Committee for Vocabulary (SCV)</w:t>
            </w:r>
            <w:r>
              <w:rPr>
                <w:b/>
                <w:bCs/>
                <w:lang w:eastAsia="zh-CN"/>
              </w:rPr>
              <w:br/>
            </w:r>
            <w:r w:rsidRPr="00D557DA">
              <w:rPr>
                <w:b/>
                <w:bCs/>
                <w:lang w:val="en-US" w:eastAsia="zh-CN"/>
              </w:rPr>
              <w:t>Coordination Committee for Vocabulary (CCV)</w:t>
            </w:r>
          </w:p>
        </w:tc>
      </w:tr>
      <w:tr w:rsidR="00CD3E75" w:rsidRPr="00FE1C0C" w:rsidTr="006F4546">
        <w:trPr>
          <w:cantSplit/>
          <w:trHeight w:val="357"/>
        </w:trPr>
        <w:tc>
          <w:tcPr>
            <w:tcW w:w="1617" w:type="dxa"/>
          </w:tcPr>
          <w:p w:rsidR="00CD3E75" w:rsidRPr="00FE1C0C" w:rsidRDefault="00CD3E75" w:rsidP="006F4546">
            <w:pPr>
              <w:rPr>
                <w:rFonts w:asciiTheme="majorBidi" w:hAnsiTheme="majorBidi" w:cstheme="majorBidi"/>
                <w:b/>
                <w:bCs/>
              </w:rPr>
            </w:pPr>
            <w:bookmarkStart w:id="5" w:name="dsource" w:colFirst="1" w:colLast="1"/>
            <w:bookmarkEnd w:id="4"/>
            <w:r w:rsidRPr="00FE1C0C">
              <w:rPr>
                <w:rFonts w:asciiTheme="majorBidi" w:hAnsiTheme="majorBidi" w:cstheme="majorBidi"/>
                <w:b/>
                <w:bCs/>
              </w:rPr>
              <w:t>Source:</w:t>
            </w:r>
          </w:p>
        </w:tc>
        <w:tc>
          <w:tcPr>
            <w:tcW w:w="7796" w:type="dxa"/>
            <w:gridSpan w:val="2"/>
          </w:tcPr>
          <w:p w:rsidR="00CD3E75" w:rsidRPr="00FE1C0C" w:rsidRDefault="00D557DA" w:rsidP="006F4546">
            <w:pPr>
              <w:rPr>
                <w:rFonts w:asciiTheme="majorBidi" w:hAnsiTheme="majorBidi" w:cstheme="majorBidi"/>
              </w:rPr>
            </w:pPr>
            <w:r w:rsidRPr="00D557DA">
              <w:rPr>
                <w:rFonts w:asciiTheme="majorBidi" w:hAnsiTheme="majorBidi" w:cstheme="majorBidi"/>
              </w:rPr>
              <w:t>Documents CCV/12, 13, 15 and 18</w:t>
            </w:r>
          </w:p>
        </w:tc>
      </w:tr>
      <w:tr w:rsidR="00CD3E75" w:rsidRPr="00FE1C0C" w:rsidTr="006F4546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CD3E75" w:rsidRPr="00FE1C0C" w:rsidRDefault="00CD3E75" w:rsidP="006F4546">
            <w:pPr>
              <w:spacing w:after="120"/>
              <w:rPr>
                <w:rFonts w:asciiTheme="majorBidi" w:hAnsiTheme="majorBidi" w:cstheme="majorBidi"/>
              </w:rPr>
            </w:pPr>
            <w:bookmarkStart w:id="6" w:name="dtitle1" w:colFirst="1" w:colLast="1"/>
            <w:bookmarkEnd w:id="5"/>
            <w:r w:rsidRPr="00FE1C0C">
              <w:rPr>
                <w:rFonts w:asciiTheme="majorBidi" w:hAnsiTheme="majorBidi" w:cstheme="majorBidi"/>
                <w:b/>
                <w:bCs/>
              </w:rPr>
              <w:t>Title: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</w:tcPr>
          <w:p w:rsidR="00CD3E75" w:rsidRDefault="00D557DA" w:rsidP="00CD3E75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 xml:space="preserve">draft liaison statement to </w:t>
            </w:r>
            <w:r w:rsidRPr="00AC1ADE">
              <w:rPr>
                <w:lang w:eastAsia="zh-CN"/>
              </w:rPr>
              <w:t>ITU-D Study Group 1 Question 2/1</w:t>
            </w:r>
            <w:r>
              <w:rPr>
                <w:lang w:eastAsia="zh-CN"/>
              </w:rPr>
              <w:t xml:space="preserve">, </w:t>
            </w:r>
            <w:r w:rsidRPr="000F45B1">
              <w:rPr>
                <w:lang w:val="en-US" w:bidi="en-US"/>
              </w:rPr>
              <w:t xml:space="preserve"> </w:t>
            </w:r>
            <w:r w:rsidRPr="000F45B1">
              <w:rPr>
                <w:lang w:eastAsia="zh-CN" w:bidi="en-US"/>
              </w:rPr>
              <w:t>ITU-R Working Part</w:t>
            </w:r>
            <w:r>
              <w:rPr>
                <w:lang w:eastAsia="zh-CN" w:bidi="en-US"/>
              </w:rPr>
              <w:t>ies</w:t>
            </w:r>
            <w:r w:rsidRPr="000F45B1">
              <w:rPr>
                <w:lang w:eastAsia="zh-CN" w:bidi="en-US"/>
              </w:rPr>
              <w:t xml:space="preserve"> 4A</w:t>
            </w:r>
            <w:r>
              <w:rPr>
                <w:lang w:eastAsia="zh-CN" w:bidi="en-US"/>
              </w:rPr>
              <w:t xml:space="preserve">, </w:t>
            </w:r>
            <w:r w:rsidRPr="004D1BAE">
              <w:rPr>
                <w:lang w:eastAsia="zh-CN" w:bidi="en-US"/>
              </w:rPr>
              <w:t>4B</w:t>
            </w:r>
            <w:r>
              <w:rPr>
                <w:lang w:eastAsia="zh-CN" w:bidi="en-US"/>
              </w:rPr>
              <w:t xml:space="preserve">, </w:t>
            </w:r>
            <w:r w:rsidRPr="004D1BAE">
              <w:rPr>
                <w:lang w:eastAsia="zh-CN" w:bidi="en-US"/>
              </w:rPr>
              <w:t>4C</w:t>
            </w:r>
            <w:r>
              <w:rPr>
                <w:lang w:eastAsia="zh-CN" w:bidi="en-US"/>
              </w:rPr>
              <w:t>,</w:t>
            </w:r>
            <w:r w:rsidRPr="004D1BAE">
              <w:rPr>
                <w:lang w:eastAsia="zh-CN" w:bidi="en-US"/>
              </w:rPr>
              <w:t xml:space="preserve"> </w:t>
            </w:r>
            <w:r w:rsidRPr="000F45B1">
              <w:rPr>
                <w:lang w:eastAsia="zh-CN" w:bidi="en-US"/>
              </w:rPr>
              <w:t>5A</w:t>
            </w:r>
            <w:r>
              <w:rPr>
                <w:lang w:eastAsia="zh-CN" w:bidi="en-US"/>
              </w:rPr>
              <w:t xml:space="preserve">, 5B, </w:t>
            </w:r>
            <w:r w:rsidRPr="000F45B1">
              <w:rPr>
                <w:lang w:eastAsia="zh-CN" w:bidi="en-US"/>
              </w:rPr>
              <w:t>5C</w:t>
            </w:r>
            <w:r>
              <w:rPr>
                <w:lang w:eastAsia="zh-CN" w:bidi="en-US"/>
              </w:rPr>
              <w:t xml:space="preserve">, </w:t>
            </w:r>
            <w:r w:rsidRPr="000F45B1">
              <w:rPr>
                <w:lang w:eastAsia="zh-CN" w:bidi="en-US"/>
              </w:rPr>
              <w:t>5D</w:t>
            </w:r>
            <w:r>
              <w:rPr>
                <w:lang w:eastAsia="zh-CN" w:bidi="en-US"/>
              </w:rPr>
              <w:t xml:space="preserve"> and 6A</w:t>
            </w:r>
            <w:r>
              <w:rPr>
                <w:lang w:eastAsia="zh-CN" w:bidi="en-US"/>
              </w:rPr>
              <w:br/>
            </w:r>
            <w:r w:rsidRPr="005F3D97">
              <w:rPr>
                <w:lang w:eastAsia="zh-CN"/>
              </w:rPr>
              <w:t>on broadband definition</w:t>
            </w:r>
          </w:p>
          <w:p w:rsidR="00D557DA" w:rsidRPr="00FE1C0C" w:rsidRDefault="00D557DA" w:rsidP="00CD3E75">
            <w:pPr>
              <w:spacing w:after="120"/>
              <w:rPr>
                <w:rFonts w:asciiTheme="majorBidi" w:hAnsiTheme="majorBidi" w:cstheme="majorBidi"/>
              </w:rPr>
            </w:pPr>
            <w:r w:rsidRPr="00AC1ADE">
              <w:rPr>
                <w:rFonts w:asciiTheme="majorBidi" w:hAnsiTheme="majorBidi" w:cstheme="majorBidi"/>
                <w:b/>
                <w:bCs/>
                <w:szCs w:val="24"/>
              </w:rPr>
              <w:t>Broadband access technologies, including IMT, for developing countries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br/>
            </w:r>
            <w:r w:rsidRPr="00AC1ADE">
              <w:rPr>
                <w:rFonts w:asciiTheme="majorBidi" w:hAnsiTheme="majorBidi" w:cstheme="majorBidi"/>
                <w:b/>
                <w:bCs/>
                <w:szCs w:val="24"/>
              </w:rPr>
              <w:t>What is the definition of Broadband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?</w:t>
            </w:r>
          </w:p>
        </w:tc>
      </w:tr>
    </w:tbl>
    <w:bookmarkEnd w:id="6"/>
    <w:p w:rsidR="00075EB9" w:rsidRDefault="00075EB9" w:rsidP="00075EB9">
      <w:pPr>
        <w:spacing w:before="360"/>
        <w:rPr>
          <w:lang w:eastAsia="zh-CN" w:bidi="en-US"/>
        </w:rPr>
      </w:pPr>
      <w:r w:rsidRPr="004358C9">
        <w:rPr>
          <w:lang w:eastAsia="zh-CN" w:bidi="en-US"/>
        </w:rPr>
        <w:t xml:space="preserve">At the </w:t>
      </w:r>
      <w:r w:rsidRPr="004358C9">
        <w:rPr>
          <w:iCs/>
          <w:lang w:val="en-US" w:eastAsia="zh-CN" w:bidi="en-US"/>
        </w:rPr>
        <w:t xml:space="preserve">joint CCV/SCV </w:t>
      </w:r>
      <w:r>
        <w:rPr>
          <w:iCs/>
          <w:lang w:val="en-US" w:eastAsia="zh-CN" w:bidi="en-US"/>
        </w:rPr>
        <w:t>November</w:t>
      </w:r>
      <w:r w:rsidRPr="004358C9">
        <w:rPr>
          <w:iCs/>
          <w:lang w:val="en-US" w:eastAsia="zh-CN" w:bidi="en-US"/>
        </w:rPr>
        <w:t xml:space="preserve"> 2016 </w:t>
      </w:r>
      <w:r>
        <w:rPr>
          <w:iCs/>
          <w:lang w:val="en-US" w:eastAsia="zh-CN" w:bidi="en-US"/>
        </w:rPr>
        <w:t xml:space="preserve">and January 2017 </w:t>
      </w:r>
      <w:r w:rsidRPr="004358C9">
        <w:rPr>
          <w:iCs/>
          <w:lang w:val="en-US" w:eastAsia="zh-CN" w:bidi="en-US"/>
        </w:rPr>
        <w:t>meeting</w:t>
      </w:r>
      <w:r>
        <w:rPr>
          <w:iCs/>
          <w:lang w:val="en-US" w:eastAsia="zh-CN" w:bidi="en-US"/>
        </w:rPr>
        <w:t>s</w:t>
      </w:r>
      <w:r w:rsidRPr="004358C9">
        <w:rPr>
          <w:lang w:eastAsia="zh-CN" w:bidi="en-US"/>
        </w:rPr>
        <w:t>, the CCV and SCV considered Document</w:t>
      </w:r>
      <w:r>
        <w:rPr>
          <w:lang w:eastAsia="zh-CN" w:bidi="en-US"/>
        </w:rPr>
        <w:t>s</w:t>
      </w:r>
      <w:r w:rsidRPr="004358C9">
        <w:rPr>
          <w:lang w:eastAsia="zh-CN" w:bidi="en-US"/>
        </w:rPr>
        <w:t xml:space="preserve"> </w:t>
      </w:r>
      <w:r w:rsidRPr="001527E0">
        <w:rPr>
          <w:lang w:eastAsia="zh-CN" w:bidi="en-US"/>
        </w:rPr>
        <w:t>CCV/</w:t>
      </w:r>
      <w:hyperlink r:id="rId6" w:history="1">
        <w:r w:rsidRPr="001527E0">
          <w:rPr>
            <w:rStyle w:val="Hyperlink"/>
            <w:lang w:eastAsia="zh-CN" w:bidi="en-US"/>
          </w:rPr>
          <w:t>12</w:t>
        </w:r>
      </w:hyperlink>
      <w:r w:rsidRPr="001527E0">
        <w:rPr>
          <w:lang w:eastAsia="zh-CN" w:bidi="en-US"/>
        </w:rPr>
        <w:t xml:space="preserve">, </w:t>
      </w:r>
      <w:hyperlink r:id="rId7" w:history="1">
        <w:r w:rsidRPr="001527E0">
          <w:rPr>
            <w:rStyle w:val="Hyperlink"/>
            <w:lang w:eastAsia="zh-CN" w:bidi="en-US"/>
          </w:rPr>
          <w:t>13</w:t>
        </w:r>
      </w:hyperlink>
      <w:r w:rsidRPr="001527E0">
        <w:rPr>
          <w:lang w:eastAsia="zh-CN" w:bidi="en-US"/>
        </w:rPr>
        <w:t xml:space="preserve">, </w:t>
      </w:r>
      <w:hyperlink r:id="rId8" w:history="1">
        <w:r w:rsidRPr="001527E0">
          <w:rPr>
            <w:rStyle w:val="Hyperlink"/>
            <w:lang w:eastAsia="zh-CN" w:bidi="en-US"/>
          </w:rPr>
          <w:t>15</w:t>
        </w:r>
      </w:hyperlink>
      <w:r w:rsidRPr="001527E0">
        <w:rPr>
          <w:lang w:eastAsia="zh-CN" w:bidi="en-US"/>
        </w:rPr>
        <w:t xml:space="preserve"> </w:t>
      </w:r>
      <w:r>
        <w:rPr>
          <w:lang w:eastAsia="zh-CN" w:bidi="en-US"/>
        </w:rPr>
        <w:t xml:space="preserve">and </w:t>
      </w:r>
      <w:hyperlink r:id="rId9" w:history="1">
        <w:r w:rsidRPr="001527E0">
          <w:rPr>
            <w:rStyle w:val="Hyperlink"/>
            <w:lang w:eastAsia="zh-CN" w:bidi="en-US"/>
          </w:rPr>
          <w:t>18</w:t>
        </w:r>
      </w:hyperlink>
      <w:r>
        <w:rPr>
          <w:lang w:eastAsia="zh-CN" w:bidi="en-US"/>
        </w:rPr>
        <w:t xml:space="preserve"> on </w:t>
      </w:r>
      <w:r w:rsidRPr="001527E0">
        <w:rPr>
          <w:lang w:eastAsia="zh-CN" w:bidi="en-US"/>
        </w:rPr>
        <w:t xml:space="preserve">the definition of </w:t>
      </w:r>
      <w:r>
        <w:rPr>
          <w:lang w:eastAsia="zh-CN" w:bidi="en-US"/>
        </w:rPr>
        <w:t>the term “b</w:t>
      </w:r>
      <w:r w:rsidRPr="001527E0">
        <w:rPr>
          <w:lang w:eastAsia="zh-CN" w:bidi="en-US"/>
        </w:rPr>
        <w:t>roadband</w:t>
      </w:r>
      <w:r>
        <w:rPr>
          <w:lang w:eastAsia="zh-CN" w:bidi="en-US"/>
        </w:rPr>
        <w:t>”.</w:t>
      </w:r>
    </w:p>
    <w:p w:rsidR="00075EB9" w:rsidRDefault="00075EB9" w:rsidP="00075EB9">
      <w:pPr>
        <w:rPr>
          <w:bCs/>
          <w:iCs/>
          <w:lang w:eastAsia="zh-CN"/>
        </w:rPr>
      </w:pPr>
      <w:r w:rsidRPr="009C6780">
        <w:rPr>
          <w:bCs/>
          <w:iCs/>
          <w:lang w:eastAsia="zh-CN"/>
        </w:rPr>
        <w:t>It was mentioned that further work is required on this issue in order to provide a more general/broad definition that encompasses not only the views of ITU-R but also those of ITU-T in order to have a single ITU definition. It was also mentioned that the term “broadband” is too general and therefore it wouldn’t be appropriate to provide a specific definition that could create some limitations on the use of the term. In that regard, it was suggested as a way forward to consider the term “broadband access” which is more specific and thus more appropriate for a definition.</w:t>
      </w:r>
    </w:p>
    <w:p w:rsidR="00075EB9" w:rsidRPr="00EE73E4" w:rsidRDefault="00075EB9" w:rsidP="00075EB9">
      <w:pPr>
        <w:rPr>
          <w:bCs/>
          <w:iCs/>
          <w:lang w:eastAsia="zh-CN"/>
        </w:rPr>
      </w:pPr>
      <w:r>
        <w:rPr>
          <w:bCs/>
          <w:iCs/>
          <w:lang w:eastAsia="zh-CN"/>
        </w:rPr>
        <w:t>T</w:t>
      </w:r>
      <w:bookmarkStart w:id="7" w:name="_GoBack"/>
      <w:bookmarkEnd w:id="7"/>
      <w:r>
        <w:rPr>
          <w:bCs/>
          <w:iCs/>
          <w:lang w:eastAsia="zh-CN"/>
        </w:rPr>
        <w:t>he meeting further noted that i</w:t>
      </w:r>
      <w:r w:rsidRPr="00EE73E4">
        <w:rPr>
          <w:rFonts w:hint="eastAsia"/>
          <w:bCs/>
          <w:iCs/>
          <w:lang w:eastAsia="zh-CN"/>
        </w:rPr>
        <w:t xml:space="preserve">t appears that </w:t>
      </w:r>
      <w:r w:rsidRPr="00AF33E9">
        <w:rPr>
          <w:bCs/>
          <w:iCs/>
          <w:lang w:eastAsia="zh-CN"/>
        </w:rPr>
        <w:t xml:space="preserve">there has been </w:t>
      </w:r>
      <w:r w:rsidRPr="00AF33E9">
        <w:rPr>
          <w:rFonts w:hint="eastAsia"/>
          <w:bCs/>
          <w:iCs/>
          <w:lang w:eastAsia="zh-CN"/>
        </w:rPr>
        <w:t>some degree of acceptance of a variety of definitions of</w:t>
      </w:r>
      <w:r w:rsidRPr="00AF33E9">
        <w:rPr>
          <w:bCs/>
          <w:iCs/>
          <w:lang w:eastAsia="zh-CN"/>
        </w:rPr>
        <w:t xml:space="preserve"> the term</w:t>
      </w:r>
      <w:r w:rsidRPr="00AF33E9">
        <w:rPr>
          <w:rFonts w:hint="eastAsia"/>
          <w:bCs/>
          <w:iCs/>
          <w:lang w:eastAsia="zh-CN"/>
        </w:rPr>
        <w:t xml:space="preserve"> </w:t>
      </w:r>
      <w:r w:rsidRPr="00AF33E9">
        <w:rPr>
          <w:bCs/>
          <w:iCs/>
          <w:lang w:eastAsia="zh-CN"/>
        </w:rPr>
        <w:t>‘</w:t>
      </w:r>
      <w:r w:rsidRPr="00AF33E9">
        <w:rPr>
          <w:rFonts w:hint="eastAsia"/>
          <w:bCs/>
          <w:iCs/>
          <w:lang w:eastAsia="zh-CN"/>
        </w:rPr>
        <w:t>broadband</w:t>
      </w:r>
      <w:r w:rsidRPr="00AF33E9">
        <w:rPr>
          <w:bCs/>
          <w:iCs/>
          <w:lang w:eastAsia="zh-CN"/>
        </w:rPr>
        <w:t>’; and, this lack of a revised common definition</w:t>
      </w:r>
      <w:r w:rsidRPr="00AF33E9">
        <w:rPr>
          <w:rFonts w:hint="eastAsia"/>
          <w:bCs/>
          <w:iCs/>
          <w:lang w:eastAsia="zh-CN"/>
        </w:rPr>
        <w:t xml:space="preserve"> has not impeded the work of the ITU up to this point.</w:t>
      </w:r>
    </w:p>
    <w:p w:rsidR="00075EB9" w:rsidRDefault="00075EB9" w:rsidP="00075EB9">
      <w:pPr>
        <w:rPr>
          <w:bCs/>
          <w:iCs/>
          <w:lang w:eastAsia="zh-CN"/>
        </w:rPr>
      </w:pPr>
      <w:r w:rsidRPr="009C6780">
        <w:rPr>
          <w:bCs/>
          <w:iCs/>
          <w:lang w:eastAsia="zh-CN"/>
        </w:rPr>
        <w:t>Given the existing similarities between the various provided definitions and/or understandings</w:t>
      </w:r>
      <w:r>
        <w:rPr>
          <w:bCs/>
          <w:iCs/>
          <w:lang w:eastAsia="zh-CN"/>
        </w:rPr>
        <w:t xml:space="preserve"> in </w:t>
      </w:r>
      <w:r w:rsidRPr="009C6780">
        <w:rPr>
          <w:bCs/>
          <w:iCs/>
          <w:lang w:eastAsia="zh-CN"/>
        </w:rPr>
        <w:t>Document</w:t>
      </w:r>
      <w:r>
        <w:rPr>
          <w:bCs/>
          <w:iCs/>
          <w:lang w:eastAsia="zh-CN"/>
        </w:rPr>
        <w:t>s</w:t>
      </w:r>
      <w:r w:rsidRPr="009C6780">
        <w:rPr>
          <w:bCs/>
          <w:iCs/>
          <w:lang w:eastAsia="zh-CN"/>
        </w:rPr>
        <w:t xml:space="preserve"> CCV/</w:t>
      </w:r>
      <w:r>
        <w:rPr>
          <w:bCs/>
          <w:iCs/>
          <w:lang w:eastAsia="zh-CN"/>
        </w:rPr>
        <w:t xml:space="preserve">13, </w:t>
      </w:r>
      <w:r w:rsidRPr="009C6780">
        <w:rPr>
          <w:bCs/>
          <w:iCs/>
          <w:lang w:eastAsia="zh-CN"/>
        </w:rPr>
        <w:t>15</w:t>
      </w:r>
      <w:r>
        <w:rPr>
          <w:bCs/>
          <w:iCs/>
          <w:lang w:eastAsia="zh-CN"/>
        </w:rPr>
        <w:t xml:space="preserve"> and 18</w:t>
      </w:r>
      <w:r w:rsidRPr="009C6780">
        <w:rPr>
          <w:bCs/>
          <w:iCs/>
          <w:lang w:eastAsia="zh-CN"/>
        </w:rPr>
        <w:t>, it was f</w:t>
      </w:r>
      <w:r>
        <w:rPr>
          <w:bCs/>
          <w:iCs/>
          <w:lang w:eastAsia="zh-CN"/>
        </w:rPr>
        <w:t>inally</w:t>
      </w:r>
      <w:r w:rsidRPr="009C6780">
        <w:rPr>
          <w:bCs/>
          <w:iCs/>
          <w:lang w:eastAsia="zh-CN"/>
        </w:rPr>
        <w:t xml:space="preserve"> suggested to try to combine them in a single definition for the term “broadband access”.</w:t>
      </w:r>
    </w:p>
    <w:p w:rsidR="00075EB9" w:rsidRDefault="00075EB9" w:rsidP="00075EB9">
      <w:pPr>
        <w:rPr>
          <w:bCs/>
          <w:iCs/>
          <w:lang w:eastAsia="zh-CN"/>
        </w:rPr>
      </w:pPr>
      <w:r>
        <w:rPr>
          <w:bCs/>
          <w:iCs/>
          <w:lang w:eastAsia="zh-CN"/>
        </w:rPr>
        <w:t xml:space="preserve">Considering the above, one possible </w:t>
      </w:r>
      <w:r w:rsidRPr="00197B38">
        <w:rPr>
          <w:bCs/>
          <w:iCs/>
          <w:lang w:eastAsia="zh-CN"/>
        </w:rPr>
        <w:t>definition for the term “broadband access”</w:t>
      </w:r>
      <w:r>
        <w:rPr>
          <w:bCs/>
          <w:iCs/>
          <w:lang w:eastAsia="zh-CN"/>
        </w:rPr>
        <w:t xml:space="preserve"> would be:</w:t>
      </w:r>
    </w:p>
    <w:p w:rsidR="00075EB9" w:rsidRPr="00762B9E" w:rsidRDefault="00075EB9" w:rsidP="00075EB9">
      <w:pPr>
        <w:rPr>
          <w:bCs/>
          <w:i/>
          <w:lang w:val="en-US" w:eastAsia="zh-CN"/>
        </w:rPr>
      </w:pPr>
      <w:r w:rsidRPr="00762B9E">
        <w:rPr>
          <w:bCs/>
          <w:i/>
          <w:lang w:val="en-US" w:eastAsia="zh-CN"/>
        </w:rPr>
        <w:t>Access in which the connection(s) capabilities support data rat</w:t>
      </w:r>
      <w:r w:rsidRPr="00762B9E">
        <w:rPr>
          <w:bCs/>
          <w:i/>
          <w:lang w:eastAsia="zh-CN"/>
        </w:rPr>
        <w:t xml:space="preserve">es greater than </w:t>
      </w:r>
      <w:r w:rsidRPr="00762B9E">
        <w:rPr>
          <w:bCs/>
          <w:i/>
          <w:lang w:val="en-US" w:eastAsia="zh-CN"/>
        </w:rPr>
        <w:t>2 Mbit/s</w:t>
      </w:r>
      <w:r w:rsidRPr="00762B9E">
        <w:rPr>
          <w:bCs/>
          <w:i/>
          <w:lang w:eastAsia="zh-CN"/>
        </w:rPr>
        <w:t>.</w:t>
      </w:r>
    </w:p>
    <w:p w:rsidR="00075EB9" w:rsidRPr="00FC1EA5" w:rsidRDefault="00075EB9" w:rsidP="00075EB9">
      <w:pPr>
        <w:rPr>
          <w:bCs/>
          <w:iCs/>
        </w:rPr>
      </w:pPr>
      <w:r w:rsidRPr="00FC1EA5">
        <w:rPr>
          <w:bCs/>
          <w:iCs/>
        </w:rPr>
        <w:t>Therefore, b</w:t>
      </w:r>
      <w:r w:rsidRPr="00FC1EA5">
        <w:rPr>
          <w:lang w:val="en-US"/>
        </w:rPr>
        <w:t>y this liaison statement,</w:t>
      </w:r>
      <w:r w:rsidRPr="00FC1EA5">
        <w:rPr>
          <w:bCs/>
          <w:iCs/>
        </w:rPr>
        <w:t xml:space="preserve"> the CCV and SCV would like to </w:t>
      </w:r>
      <w:r>
        <w:rPr>
          <w:bCs/>
          <w:iCs/>
        </w:rPr>
        <w:t xml:space="preserve">provide </w:t>
      </w:r>
      <w:r w:rsidRPr="00FC1EA5">
        <w:rPr>
          <w:bCs/>
          <w:iCs/>
        </w:rPr>
        <w:t>the above</w:t>
      </w:r>
      <w:r w:rsidRPr="00FC1EA5">
        <w:t xml:space="preserve"> comments and suggestions</w:t>
      </w:r>
      <w:r w:rsidRPr="00FC1EA5">
        <w:rPr>
          <w:lang w:eastAsia="zh-CN"/>
        </w:rPr>
        <w:t xml:space="preserve"> </w:t>
      </w:r>
      <w:r>
        <w:rPr>
          <w:lang w:eastAsia="zh-CN"/>
        </w:rPr>
        <w:t xml:space="preserve">for consideration by </w:t>
      </w:r>
      <w:r w:rsidRPr="00FC1EA5">
        <w:rPr>
          <w:lang w:eastAsia="zh-CN"/>
        </w:rPr>
        <w:t>ITU-</w:t>
      </w:r>
      <w:r>
        <w:rPr>
          <w:lang w:eastAsia="zh-CN"/>
        </w:rPr>
        <w:t>D</w:t>
      </w:r>
      <w:r w:rsidRPr="00FC1EA5">
        <w:rPr>
          <w:lang w:eastAsia="zh-CN"/>
        </w:rPr>
        <w:t xml:space="preserve"> Study Group 1 </w:t>
      </w:r>
      <w:r w:rsidRPr="00A578D8">
        <w:rPr>
          <w:lang w:val="en-US" w:eastAsia="zh-CN"/>
        </w:rPr>
        <w:t>Question 2/1</w:t>
      </w:r>
      <w:r>
        <w:rPr>
          <w:lang w:val="en-US" w:eastAsia="zh-CN"/>
        </w:rPr>
        <w:t xml:space="preserve"> as well as </w:t>
      </w:r>
      <w:r w:rsidRPr="000F45B1">
        <w:rPr>
          <w:lang w:eastAsia="zh-CN" w:bidi="en-US"/>
        </w:rPr>
        <w:t>ITU-R Working Part</w:t>
      </w:r>
      <w:r>
        <w:rPr>
          <w:lang w:eastAsia="zh-CN" w:bidi="en-US"/>
        </w:rPr>
        <w:t>ies</w:t>
      </w:r>
      <w:r w:rsidRPr="000F45B1">
        <w:rPr>
          <w:lang w:eastAsia="zh-CN" w:bidi="en-US"/>
        </w:rPr>
        <w:t xml:space="preserve"> 4A</w:t>
      </w:r>
      <w:r>
        <w:rPr>
          <w:lang w:eastAsia="zh-CN" w:bidi="en-US"/>
        </w:rPr>
        <w:t xml:space="preserve">, </w:t>
      </w:r>
      <w:r w:rsidRPr="004D1BAE">
        <w:rPr>
          <w:lang w:eastAsia="zh-CN" w:bidi="en-US"/>
        </w:rPr>
        <w:t>4B</w:t>
      </w:r>
      <w:r>
        <w:rPr>
          <w:lang w:eastAsia="zh-CN" w:bidi="en-US"/>
        </w:rPr>
        <w:t xml:space="preserve">, </w:t>
      </w:r>
      <w:r w:rsidRPr="004D1BAE">
        <w:rPr>
          <w:lang w:eastAsia="zh-CN" w:bidi="en-US"/>
        </w:rPr>
        <w:t>4C</w:t>
      </w:r>
      <w:r>
        <w:rPr>
          <w:lang w:eastAsia="zh-CN" w:bidi="en-US"/>
        </w:rPr>
        <w:t>,</w:t>
      </w:r>
      <w:r w:rsidRPr="004D1BAE">
        <w:rPr>
          <w:lang w:eastAsia="zh-CN" w:bidi="en-US"/>
        </w:rPr>
        <w:t xml:space="preserve"> </w:t>
      </w:r>
      <w:r w:rsidRPr="000F45B1">
        <w:rPr>
          <w:lang w:eastAsia="zh-CN" w:bidi="en-US"/>
        </w:rPr>
        <w:t>5A</w:t>
      </w:r>
      <w:r>
        <w:rPr>
          <w:lang w:eastAsia="zh-CN" w:bidi="en-US"/>
        </w:rPr>
        <w:t xml:space="preserve">, 5B, </w:t>
      </w:r>
      <w:r w:rsidRPr="000F45B1">
        <w:rPr>
          <w:lang w:eastAsia="zh-CN" w:bidi="en-US"/>
        </w:rPr>
        <w:t>5C</w:t>
      </w:r>
      <w:r>
        <w:rPr>
          <w:lang w:eastAsia="zh-CN" w:bidi="en-US"/>
        </w:rPr>
        <w:t xml:space="preserve">, </w:t>
      </w:r>
      <w:r w:rsidRPr="000F45B1">
        <w:rPr>
          <w:lang w:eastAsia="zh-CN" w:bidi="en-US"/>
        </w:rPr>
        <w:t>5D</w:t>
      </w:r>
      <w:r>
        <w:rPr>
          <w:lang w:eastAsia="zh-CN" w:bidi="en-US"/>
        </w:rPr>
        <w:t xml:space="preserve"> and 6A</w:t>
      </w:r>
      <w:r w:rsidRPr="00FC1EA5">
        <w:rPr>
          <w:bCs/>
          <w:iCs/>
        </w:rPr>
        <w:t>.</w:t>
      </w:r>
    </w:p>
    <w:p w:rsidR="00075EB9" w:rsidRPr="00FC1EA5" w:rsidRDefault="00075EB9" w:rsidP="00075EB9">
      <w:pPr>
        <w:rPr>
          <w:iCs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54"/>
      </w:tblGrid>
      <w:tr w:rsidR="00075EB9" w:rsidRPr="00FC1EA5" w:rsidTr="00532B91">
        <w:tc>
          <w:tcPr>
            <w:tcW w:w="4927" w:type="dxa"/>
          </w:tcPr>
          <w:p w:rsidR="00075EB9" w:rsidRPr="00FC1EA5" w:rsidRDefault="00075EB9" w:rsidP="00532B91">
            <w:r w:rsidRPr="00FC1EA5">
              <w:rPr>
                <w:b/>
                <w:bCs/>
              </w:rPr>
              <w:t>Status:</w:t>
            </w:r>
            <w:r w:rsidRPr="00FC1EA5">
              <w:tab/>
              <w:t>For action</w:t>
            </w:r>
          </w:p>
        </w:tc>
        <w:tc>
          <w:tcPr>
            <w:tcW w:w="4928" w:type="dxa"/>
          </w:tcPr>
          <w:p w:rsidR="00075EB9" w:rsidRPr="00FC1EA5" w:rsidRDefault="00075EB9" w:rsidP="00532B91"/>
        </w:tc>
      </w:tr>
      <w:tr w:rsidR="00075EB9" w:rsidRPr="00FC1EA5" w:rsidTr="00532B91">
        <w:tc>
          <w:tcPr>
            <w:tcW w:w="4927" w:type="dxa"/>
          </w:tcPr>
          <w:p w:rsidR="00075EB9" w:rsidRPr="00FC1EA5" w:rsidRDefault="00075EB9" w:rsidP="00532B91">
            <w:r w:rsidRPr="00FC1EA5">
              <w:rPr>
                <w:b/>
                <w:bCs/>
                <w:iCs/>
              </w:rPr>
              <w:t>Contact</w:t>
            </w:r>
            <w:r w:rsidRPr="00FC1EA5">
              <w:t>:</w:t>
            </w:r>
            <w:r w:rsidRPr="00FC1EA5">
              <w:tab/>
              <w:t>M</w:t>
            </w:r>
            <w:r w:rsidRPr="00FC1EA5">
              <w:rPr>
                <w:lang w:val="en-US"/>
              </w:rPr>
              <w:t>r. C. Rissone</w:t>
            </w:r>
          </w:p>
        </w:tc>
        <w:tc>
          <w:tcPr>
            <w:tcW w:w="4928" w:type="dxa"/>
          </w:tcPr>
          <w:p w:rsidR="00075EB9" w:rsidRPr="00FC1EA5" w:rsidRDefault="00075EB9" w:rsidP="00532B91">
            <w:r w:rsidRPr="00FC1EA5">
              <w:rPr>
                <w:b/>
                <w:lang w:val="en-US"/>
              </w:rPr>
              <w:t>E-mail</w:t>
            </w:r>
            <w:r w:rsidRPr="00FC1EA5">
              <w:rPr>
                <w:lang w:val="en-US"/>
              </w:rPr>
              <w:t>:</w:t>
            </w:r>
            <w:r w:rsidRPr="00FC1EA5">
              <w:t xml:space="preserve"> </w:t>
            </w:r>
            <w:r w:rsidRPr="00FC1EA5">
              <w:tab/>
            </w:r>
            <w:hyperlink r:id="rId10" w:history="1">
              <w:r w:rsidRPr="00FC1EA5">
                <w:rPr>
                  <w:color w:val="0000FF"/>
                  <w:u w:val="single"/>
                  <w:lang w:val="en-US"/>
                </w:rPr>
                <w:t>christian.rissone@anfr.fr</w:t>
              </w:r>
            </w:hyperlink>
          </w:p>
        </w:tc>
      </w:tr>
    </w:tbl>
    <w:p w:rsidR="000069D4" w:rsidRPr="00FE1C0C" w:rsidRDefault="000069D4" w:rsidP="00075EB9">
      <w:pPr>
        <w:pStyle w:val="Heading1"/>
        <w:rPr>
          <w:lang w:eastAsia="zh-CN"/>
        </w:rPr>
      </w:pPr>
    </w:p>
    <w:sectPr w:rsidR="000069D4" w:rsidRPr="00FE1C0C" w:rsidSect="00D02712">
      <w:headerReference w:type="default" r:id="rId11"/>
      <w:footerReference w:type="default" r:id="rId1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80" w:rsidRDefault="00035F80">
      <w:r>
        <w:separator/>
      </w:r>
    </w:p>
  </w:endnote>
  <w:endnote w:type="continuationSeparator" w:id="0">
    <w:p w:rsidR="00035F80" w:rsidRDefault="0003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Pr="002F7CB3" w:rsidRDefault="00FA124A" w:rsidP="00D25BAA">
    <w:pPr>
      <w:pStyle w:val="Footer"/>
      <w:rPr>
        <w:lang w:val="en-US"/>
      </w:rPr>
    </w:pPr>
    <w:r w:rsidRPr="002F7CB3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80" w:rsidRDefault="00035F80">
      <w:r>
        <w:t>____________________</w:t>
      </w:r>
    </w:p>
  </w:footnote>
  <w:footnote w:type="continuationSeparator" w:id="0">
    <w:p w:rsidR="00035F80" w:rsidRDefault="0003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075EB9">
      <w:rPr>
        <w:rStyle w:val="PageNumber"/>
        <w:noProof/>
      </w:rPr>
      <w:t>5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:rsidR="00D25BAA" w:rsidRDefault="00D25BAA" w:rsidP="00330567">
    <w:pPr>
      <w:pStyle w:val="Header"/>
      <w:rPr>
        <w:rStyle w:val="PageNumber"/>
      </w:rPr>
    </w:pPr>
    <w:r>
      <w:rPr>
        <w:rStyle w:val="PageNumber"/>
      </w:rPr>
      <w:t>SCV TD54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8"/>
    <w:rsid w:val="00005349"/>
    <w:rsid w:val="00006861"/>
    <w:rsid w:val="000069D4"/>
    <w:rsid w:val="0001243D"/>
    <w:rsid w:val="000174AD"/>
    <w:rsid w:val="000208D1"/>
    <w:rsid w:val="000260A9"/>
    <w:rsid w:val="0003518E"/>
    <w:rsid w:val="00035F80"/>
    <w:rsid w:val="000448DB"/>
    <w:rsid w:val="00047A1D"/>
    <w:rsid w:val="00053A51"/>
    <w:rsid w:val="000604B9"/>
    <w:rsid w:val="00064D7D"/>
    <w:rsid w:val="00066B2E"/>
    <w:rsid w:val="00066D4D"/>
    <w:rsid w:val="00071251"/>
    <w:rsid w:val="0007347C"/>
    <w:rsid w:val="00075EB9"/>
    <w:rsid w:val="000764E1"/>
    <w:rsid w:val="00076EB5"/>
    <w:rsid w:val="0008258D"/>
    <w:rsid w:val="0009164E"/>
    <w:rsid w:val="000946DD"/>
    <w:rsid w:val="00096356"/>
    <w:rsid w:val="000A7D55"/>
    <w:rsid w:val="000B09D8"/>
    <w:rsid w:val="000B43F0"/>
    <w:rsid w:val="000C2E8E"/>
    <w:rsid w:val="000C6A95"/>
    <w:rsid w:val="000E0E7C"/>
    <w:rsid w:val="000F1B4B"/>
    <w:rsid w:val="000F76EC"/>
    <w:rsid w:val="0012744F"/>
    <w:rsid w:val="00131178"/>
    <w:rsid w:val="00132441"/>
    <w:rsid w:val="001328E3"/>
    <w:rsid w:val="001332C0"/>
    <w:rsid w:val="001448BD"/>
    <w:rsid w:val="00152E0B"/>
    <w:rsid w:val="00154998"/>
    <w:rsid w:val="00156F66"/>
    <w:rsid w:val="00160705"/>
    <w:rsid w:val="00163271"/>
    <w:rsid w:val="001646EC"/>
    <w:rsid w:val="00164CCB"/>
    <w:rsid w:val="00166ABB"/>
    <w:rsid w:val="00182528"/>
    <w:rsid w:val="0018500B"/>
    <w:rsid w:val="001928A6"/>
    <w:rsid w:val="00194F0D"/>
    <w:rsid w:val="00196A19"/>
    <w:rsid w:val="001A4BDD"/>
    <w:rsid w:val="001B3D6E"/>
    <w:rsid w:val="001C11F7"/>
    <w:rsid w:val="001D1233"/>
    <w:rsid w:val="001D4D31"/>
    <w:rsid w:val="001D51FC"/>
    <w:rsid w:val="001D6C40"/>
    <w:rsid w:val="001E19C2"/>
    <w:rsid w:val="001E7D3F"/>
    <w:rsid w:val="00202DC1"/>
    <w:rsid w:val="0020768C"/>
    <w:rsid w:val="002116EE"/>
    <w:rsid w:val="00211A81"/>
    <w:rsid w:val="00212B3D"/>
    <w:rsid w:val="0022253B"/>
    <w:rsid w:val="002309D8"/>
    <w:rsid w:val="00236E13"/>
    <w:rsid w:val="0026476A"/>
    <w:rsid w:val="0027518C"/>
    <w:rsid w:val="002765E6"/>
    <w:rsid w:val="00290DC5"/>
    <w:rsid w:val="00295E31"/>
    <w:rsid w:val="002A7FE2"/>
    <w:rsid w:val="002B365F"/>
    <w:rsid w:val="002C1A93"/>
    <w:rsid w:val="002C1EB6"/>
    <w:rsid w:val="002C259C"/>
    <w:rsid w:val="002E055C"/>
    <w:rsid w:val="002E1B4F"/>
    <w:rsid w:val="002E4D19"/>
    <w:rsid w:val="002F2E67"/>
    <w:rsid w:val="002F51CF"/>
    <w:rsid w:val="002F7CB3"/>
    <w:rsid w:val="00305287"/>
    <w:rsid w:val="00315546"/>
    <w:rsid w:val="00330567"/>
    <w:rsid w:val="00332E26"/>
    <w:rsid w:val="0034035A"/>
    <w:rsid w:val="00345B20"/>
    <w:rsid w:val="0034648C"/>
    <w:rsid w:val="00347840"/>
    <w:rsid w:val="003560ED"/>
    <w:rsid w:val="003639F2"/>
    <w:rsid w:val="00366379"/>
    <w:rsid w:val="00371B8D"/>
    <w:rsid w:val="00377CD1"/>
    <w:rsid w:val="00386A9D"/>
    <w:rsid w:val="00391081"/>
    <w:rsid w:val="0039494B"/>
    <w:rsid w:val="00395A06"/>
    <w:rsid w:val="003A4CC8"/>
    <w:rsid w:val="003A5762"/>
    <w:rsid w:val="003B1DC1"/>
    <w:rsid w:val="003B2789"/>
    <w:rsid w:val="003B53AA"/>
    <w:rsid w:val="003C13CE"/>
    <w:rsid w:val="003C221F"/>
    <w:rsid w:val="003C25E8"/>
    <w:rsid w:val="003E2518"/>
    <w:rsid w:val="003E7CEF"/>
    <w:rsid w:val="00401483"/>
    <w:rsid w:val="00401B32"/>
    <w:rsid w:val="00401B63"/>
    <w:rsid w:val="004074BD"/>
    <w:rsid w:val="00412751"/>
    <w:rsid w:val="0042148E"/>
    <w:rsid w:val="00427C8C"/>
    <w:rsid w:val="00432E7D"/>
    <w:rsid w:val="00445A3C"/>
    <w:rsid w:val="00445D61"/>
    <w:rsid w:val="00445EB7"/>
    <w:rsid w:val="0045451B"/>
    <w:rsid w:val="00457CD2"/>
    <w:rsid w:val="00464658"/>
    <w:rsid w:val="0047214C"/>
    <w:rsid w:val="00485D9F"/>
    <w:rsid w:val="00493EFC"/>
    <w:rsid w:val="004A5872"/>
    <w:rsid w:val="004B1EF7"/>
    <w:rsid w:val="004B3FAD"/>
    <w:rsid w:val="004B498A"/>
    <w:rsid w:val="004C02DC"/>
    <w:rsid w:val="004C6E2A"/>
    <w:rsid w:val="004F2D14"/>
    <w:rsid w:val="0050152B"/>
    <w:rsid w:val="00501DCA"/>
    <w:rsid w:val="005112CB"/>
    <w:rsid w:val="00513A47"/>
    <w:rsid w:val="005227B5"/>
    <w:rsid w:val="005306CA"/>
    <w:rsid w:val="005400DD"/>
    <w:rsid w:val="00540597"/>
    <w:rsid w:val="005408DF"/>
    <w:rsid w:val="0055508B"/>
    <w:rsid w:val="00556E47"/>
    <w:rsid w:val="0055748D"/>
    <w:rsid w:val="005654DF"/>
    <w:rsid w:val="00573344"/>
    <w:rsid w:val="0057405B"/>
    <w:rsid w:val="00575E00"/>
    <w:rsid w:val="005818B9"/>
    <w:rsid w:val="00581EDE"/>
    <w:rsid w:val="00583F9B"/>
    <w:rsid w:val="005958CF"/>
    <w:rsid w:val="005B2A0F"/>
    <w:rsid w:val="005C6DBD"/>
    <w:rsid w:val="005E295E"/>
    <w:rsid w:val="005E3A86"/>
    <w:rsid w:val="005E47DA"/>
    <w:rsid w:val="005E4CFA"/>
    <w:rsid w:val="005E5C10"/>
    <w:rsid w:val="005E6B09"/>
    <w:rsid w:val="005F2C78"/>
    <w:rsid w:val="006144E4"/>
    <w:rsid w:val="00625178"/>
    <w:rsid w:val="00627EED"/>
    <w:rsid w:val="0064007D"/>
    <w:rsid w:val="006425B1"/>
    <w:rsid w:val="00650299"/>
    <w:rsid w:val="00655FC5"/>
    <w:rsid w:val="00663C2B"/>
    <w:rsid w:val="00666F38"/>
    <w:rsid w:val="00670E6D"/>
    <w:rsid w:val="006B150F"/>
    <w:rsid w:val="006B2057"/>
    <w:rsid w:val="006B24D1"/>
    <w:rsid w:val="006B437F"/>
    <w:rsid w:val="006B72B8"/>
    <w:rsid w:val="006C40FA"/>
    <w:rsid w:val="006C65B3"/>
    <w:rsid w:val="006E0F30"/>
    <w:rsid w:val="006E14E7"/>
    <w:rsid w:val="00711314"/>
    <w:rsid w:val="0071659D"/>
    <w:rsid w:val="00733094"/>
    <w:rsid w:val="00733B48"/>
    <w:rsid w:val="00747FFE"/>
    <w:rsid w:val="00757044"/>
    <w:rsid w:val="00757084"/>
    <w:rsid w:val="00757748"/>
    <w:rsid w:val="00763C41"/>
    <w:rsid w:val="007650AD"/>
    <w:rsid w:val="00770B54"/>
    <w:rsid w:val="00775105"/>
    <w:rsid w:val="00786C31"/>
    <w:rsid w:val="007953F1"/>
    <w:rsid w:val="007A749F"/>
    <w:rsid w:val="007E3CC9"/>
    <w:rsid w:val="007E7153"/>
    <w:rsid w:val="007F7374"/>
    <w:rsid w:val="0080137E"/>
    <w:rsid w:val="008052CB"/>
    <w:rsid w:val="00807542"/>
    <w:rsid w:val="00810F4D"/>
    <w:rsid w:val="00814E0A"/>
    <w:rsid w:val="00822581"/>
    <w:rsid w:val="00826DC8"/>
    <w:rsid w:val="008309DD"/>
    <w:rsid w:val="008316B2"/>
    <w:rsid w:val="0083207F"/>
    <w:rsid w:val="0083227A"/>
    <w:rsid w:val="00833651"/>
    <w:rsid w:val="008506A7"/>
    <w:rsid w:val="0085629A"/>
    <w:rsid w:val="00862B7B"/>
    <w:rsid w:val="00866900"/>
    <w:rsid w:val="00881BA1"/>
    <w:rsid w:val="00891AB5"/>
    <w:rsid w:val="0089282E"/>
    <w:rsid w:val="00893D3B"/>
    <w:rsid w:val="008A5CF5"/>
    <w:rsid w:val="008B5C84"/>
    <w:rsid w:val="008C26B8"/>
    <w:rsid w:val="008D3E02"/>
    <w:rsid w:val="008E0BC5"/>
    <w:rsid w:val="008E695A"/>
    <w:rsid w:val="008F208F"/>
    <w:rsid w:val="008F3248"/>
    <w:rsid w:val="008F4BC0"/>
    <w:rsid w:val="00911EE6"/>
    <w:rsid w:val="00912EF6"/>
    <w:rsid w:val="00916489"/>
    <w:rsid w:val="009476D5"/>
    <w:rsid w:val="00947E22"/>
    <w:rsid w:val="00947F56"/>
    <w:rsid w:val="0095099F"/>
    <w:rsid w:val="00953356"/>
    <w:rsid w:val="00961AC6"/>
    <w:rsid w:val="0097271C"/>
    <w:rsid w:val="009766AD"/>
    <w:rsid w:val="00980FE2"/>
    <w:rsid w:val="00982084"/>
    <w:rsid w:val="00983CBA"/>
    <w:rsid w:val="00986BBC"/>
    <w:rsid w:val="00995963"/>
    <w:rsid w:val="009A1FD4"/>
    <w:rsid w:val="009A75A7"/>
    <w:rsid w:val="009B14BD"/>
    <w:rsid w:val="009B61EB"/>
    <w:rsid w:val="009C2064"/>
    <w:rsid w:val="009C46C5"/>
    <w:rsid w:val="009C5361"/>
    <w:rsid w:val="009D1697"/>
    <w:rsid w:val="009D4E23"/>
    <w:rsid w:val="009E01F7"/>
    <w:rsid w:val="009E68DF"/>
    <w:rsid w:val="009F0668"/>
    <w:rsid w:val="009F3A46"/>
    <w:rsid w:val="00A004E6"/>
    <w:rsid w:val="00A014F8"/>
    <w:rsid w:val="00A01A20"/>
    <w:rsid w:val="00A06E82"/>
    <w:rsid w:val="00A10E34"/>
    <w:rsid w:val="00A166D0"/>
    <w:rsid w:val="00A16AA3"/>
    <w:rsid w:val="00A27F32"/>
    <w:rsid w:val="00A31DFE"/>
    <w:rsid w:val="00A4617D"/>
    <w:rsid w:val="00A5173C"/>
    <w:rsid w:val="00A61AEF"/>
    <w:rsid w:val="00A72E45"/>
    <w:rsid w:val="00A80F0A"/>
    <w:rsid w:val="00A82F2C"/>
    <w:rsid w:val="00A84BF8"/>
    <w:rsid w:val="00A901E9"/>
    <w:rsid w:val="00A96F13"/>
    <w:rsid w:val="00AA09AE"/>
    <w:rsid w:val="00AC5C95"/>
    <w:rsid w:val="00AD1CF1"/>
    <w:rsid w:val="00AD2345"/>
    <w:rsid w:val="00AE54AC"/>
    <w:rsid w:val="00AF173A"/>
    <w:rsid w:val="00AF4E4C"/>
    <w:rsid w:val="00AF53F5"/>
    <w:rsid w:val="00B066A4"/>
    <w:rsid w:val="00B074D1"/>
    <w:rsid w:val="00B07A13"/>
    <w:rsid w:val="00B13569"/>
    <w:rsid w:val="00B24F58"/>
    <w:rsid w:val="00B32225"/>
    <w:rsid w:val="00B34FD5"/>
    <w:rsid w:val="00B366CB"/>
    <w:rsid w:val="00B42433"/>
    <w:rsid w:val="00B4279B"/>
    <w:rsid w:val="00B45B06"/>
    <w:rsid w:val="00B45FC9"/>
    <w:rsid w:val="00B476F3"/>
    <w:rsid w:val="00B56C01"/>
    <w:rsid w:val="00B60C70"/>
    <w:rsid w:val="00B61AE6"/>
    <w:rsid w:val="00B63B53"/>
    <w:rsid w:val="00B74138"/>
    <w:rsid w:val="00B81138"/>
    <w:rsid w:val="00B97AE5"/>
    <w:rsid w:val="00BB05E6"/>
    <w:rsid w:val="00BB09BA"/>
    <w:rsid w:val="00BB364B"/>
    <w:rsid w:val="00BB44D0"/>
    <w:rsid w:val="00BB4C6B"/>
    <w:rsid w:val="00BB5263"/>
    <w:rsid w:val="00BB7AAF"/>
    <w:rsid w:val="00BC62B8"/>
    <w:rsid w:val="00BC7CCF"/>
    <w:rsid w:val="00BD08B7"/>
    <w:rsid w:val="00BD2101"/>
    <w:rsid w:val="00BD6157"/>
    <w:rsid w:val="00BE470B"/>
    <w:rsid w:val="00BE5D05"/>
    <w:rsid w:val="00BF6CEB"/>
    <w:rsid w:val="00C03160"/>
    <w:rsid w:val="00C24841"/>
    <w:rsid w:val="00C334E3"/>
    <w:rsid w:val="00C34F47"/>
    <w:rsid w:val="00C377ED"/>
    <w:rsid w:val="00C427FF"/>
    <w:rsid w:val="00C47B8E"/>
    <w:rsid w:val="00C57A91"/>
    <w:rsid w:val="00C70B6D"/>
    <w:rsid w:val="00C75AAD"/>
    <w:rsid w:val="00C86E69"/>
    <w:rsid w:val="00CC01C2"/>
    <w:rsid w:val="00CD3E75"/>
    <w:rsid w:val="00CE47FF"/>
    <w:rsid w:val="00CF21F2"/>
    <w:rsid w:val="00CF5D9A"/>
    <w:rsid w:val="00D02712"/>
    <w:rsid w:val="00D046A7"/>
    <w:rsid w:val="00D05A1C"/>
    <w:rsid w:val="00D203FC"/>
    <w:rsid w:val="00D214D0"/>
    <w:rsid w:val="00D21524"/>
    <w:rsid w:val="00D25BAA"/>
    <w:rsid w:val="00D317BB"/>
    <w:rsid w:val="00D31BF4"/>
    <w:rsid w:val="00D40E29"/>
    <w:rsid w:val="00D44267"/>
    <w:rsid w:val="00D45715"/>
    <w:rsid w:val="00D45DE5"/>
    <w:rsid w:val="00D46326"/>
    <w:rsid w:val="00D557DA"/>
    <w:rsid w:val="00D6546B"/>
    <w:rsid w:val="00D83B7D"/>
    <w:rsid w:val="00D84BC5"/>
    <w:rsid w:val="00D87FC2"/>
    <w:rsid w:val="00D91BD7"/>
    <w:rsid w:val="00DB0FFE"/>
    <w:rsid w:val="00DB178B"/>
    <w:rsid w:val="00DB2EE2"/>
    <w:rsid w:val="00DB696D"/>
    <w:rsid w:val="00DC17D3"/>
    <w:rsid w:val="00DC6333"/>
    <w:rsid w:val="00DD3B80"/>
    <w:rsid w:val="00DD4BED"/>
    <w:rsid w:val="00DD51CA"/>
    <w:rsid w:val="00DE0648"/>
    <w:rsid w:val="00DE39F0"/>
    <w:rsid w:val="00DF0478"/>
    <w:rsid w:val="00DF0A54"/>
    <w:rsid w:val="00DF0AF3"/>
    <w:rsid w:val="00DF42AF"/>
    <w:rsid w:val="00DF46E8"/>
    <w:rsid w:val="00DF7E9F"/>
    <w:rsid w:val="00E01488"/>
    <w:rsid w:val="00E10B0D"/>
    <w:rsid w:val="00E16AD3"/>
    <w:rsid w:val="00E2252D"/>
    <w:rsid w:val="00E23165"/>
    <w:rsid w:val="00E27D7E"/>
    <w:rsid w:val="00E4062A"/>
    <w:rsid w:val="00E42E13"/>
    <w:rsid w:val="00E43C93"/>
    <w:rsid w:val="00E444B6"/>
    <w:rsid w:val="00E46533"/>
    <w:rsid w:val="00E533B7"/>
    <w:rsid w:val="00E5663E"/>
    <w:rsid w:val="00E56D5C"/>
    <w:rsid w:val="00E6257C"/>
    <w:rsid w:val="00E63C59"/>
    <w:rsid w:val="00E65FA8"/>
    <w:rsid w:val="00E662DC"/>
    <w:rsid w:val="00E83BCB"/>
    <w:rsid w:val="00EB36B5"/>
    <w:rsid w:val="00EB53FF"/>
    <w:rsid w:val="00ED3638"/>
    <w:rsid w:val="00ED4617"/>
    <w:rsid w:val="00EF5D5B"/>
    <w:rsid w:val="00F12A27"/>
    <w:rsid w:val="00F15C52"/>
    <w:rsid w:val="00F25662"/>
    <w:rsid w:val="00F26375"/>
    <w:rsid w:val="00F31FD0"/>
    <w:rsid w:val="00F37442"/>
    <w:rsid w:val="00F44F9F"/>
    <w:rsid w:val="00F66E20"/>
    <w:rsid w:val="00F71E6F"/>
    <w:rsid w:val="00F804E4"/>
    <w:rsid w:val="00F82D32"/>
    <w:rsid w:val="00F87EC1"/>
    <w:rsid w:val="00F90CDC"/>
    <w:rsid w:val="00FA0D2E"/>
    <w:rsid w:val="00FA124A"/>
    <w:rsid w:val="00FC08DD"/>
    <w:rsid w:val="00FC2316"/>
    <w:rsid w:val="00FC2CFD"/>
    <w:rsid w:val="00FC5140"/>
    <w:rsid w:val="00FD06C9"/>
    <w:rsid w:val="00FD1AB8"/>
    <w:rsid w:val="00FD7523"/>
    <w:rsid w:val="00FE1C0C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864C8C-FDA4-49FB-9C0A-95704577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7F56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47F56"/>
    <w:rPr>
      <w:rFonts w:ascii="Times New Roman" w:hAnsi="Times New Roman"/>
      <w:b/>
      <w:sz w:val="24"/>
      <w:lang w:val="en-GB" w:eastAsia="en-US"/>
    </w:rPr>
  </w:style>
  <w:style w:type="character" w:styleId="Hyperlink">
    <w:name w:val="Hyperlink"/>
    <w:aliases w:val="CEO_Hyperlink"/>
    <w:unhideWhenUsed/>
    <w:rsid w:val="00947F56"/>
    <w:rPr>
      <w:strike w:val="0"/>
      <w:dstrike w:val="0"/>
      <w:color w:val="000099"/>
      <w:u w:val="none"/>
      <w:effect w:val="none"/>
    </w:rPr>
  </w:style>
  <w:style w:type="paragraph" w:customStyle="1" w:styleId="Default">
    <w:name w:val="Default"/>
    <w:rsid w:val="00947F5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64D7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26DC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26DC8"/>
    <w:rPr>
      <w:rFonts w:ascii="Tahoma" w:hAnsi="Tahoma" w:cs="Tahoma"/>
      <w:sz w:val="16"/>
      <w:szCs w:val="16"/>
      <w:lang w:val="en-GB" w:eastAsia="en-US"/>
    </w:rPr>
  </w:style>
  <w:style w:type="paragraph" w:customStyle="1" w:styleId="Char">
    <w:name w:val="(文字) (文字) Char (文字) (文字)"/>
    <w:basedOn w:val="Normal"/>
    <w:rsid w:val="00164CCB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MS Mincho" w:hAnsi="Verdana"/>
      <w:lang w:val="en-US"/>
    </w:rPr>
  </w:style>
  <w:style w:type="table" w:customStyle="1" w:styleId="TableGrid1">
    <w:name w:val="Table Grid1"/>
    <w:basedOn w:val="TableNormal"/>
    <w:next w:val="TableGrid"/>
    <w:rsid w:val="00075EB9"/>
    <w:pPr>
      <w:widowControl w:val="0"/>
      <w:jc w:val="both"/>
    </w:pPr>
    <w:rPr>
      <w:rFonts w:ascii="Century" w:eastAsia="MS Mincho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75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15-CCV-C-0015/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tu.int/md/R15-CCV-C-0013/en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itu.int/md/R15-CCV-C-0012/en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christian.rissone@anfr.f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tu.int/md/R15-CCV-C-0018/e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FCD9D1-1675-4436-8909-C18D14430CF6}"/>
</file>

<file path=customXml/itemProps2.xml><?xml version="1.0" encoding="utf-8"?>
<ds:datastoreItem xmlns:ds="http://schemas.openxmlformats.org/officeDocument/2006/customXml" ds:itemID="{AF2CB3FC-C079-468B-8085-5DCB56758AD8}"/>
</file>

<file path=customXml/itemProps3.xml><?xml version="1.0" encoding="utf-8"?>
<ds:datastoreItem xmlns:ds="http://schemas.openxmlformats.org/officeDocument/2006/customXml" ds:itemID="{AFD8519C-3E1B-4422-B4C3-A3781575AC2F}"/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TSB</cp:lastModifiedBy>
  <cp:revision>4</cp:revision>
  <cp:lastPrinted>2008-02-21T14:04:00Z</cp:lastPrinted>
  <dcterms:created xsi:type="dcterms:W3CDTF">2017-01-09T09:29:00Z</dcterms:created>
  <dcterms:modified xsi:type="dcterms:W3CDTF">2017-01-09T09:38:00Z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0x01010017487812B7DF734F899F9E259C366837</vt:lpwstr>
  </property>
</Properties>
</file>