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07"/>
        <w:gridCol w:w="551"/>
        <w:gridCol w:w="2671"/>
        <w:gridCol w:w="1123"/>
        <w:gridCol w:w="3914"/>
        <w:gridCol w:w="57"/>
      </w:tblGrid>
      <w:tr w:rsidR="00AB0B6F" w:rsidRPr="00AB0B6F" w14:paraId="6857D0F2" w14:textId="77777777" w:rsidTr="00CF632A">
        <w:trPr>
          <w:gridAfter w:val="1"/>
          <w:wAfter w:w="57" w:type="dxa"/>
          <w:cantSplit/>
        </w:trPr>
        <w:tc>
          <w:tcPr>
            <w:tcW w:w="4829" w:type="dxa"/>
            <w:gridSpan w:val="3"/>
          </w:tcPr>
          <w:p w14:paraId="3F9EC077" w14:textId="77777777" w:rsidR="00AB0B6F" w:rsidRPr="00AB0B6F" w:rsidRDefault="00AB0B6F" w:rsidP="00AB0B6F">
            <w:pPr>
              <w:rPr>
                <w:sz w:val="20"/>
              </w:rPr>
            </w:pPr>
            <w:bookmarkStart w:id="0" w:name="dsg" w:colFirst="1" w:colLast="1"/>
            <w:bookmarkStart w:id="1" w:name="dtableau"/>
            <w:r w:rsidRPr="00AB0B6F">
              <w:rPr>
                <w:sz w:val="20"/>
              </w:rPr>
              <w:t>INTERNATIONAL TELECOMMUNICATION UNION</w:t>
            </w:r>
          </w:p>
        </w:tc>
        <w:tc>
          <w:tcPr>
            <w:tcW w:w="5037" w:type="dxa"/>
            <w:gridSpan w:val="2"/>
          </w:tcPr>
          <w:p w14:paraId="484A6029" w14:textId="1DD520BA" w:rsidR="00AB0B6F" w:rsidRPr="00AB0B6F" w:rsidRDefault="00AB0B6F" w:rsidP="00AB0B6F">
            <w:pPr>
              <w:jc w:val="right"/>
              <w:rPr>
                <w:b/>
                <w:bCs/>
                <w:smallCaps/>
                <w:sz w:val="32"/>
              </w:rPr>
            </w:pPr>
            <w:r>
              <w:rPr>
                <w:b/>
                <w:bCs/>
                <w:smallCaps/>
                <w:sz w:val="32"/>
              </w:rPr>
              <w:t>SCV</w:t>
            </w:r>
          </w:p>
        </w:tc>
      </w:tr>
      <w:tr w:rsidR="00AB0B6F" w:rsidRPr="00AB0B6F" w14:paraId="3C93FE4A" w14:textId="77777777" w:rsidTr="00CF632A">
        <w:trPr>
          <w:gridAfter w:val="1"/>
          <w:wAfter w:w="57" w:type="dxa"/>
          <w:cantSplit/>
          <w:trHeight w:val="461"/>
        </w:trPr>
        <w:tc>
          <w:tcPr>
            <w:tcW w:w="4829" w:type="dxa"/>
            <w:gridSpan w:val="3"/>
            <w:vMerge w:val="restart"/>
            <w:tcBorders>
              <w:bottom w:val="nil"/>
            </w:tcBorders>
          </w:tcPr>
          <w:p w14:paraId="0BF7BBC5" w14:textId="77777777" w:rsidR="00AB0B6F" w:rsidRPr="00AB0B6F" w:rsidRDefault="00AB0B6F" w:rsidP="00AB0B6F">
            <w:pPr>
              <w:rPr>
                <w:b/>
                <w:bCs/>
                <w:sz w:val="26"/>
              </w:rPr>
            </w:pPr>
            <w:bookmarkStart w:id="2" w:name="dnum" w:colFirst="1" w:colLast="1"/>
            <w:bookmarkEnd w:id="0"/>
            <w:r w:rsidRPr="00AB0B6F">
              <w:rPr>
                <w:b/>
                <w:bCs/>
                <w:sz w:val="26"/>
              </w:rPr>
              <w:t>TELECOMMUNICATION</w:t>
            </w:r>
            <w:r w:rsidRPr="00AB0B6F">
              <w:rPr>
                <w:b/>
                <w:bCs/>
                <w:sz w:val="26"/>
              </w:rPr>
              <w:br/>
              <w:t>STANDARDIZATION SECTOR</w:t>
            </w:r>
          </w:p>
          <w:p w14:paraId="39EB1E9A" w14:textId="197CAD79" w:rsidR="00AB0B6F" w:rsidRPr="0082384E" w:rsidRDefault="00AB0B6F" w:rsidP="00AB0B6F">
            <w:pPr>
              <w:rPr>
                <w:smallCaps/>
              </w:rPr>
            </w:pPr>
            <w:r w:rsidRPr="0082384E">
              <w:t>Standardization Committee for Vocabulary</w:t>
            </w:r>
          </w:p>
        </w:tc>
        <w:tc>
          <w:tcPr>
            <w:tcW w:w="5037" w:type="dxa"/>
            <w:gridSpan w:val="2"/>
            <w:tcBorders>
              <w:bottom w:val="nil"/>
            </w:tcBorders>
          </w:tcPr>
          <w:p w14:paraId="0C01CFF7" w14:textId="4952DD20" w:rsidR="00AB0B6F" w:rsidRPr="00AB0B6F" w:rsidRDefault="00AB0B6F" w:rsidP="00CF632A">
            <w:pPr>
              <w:pStyle w:val="Docnumber"/>
            </w:pPr>
            <w:r>
              <w:t xml:space="preserve">TD </w:t>
            </w:r>
            <w:r w:rsidR="003E2698">
              <w:t>5</w:t>
            </w:r>
            <w:r w:rsidR="00CF632A">
              <w:t>2</w:t>
            </w:r>
            <w:r>
              <w:t xml:space="preserve"> </w:t>
            </w:r>
          </w:p>
        </w:tc>
      </w:tr>
      <w:tr w:rsidR="00AB0B6F" w:rsidRPr="00AB0B6F" w14:paraId="0D9D2CFB" w14:textId="77777777" w:rsidTr="00CF632A">
        <w:trPr>
          <w:gridAfter w:val="1"/>
          <w:wAfter w:w="57" w:type="dxa"/>
          <w:cantSplit/>
          <w:trHeight w:val="355"/>
        </w:trPr>
        <w:tc>
          <w:tcPr>
            <w:tcW w:w="4829" w:type="dxa"/>
            <w:gridSpan w:val="3"/>
            <w:vMerge/>
            <w:tcBorders>
              <w:bottom w:val="single" w:sz="12" w:space="0" w:color="auto"/>
            </w:tcBorders>
          </w:tcPr>
          <w:p w14:paraId="148F2245" w14:textId="77777777" w:rsidR="00AB0B6F" w:rsidRPr="00AB0B6F" w:rsidRDefault="00AB0B6F" w:rsidP="00AB0B6F">
            <w:pPr>
              <w:rPr>
                <w:b/>
                <w:bCs/>
                <w:sz w:val="26"/>
              </w:rPr>
            </w:pPr>
            <w:bookmarkStart w:id="3" w:name="dorlang" w:colFirst="1" w:colLast="1"/>
            <w:bookmarkEnd w:id="2"/>
          </w:p>
        </w:tc>
        <w:tc>
          <w:tcPr>
            <w:tcW w:w="5037" w:type="dxa"/>
            <w:gridSpan w:val="2"/>
            <w:tcBorders>
              <w:bottom w:val="single" w:sz="12" w:space="0" w:color="auto"/>
            </w:tcBorders>
          </w:tcPr>
          <w:p w14:paraId="12CF70E6" w14:textId="77777777" w:rsidR="00AB0B6F" w:rsidRDefault="00AB0B6F" w:rsidP="00AB0B6F">
            <w:pPr>
              <w:jc w:val="right"/>
              <w:rPr>
                <w:b/>
                <w:bCs/>
                <w:sz w:val="28"/>
              </w:rPr>
            </w:pPr>
            <w:r>
              <w:rPr>
                <w:b/>
                <w:bCs/>
                <w:sz w:val="28"/>
              </w:rPr>
              <w:t>English only</w:t>
            </w:r>
          </w:p>
          <w:p w14:paraId="52226C2F" w14:textId="3B2AE91E" w:rsidR="00AB0B6F" w:rsidRPr="00AB0B6F" w:rsidRDefault="00AB0B6F" w:rsidP="00AB0B6F">
            <w:pPr>
              <w:jc w:val="right"/>
              <w:rPr>
                <w:b/>
                <w:bCs/>
                <w:sz w:val="28"/>
              </w:rPr>
            </w:pPr>
            <w:r>
              <w:rPr>
                <w:b/>
                <w:bCs/>
                <w:sz w:val="28"/>
              </w:rPr>
              <w:t>Original: English</w:t>
            </w:r>
          </w:p>
        </w:tc>
      </w:tr>
      <w:tr w:rsidR="00AB0B6F" w:rsidRPr="00AB0B6F" w14:paraId="2341C626" w14:textId="77777777" w:rsidTr="00CF632A">
        <w:trPr>
          <w:gridAfter w:val="1"/>
          <w:wAfter w:w="57" w:type="dxa"/>
          <w:cantSplit/>
          <w:trHeight w:val="357"/>
        </w:trPr>
        <w:tc>
          <w:tcPr>
            <w:tcW w:w="1607" w:type="dxa"/>
          </w:tcPr>
          <w:p w14:paraId="61D34DDB" w14:textId="035D6B21" w:rsidR="00AB0B6F" w:rsidRPr="00AB0B6F" w:rsidRDefault="00AB0B6F" w:rsidP="00AB0B6F">
            <w:pPr>
              <w:rPr>
                <w:b/>
                <w:bCs/>
              </w:rPr>
            </w:pPr>
            <w:bookmarkStart w:id="4" w:name="dmeeting" w:colFirst="2" w:colLast="2"/>
            <w:bookmarkStart w:id="5" w:name="dbluepink" w:colFirst="1" w:colLast="1"/>
            <w:bookmarkEnd w:id="3"/>
          </w:p>
        </w:tc>
        <w:tc>
          <w:tcPr>
            <w:tcW w:w="3222" w:type="dxa"/>
            <w:gridSpan w:val="2"/>
          </w:tcPr>
          <w:p w14:paraId="025EBF00" w14:textId="77777777" w:rsidR="00AB0B6F" w:rsidRPr="00AB0B6F" w:rsidRDefault="00AB0B6F" w:rsidP="00AB0B6F"/>
        </w:tc>
        <w:tc>
          <w:tcPr>
            <w:tcW w:w="5037" w:type="dxa"/>
            <w:gridSpan w:val="2"/>
          </w:tcPr>
          <w:p w14:paraId="07D220D2" w14:textId="4A2FC96C" w:rsidR="00AB0B6F" w:rsidRPr="00AB0B6F" w:rsidRDefault="003E2698" w:rsidP="00AB0B6F">
            <w:pPr>
              <w:jc w:val="right"/>
            </w:pPr>
            <w:r>
              <w:t>22 November</w:t>
            </w:r>
            <w:r w:rsidR="00AB0B6F" w:rsidRPr="00AB0B6F">
              <w:t xml:space="preserve"> 2016</w:t>
            </w:r>
          </w:p>
        </w:tc>
      </w:tr>
      <w:tr w:rsidR="00AB0B6F" w:rsidRPr="00AB0B6F" w14:paraId="27FA544A" w14:textId="77777777" w:rsidTr="00CF632A">
        <w:trPr>
          <w:gridAfter w:val="1"/>
          <w:wAfter w:w="57" w:type="dxa"/>
          <w:cantSplit/>
          <w:trHeight w:val="357"/>
        </w:trPr>
        <w:tc>
          <w:tcPr>
            <w:tcW w:w="9866" w:type="dxa"/>
            <w:gridSpan w:val="5"/>
          </w:tcPr>
          <w:p w14:paraId="2D5B7092" w14:textId="23B9835A" w:rsidR="00AB0B6F" w:rsidRPr="00AB0B6F" w:rsidRDefault="00AB0B6F" w:rsidP="00AB0B6F">
            <w:pPr>
              <w:jc w:val="center"/>
              <w:rPr>
                <w:b/>
                <w:bCs/>
              </w:rPr>
            </w:pPr>
            <w:bookmarkStart w:id="6" w:name="dtitle" w:colFirst="0" w:colLast="0"/>
            <w:bookmarkEnd w:id="4"/>
            <w:bookmarkEnd w:id="5"/>
            <w:r w:rsidRPr="00AB0B6F">
              <w:rPr>
                <w:b/>
                <w:bCs/>
              </w:rPr>
              <w:t>TD</w:t>
            </w:r>
          </w:p>
        </w:tc>
      </w:tr>
      <w:tr w:rsidR="003E2698" w:rsidRPr="00AB0B6F" w14:paraId="0DFDA2CB" w14:textId="77777777" w:rsidTr="00CF632A">
        <w:trPr>
          <w:gridAfter w:val="1"/>
          <w:wAfter w:w="57" w:type="dxa"/>
          <w:cantSplit/>
          <w:trHeight w:val="357"/>
        </w:trPr>
        <w:tc>
          <w:tcPr>
            <w:tcW w:w="9866" w:type="dxa"/>
            <w:gridSpan w:val="5"/>
          </w:tcPr>
          <w:p w14:paraId="1A000647" w14:textId="5B1515D8" w:rsidR="003E2698" w:rsidRPr="00AB0B6F" w:rsidRDefault="003E2698" w:rsidP="00AB0B6F">
            <w:pPr>
              <w:jc w:val="center"/>
              <w:rPr>
                <w:b/>
                <w:bCs/>
              </w:rPr>
            </w:pPr>
            <w:r>
              <w:rPr>
                <w:b/>
                <w:bCs/>
              </w:rPr>
              <w:t xml:space="preserve">Ref.: </w:t>
            </w:r>
            <w:r w:rsidR="00CF632A" w:rsidRPr="00CF632A">
              <w:rPr>
                <w:b/>
                <w:bCs/>
              </w:rPr>
              <w:t>COM 2 – LS 142 – E</w:t>
            </w:r>
          </w:p>
        </w:tc>
      </w:tr>
      <w:tr w:rsidR="00AB0B6F" w:rsidRPr="00AB0B6F" w14:paraId="42A3A4D3" w14:textId="77777777" w:rsidTr="00CF632A">
        <w:trPr>
          <w:gridAfter w:val="1"/>
          <w:wAfter w:w="57" w:type="dxa"/>
          <w:cantSplit/>
          <w:trHeight w:val="357"/>
        </w:trPr>
        <w:tc>
          <w:tcPr>
            <w:tcW w:w="1607" w:type="dxa"/>
          </w:tcPr>
          <w:p w14:paraId="49806267" w14:textId="77777777" w:rsidR="00AB0B6F" w:rsidRPr="00AB0B6F" w:rsidRDefault="00AB0B6F" w:rsidP="00AB0B6F">
            <w:pPr>
              <w:rPr>
                <w:b/>
                <w:bCs/>
              </w:rPr>
            </w:pPr>
            <w:bookmarkStart w:id="7" w:name="dsource" w:colFirst="1" w:colLast="1"/>
            <w:bookmarkEnd w:id="6"/>
            <w:r w:rsidRPr="00AB0B6F">
              <w:rPr>
                <w:b/>
                <w:bCs/>
              </w:rPr>
              <w:t>Source:</w:t>
            </w:r>
          </w:p>
        </w:tc>
        <w:tc>
          <w:tcPr>
            <w:tcW w:w="8259" w:type="dxa"/>
            <w:gridSpan w:val="4"/>
          </w:tcPr>
          <w:p w14:paraId="5D4BDE7F" w14:textId="6F9400FD" w:rsidR="00AB0B6F" w:rsidRPr="00AB0B6F" w:rsidRDefault="00CF632A" w:rsidP="00AB0B6F">
            <w:r>
              <w:t xml:space="preserve">ITU-T Study Group </w:t>
            </w:r>
            <w:r w:rsidR="003E2698">
              <w:t>2</w:t>
            </w:r>
          </w:p>
        </w:tc>
      </w:tr>
      <w:tr w:rsidR="00AB0B6F" w:rsidRPr="00AB0B6F" w14:paraId="266CD18D" w14:textId="77777777" w:rsidTr="00CF632A">
        <w:trPr>
          <w:gridAfter w:val="1"/>
          <w:wAfter w:w="57" w:type="dxa"/>
          <w:cantSplit/>
          <w:trHeight w:val="357"/>
        </w:trPr>
        <w:tc>
          <w:tcPr>
            <w:tcW w:w="1607" w:type="dxa"/>
            <w:tcBorders>
              <w:bottom w:val="single" w:sz="12" w:space="0" w:color="auto"/>
            </w:tcBorders>
          </w:tcPr>
          <w:p w14:paraId="1AF701B4" w14:textId="77777777" w:rsidR="00AB0B6F" w:rsidRPr="00AB0B6F" w:rsidRDefault="00AB0B6F" w:rsidP="00AB0B6F">
            <w:pPr>
              <w:spacing w:after="120"/>
            </w:pPr>
            <w:bookmarkStart w:id="8" w:name="dtitle1" w:colFirst="1" w:colLast="1"/>
            <w:bookmarkEnd w:id="7"/>
            <w:r w:rsidRPr="00AB0B6F">
              <w:rPr>
                <w:b/>
                <w:bCs/>
              </w:rPr>
              <w:t>Title:</w:t>
            </w:r>
          </w:p>
        </w:tc>
        <w:tc>
          <w:tcPr>
            <w:tcW w:w="8259" w:type="dxa"/>
            <w:gridSpan w:val="4"/>
            <w:tcBorders>
              <w:bottom w:val="single" w:sz="12" w:space="0" w:color="auto"/>
            </w:tcBorders>
          </w:tcPr>
          <w:p w14:paraId="11092212" w14:textId="6EC9FB3A" w:rsidR="00AB0B6F" w:rsidRPr="00AB0B6F" w:rsidRDefault="00CF632A" w:rsidP="00CF632A">
            <w:pPr>
              <w:spacing w:after="120"/>
            </w:pPr>
            <w:r>
              <w:t>LS</w:t>
            </w:r>
            <w:r w:rsidRPr="000A3565">
              <w:t xml:space="preserve"> on ITU-T study group responsibilities in WTSA Resolution 67 (Rev. Dubai, 2012) – Terms and Definitions harmonization</w:t>
            </w:r>
          </w:p>
        </w:tc>
      </w:tr>
      <w:bookmarkEnd w:id="1"/>
      <w:bookmarkEnd w:id="8"/>
      <w:tr w:rsidR="00BA56AC" w:rsidRPr="001C746A" w14:paraId="3DB3EB76" w14:textId="77777777" w:rsidTr="00925A23">
        <w:trPr>
          <w:cantSplit/>
          <w:trHeight w:val="357"/>
        </w:trPr>
        <w:tc>
          <w:tcPr>
            <w:tcW w:w="9923" w:type="dxa"/>
            <w:gridSpan w:val="6"/>
            <w:tcBorders>
              <w:top w:val="single" w:sz="12" w:space="0" w:color="auto"/>
            </w:tcBorders>
          </w:tcPr>
          <w:p w14:paraId="015F3D00" w14:textId="77777777" w:rsidR="00BA56AC" w:rsidRPr="001C746A" w:rsidRDefault="00BA56AC" w:rsidP="00BD33EA">
            <w:pPr>
              <w:jc w:val="center"/>
              <w:rPr>
                <w:b/>
                <w:bCs/>
              </w:rPr>
            </w:pPr>
            <w:r w:rsidRPr="001C746A">
              <w:rPr>
                <w:b/>
                <w:bCs/>
              </w:rPr>
              <w:t>LIAISON STATEMENT</w:t>
            </w:r>
          </w:p>
        </w:tc>
      </w:tr>
      <w:tr w:rsidR="00BA56AC" w:rsidRPr="00CF632A" w14:paraId="14D44EC1" w14:textId="77777777" w:rsidTr="00CF632A">
        <w:trPr>
          <w:cantSplit/>
          <w:trHeight w:val="357"/>
        </w:trPr>
        <w:tc>
          <w:tcPr>
            <w:tcW w:w="2158" w:type="dxa"/>
            <w:gridSpan w:val="2"/>
          </w:tcPr>
          <w:p w14:paraId="3A5CEC21" w14:textId="77777777" w:rsidR="00BA56AC" w:rsidRPr="001C746A" w:rsidRDefault="00BA56AC" w:rsidP="00925A23">
            <w:pPr>
              <w:rPr>
                <w:b/>
                <w:bCs/>
              </w:rPr>
            </w:pPr>
            <w:r w:rsidRPr="001C746A">
              <w:rPr>
                <w:b/>
                <w:bCs/>
              </w:rPr>
              <w:t>For action to:</w:t>
            </w:r>
          </w:p>
        </w:tc>
        <w:tc>
          <w:tcPr>
            <w:tcW w:w="7765" w:type="dxa"/>
            <w:gridSpan w:val="4"/>
          </w:tcPr>
          <w:p w14:paraId="19DB8043" w14:textId="4E27BEE5" w:rsidR="00BA56AC" w:rsidRPr="00CF632A" w:rsidRDefault="00CF632A" w:rsidP="00925A23">
            <w:pPr>
              <w:pStyle w:val="LSForAction"/>
            </w:pPr>
            <w:r w:rsidRPr="005366F6">
              <w:rPr>
                <w:b w:val="0"/>
                <w:bCs w:val="0"/>
              </w:rPr>
              <w:t>All ITU-T SG</w:t>
            </w:r>
            <w:r w:rsidRPr="005366F6">
              <w:rPr>
                <w:rFonts w:hint="eastAsia"/>
                <w:b w:val="0"/>
                <w:bCs w:val="0"/>
                <w:lang w:eastAsia="zh-CN"/>
              </w:rPr>
              <w:t>s</w:t>
            </w:r>
            <w:r>
              <w:rPr>
                <w:b w:val="0"/>
                <w:bCs w:val="0"/>
                <w:lang w:eastAsia="zh-CN"/>
              </w:rPr>
              <w:t>, SCV, CCV</w:t>
            </w:r>
          </w:p>
        </w:tc>
      </w:tr>
      <w:tr w:rsidR="00BA56AC" w:rsidRPr="001C746A" w14:paraId="373F8682" w14:textId="77777777" w:rsidTr="00CF632A">
        <w:trPr>
          <w:cantSplit/>
          <w:trHeight w:val="357"/>
        </w:trPr>
        <w:tc>
          <w:tcPr>
            <w:tcW w:w="2158" w:type="dxa"/>
            <w:gridSpan w:val="2"/>
          </w:tcPr>
          <w:p w14:paraId="2FDDEF5F" w14:textId="77777777" w:rsidR="00BA56AC" w:rsidRPr="001C746A" w:rsidRDefault="00BA56AC" w:rsidP="00925A23">
            <w:pPr>
              <w:rPr>
                <w:b/>
                <w:bCs/>
              </w:rPr>
            </w:pPr>
            <w:r w:rsidRPr="001C746A">
              <w:rPr>
                <w:b/>
                <w:bCs/>
              </w:rPr>
              <w:t>For comment to:</w:t>
            </w:r>
          </w:p>
        </w:tc>
        <w:tc>
          <w:tcPr>
            <w:tcW w:w="7765" w:type="dxa"/>
            <w:gridSpan w:val="4"/>
          </w:tcPr>
          <w:p w14:paraId="7034DE42" w14:textId="77777777" w:rsidR="00BA56AC" w:rsidRPr="001C746A" w:rsidRDefault="009379AF" w:rsidP="00925A23">
            <w:pPr>
              <w:pStyle w:val="LSForComment"/>
            </w:pPr>
            <w:r w:rsidRPr="001C746A">
              <w:t>-</w:t>
            </w:r>
          </w:p>
        </w:tc>
      </w:tr>
      <w:tr w:rsidR="00BA56AC" w:rsidRPr="001C746A" w14:paraId="553A5858" w14:textId="77777777" w:rsidTr="00CF632A">
        <w:trPr>
          <w:cantSplit/>
          <w:trHeight w:val="357"/>
        </w:trPr>
        <w:tc>
          <w:tcPr>
            <w:tcW w:w="2158" w:type="dxa"/>
            <w:gridSpan w:val="2"/>
          </w:tcPr>
          <w:p w14:paraId="1B17FEDF" w14:textId="77777777" w:rsidR="00BA56AC" w:rsidRPr="001C746A" w:rsidRDefault="00BA56AC" w:rsidP="00925A23">
            <w:pPr>
              <w:rPr>
                <w:b/>
                <w:bCs/>
              </w:rPr>
            </w:pPr>
            <w:r w:rsidRPr="001C746A">
              <w:rPr>
                <w:b/>
                <w:bCs/>
              </w:rPr>
              <w:t>For information to:</w:t>
            </w:r>
          </w:p>
        </w:tc>
        <w:tc>
          <w:tcPr>
            <w:tcW w:w="7765" w:type="dxa"/>
            <w:gridSpan w:val="4"/>
          </w:tcPr>
          <w:p w14:paraId="02997C18" w14:textId="7C6DE17A" w:rsidR="00BA56AC" w:rsidRPr="001C746A" w:rsidRDefault="00BA56AC" w:rsidP="00925A23">
            <w:pPr>
              <w:pStyle w:val="LSForInfo"/>
            </w:pPr>
          </w:p>
        </w:tc>
      </w:tr>
      <w:tr w:rsidR="00BA56AC" w:rsidRPr="001C746A" w14:paraId="28791D48" w14:textId="77777777" w:rsidTr="00CF632A">
        <w:trPr>
          <w:cantSplit/>
          <w:trHeight w:val="357"/>
        </w:trPr>
        <w:tc>
          <w:tcPr>
            <w:tcW w:w="2158" w:type="dxa"/>
            <w:gridSpan w:val="2"/>
          </w:tcPr>
          <w:p w14:paraId="3A5C0795" w14:textId="77777777" w:rsidR="00BA56AC" w:rsidRPr="001C746A" w:rsidRDefault="00BA56AC" w:rsidP="00925A23">
            <w:pPr>
              <w:rPr>
                <w:b/>
                <w:bCs/>
              </w:rPr>
            </w:pPr>
            <w:r w:rsidRPr="001C746A">
              <w:rPr>
                <w:b/>
                <w:bCs/>
              </w:rPr>
              <w:t>Approval:</w:t>
            </w:r>
          </w:p>
        </w:tc>
        <w:tc>
          <w:tcPr>
            <w:tcW w:w="7765" w:type="dxa"/>
            <w:gridSpan w:val="4"/>
          </w:tcPr>
          <w:p w14:paraId="779BA0EA" w14:textId="575A10CD" w:rsidR="00BA56AC" w:rsidRPr="00CF632A" w:rsidRDefault="00CF632A" w:rsidP="001C746A">
            <w:r w:rsidRPr="00CF632A">
              <w:t>ITU-T SG2 meeting (Geneva, 23 September 2016)</w:t>
            </w:r>
          </w:p>
        </w:tc>
      </w:tr>
      <w:tr w:rsidR="00BA56AC" w:rsidRPr="001C746A" w14:paraId="677A759C" w14:textId="77777777" w:rsidTr="00CF632A">
        <w:trPr>
          <w:cantSplit/>
          <w:trHeight w:val="357"/>
        </w:trPr>
        <w:tc>
          <w:tcPr>
            <w:tcW w:w="2158" w:type="dxa"/>
            <w:gridSpan w:val="2"/>
            <w:tcBorders>
              <w:bottom w:val="single" w:sz="12" w:space="0" w:color="auto"/>
            </w:tcBorders>
          </w:tcPr>
          <w:p w14:paraId="496518C4" w14:textId="77777777" w:rsidR="00BA56AC" w:rsidRPr="001C746A" w:rsidRDefault="00BA56AC" w:rsidP="00925A23">
            <w:pPr>
              <w:rPr>
                <w:b/>
                <w:bCs/>
              </w:rPr>
            </w:pPr>
            <w:r w:rsidRPr="001C746A">
              <w:rPr>
                <w:b/>
                <w:bCs/>
              </w:rPr>
              <w:t>Deadline:</w:t>
            </w:r>
          </w:p>
        </w:tc>
        <w:tc>
          <w:tcPr>
            <w:tcW w:w="7765" w:type="dxa"/>
            <w:gridSpan w:val="4"/>
            <w:tcBorders>
              <w:bottom w:val="single" w:sz="12" w:space="0" w:color="auto"/>
            </w:tcBorders>
          </w:tcPr>
          <w:p w14:paraId="4673E73A" w14:textId="21945CD3" w:rsidR="00BA56AC" w:rsidRPr="001C746A" w:rsidRDefault="00CF632A" w:rsidP="00925A23">
            <w:pPr>
              <w:pStyle w:val="LSDeadline"/>
            </w:pPr>
            <w:r>
              <w:rPr>
                <w:b w:val="0"/>
                <w:bCs w:val="0"/>
                <w:lang w:eastAsia="zh-CN"/>
              </w:rPr>
              <w:t>1 March</w:t>
            </w:r>
            <w:r>
              <w:rPr>
                <w:rFonts w:hint="eastAsia"/>
                <w:b w:val="0"/>
                <w:bCs w:val="0"/>
                <w:lang w:eastAsia="zh-CN"/>
              </w:rPr>
              <w:t xml:space="preserve"> 201</w:t>
            </w:r>
            <w:r>
              <w:rPr>
                <w:b w:val="0"/>
                <w:bCs w:val="0"/>
                <w:lang w:eastAsia="zh-CN"/>
              </w:rPr>
              <w:t>7</w:t>
            </w:r>
          </w:p>
        </w:tc>
      </w:tr>
      <w:tr w:rsidR="009379AF" w:rsidRPr="001C746A" w14:paraId="4FDBF372" w14:textId="77777777" w:rsidTr="00CF632A">
        <w:trPr>
          <w:cantSplit/>
          <w:trHeight w:val="204"/>
        </w:trPr>
        <w:tc>
          <w:tcPr>
            <w:tcW w:w="1607" w:type="dxa"/>
            <w:tcBorders>
              <w:top w:val="single" w:sz="12" w:space="0" w:color="auto"/>
            </w:tcBorders>
          </w:tcPr>
          <w:p w14:paraId="5FFEBDD5" w14:textId="77777777" w:rsidR="009379AF" w:rsidRPr="001C746A" w:rsidRDefault="009379AF" w:rsidP="009379AF">
            <w:pPr>
              <w:rPr>
                <w:b/>
                <w:bCs/>
              </w:rPr>
            </w:pPr>
            <w:r w:rsidRPr="001C746A">
              <w:rPr>
                <w:b/>
                <w:bCs/>
              </w:rPr>
              <w:t>Contact:</w:t>
            </w:r>
          </w:p>
        </w:tc>
        <w:tc>
          <w:tcPr>
            <w:tcW w:w="4345" w:type="dxa"/>
            <w:gridSpan w:val="3"/>
            <w:tcBorders>
              <w:top w:val="single" w:sz="12" w:space="0" w:color="auto"/>
            </w:tcBorders>
          </w:tcPr>
          <w:p w14:paraId="00546136" w14:textId="77777777" w:rsidR="00CF632A" w:rsidRPr="00764464" w:rsidRDefault="00CF632A" w:rsidP="00CF632A">
            <w:r w:rsidRPr="00764464">
              <w:t>Dmitry Cherkesov</w:t>
            </w:r>
          </w:p>
          <w:p w14:paraId="4AC57E41" w14:textId="402206D2" w:rsidR="009379AF" w:rsidRPr="003E2698" w:rsidRDefault="00CF632A" w:rsidP="00CF632A">
            <w:pPr>
              <w:spacing w:before="0"/>
            </w:pPr>
            <w:r>
              <w:t>SCV Rapporteur</w:t>
            </w:r>
          </w:p>
        </w:tc>
        <w:tc>
          <w:tcPr>
            <w:tcW w:w="3971" w:type="dxa"/>
            <w:gridSpan w:val="2"/>
            <w:tcBorders>
              <w:top w:val="single" w:sz="12" w:space="0" w:color="auto"/>
            </w:tcBorders>
          </w:tcPr>
          <w:p w14:paraId="26615C36" w14:textId="77777777" w:rsidR="00CF632A" w:rsidRPr="00764464" w:rsidRDefault="00CF632A" w:rsidP="00CF632A">
            <w:r w:rsidRPr="00764464">
              <w:t xml:space="preserve">Tel: </w:t>
            </w:r>
            <w:r w:rsidRPr="00764464">
              <w:tab/>
              <w:t>+7 499 709 01 11, ext.5424</w:t>
            </w:r>
          </w:p>
          <w:p w14:paraId="3A46B73B" w14:textId="77777777" w:rsidR="00CF632A" w:rsidRDefault="00CF632A" w:rsidP="00CF632A">
            <w:pPr>
              <w:spacing w:before="0"/>
            </w:pPr>
            <w:r>
              <w:t xml:space="preserve">Fax: </w:t>
            </w:r>
            <w:r>
              <w:tab/>
              <w:t>+7 499 709 01 00</w:t>
            </w:r>
          </w:p>
          <w:p w14:paraId="15895058" w14:textId="45F01AD0" w:rsidR="009379AF" w:rsidRPr="001C746A" w:rsidRDefault="00CF632A" w:rsidP="00CF632A">
            <w:pPr>
              <w:spacing w:before="0"/>
            </w:pPr>
            <w:r w:rsidRPr="00764464">
              <w:t xml:space="preserve">Email: </w:t>
            </w:r>
            <w:r w:rsidRPr="00764464">
              <w:tab/>
            </w:r>
            <w:hyperlink r:id="rId7" w:history="1">
              <w:r w:rsidRPr="00764464">
                <w:rPr>
                  <w:rStyle w:val="Hyperlink"/>
                </w:rPr>
                <w:t>dcherkesov@mtt.ru</w:t>
              </w:r>
            </w:hyperlink>
          </w:p>
        </w:tc>
      </w:tr>
      <w:tr w:rsidR="009379AF" w:rsidRPr="001C746A" w14:paraId="484FDB62" w14:textId="77777777" w:rsidTr="00925A23">
        <w:trPr>
          <w:cantSplit/>
          <w:trHeight w:val="204"/>
        </w:trPr>
        <w:tc>
          <w:tcPr>
            <w:tcW w:w="9923" w:type="dxa"/>
            <w:gridSpan w:val="6"/>
            <w:tcBorders>
              <w:top w:val="single" w:sz="12" w:space="0" w:color="auto"/>
            </w:tcBorders>
          </w:tcPr>
          <w:p w14:paraId="44172E16" w14:textId="4A27E5F5" w:rsidR="009379AF" w:rsidRPr="001C746A" w:rsidRDefault="009379AF" w:rsidP="005E33DC">
            <w:pPr>
              <w:spacing w:before="0"/>
              <w:rPr>
                <w:sz w:val="18"/>
              </w:rPr>
            </w:pPr>
          </w:p>
        </w:tc>
      </w:tr>
    </w:tbl>
    <w:p w14:paraId="769A9DC2" w14:textId="77777777" w:rsidR="00CF632A" w:rsidRPr="00A71DE3" w:rsidRDefault="00CF632A" w:rsidP="00CF632A">
      <w:pPr>
        <w:jc w:val="both"/>
        <w:rPr>
          <w:rFonts w:asciiTheme="majorBidi" w:hAnsiTheme="majorBidi" w:cstheme="majorBidi"/>
        </w:rPr>
      </w:pPr>
      <w:r w:rsidRPr="00A71DE3">
        <w:rPr>
          <w:rFonts w:asciiTheme="majorBidi" w:eastAsia="MS Mincho" w:hAnsiTheme="majorBidi" w:cstheme="majorBidi"/>
        </w:rPr>
        <w:t xml:space="preserve">Considering the importance of harmonizing the terms and definitions across study groups and across Sectors, </w:t>
      </w:r>
      <w:r w:rsidRPr="00A71DE3">
        <w:rPr>
          <w:rFonts w:asciiTheme="majorBidi" w:hAnsiTheme="majorBidi" w:cstheme="majorBidi"/>
        </w:rPr>
        <w:t xml:space="preserve">SG2 would like to inform </w:t>
      </w:r>
      <w:r w:rsidRPr="00A71DE3">
        <w:rPr>
          <w:rFonts w:asciiTheme="majorBidi" w:eastAsia="MS Mincho" w:hAnsiTheme="majorBidi" w:cstheme="majorBidi"/>
        </w:rPr>
        <w:t>the Standardization Committee for Vocabulary (SCV)</w:t>
      </w:r>
      <w:r w:rsidRPr="00A71DE3">
        <w:rPr>
          <w:rFonts w:asciiTheme="majorBidi" w:hAnsiTheme="majorBidi" w:cstheme="majorBidi"/>
        </w:rPr>
        <w:t xml:space="preserve">, </w:t>
      </w:r>
      <w:r w:rsidRPr="00A71DE3">
        <w:rPr>
          <w:rFonts w:asciiTheme="majorBidi" w:hAnsiTheme="majorBidi" w:cstheme="majorBidi"/>
          <w:lang w:eastAsia="zh-CN"/>
        </w:rPr>
        <w:t>Coordination Committee for Vocabulary (CCV)</w:t>
      </w:r>
      <w:r w:rsidRPr="00A71DE3">
        <w:rPr>
          <w:rFonts w:asciiTheme="majorBidi" w:eastAsia="MS Mincho" w:hAnsiTheme="majorBidi" w:cstheme="majorBidi"/>
        </w:rPr>
        <w:t xml:space="preserve"> </w:t>
      </w:r>
      <w:r w:rsidRPr="00A71DE3">
        <w:rPr>
          <w:rFonts w:asciiTheme="majorBidi" w:hAnsiTheme="majorBidi" w:cstheme="majorBidi"/>
        </w:rPr>
        <w:t>and all SGs about new activities concerning terms and definitions in our Work programme Recommendations since the last SG2 meeting in March 2015.</w:t>
      </w:r>
    </w:p>
    <w:p w14:paraId="24A314A3" w14:textId="77777777" w:rsidR="00CF632A" w:rsidRPr="00A71DE3" w:rsidRDefault="00CF632A" w:rsidP="00CF632A">
      <w:pPr>
        <w:rPr>
          <w:rFonts w:asciiTheme="majorBidi" w:hAnsiTheme="majorBidi" w:cstheme="majorBidi"/>
        </w:rPr>
      </w:pPr>
      <w:r w:rsidRPr="00A71DE3">
        <w:rPr>
          <w:rFonts w:asciiTheme="majorBidi" w:hAnsiTheme="majorBidi" w:cstheme="majorBidi"/>
          <w:b/>
        </w:rPr>
        <w:t>SG2 encourage</w:t>
      </w:r>
      <w:r w:rsidRPr="00A71DE3">
        <w:rPr>
          <w:rFonts w:asciiTheme="majorBidi" w:hAnsiTheme="majorBidi" w:cstheme="majorBidi"/>
        </w:rPr>
        <w:t xml:space="preserve"> all interested parties to check possible overlapping and inform us (if so) to begin its alignment/adaptation.</w:t>
      </w:r>
    </w:p>
    <w:p w14:paraId="1F5B801E" w14:textId="77777777" w:rsidR="00CF632A" w:rsidRPr="00A71DE3" w:rsidRDefault="00CF632A" w:rsidP="00CF632A">
      <w:pPr>
        <w:rPr>
          <w:rFonts w:asciiTheme="majorBidi" w:hAnsiTheme="majorBidi" w:cstheme="majorBidi"/>
          <w:b/>
        </w:rPr>
      </w:pPr>
    </w:p>
    <w:p w14:paraId="144EBCA4" w14:textId="77777777" w:rsidR="00CF632A" w:rsidRPr="00A71DE3" w:rsidRDefault="00CF632A" w:rsidP="00CF632A">
      <w:pPr>
        <w:rPr>
          <w:rFonts w:asciiTheme="majorBidi" w:eastAsia="MS Mincho" w:hAnsiTheme="majorBidi" w:cstheme="majorBidi"/>
          <w:b/>
        </w:rPr>
      </w:pPr>
      <w:r w:rsidRPr="00A71DE3">
        <w:rPr>
          <w:rFonts w:asciiTheme="majorBidi" w:eastAsia="MS Mincho" w:hAnsiTheme="majorBidi" w:cstheme="majorBidi"/>
          <w:b/>
        </w:rPr>
        <w:t xml:space="preserve">Draft Recommendation ITU-T M.3371 (ex M.rcsm) – </w:t>
      </w:r>
      <w:r w:rsidRPr="00A71DE3">
        <w:rPr>
          <w:rFonts w:asciiTheme="majorBidi" w:hAnsiTheme="majorBidi" w:cstheme="majorBidi"/>
          <w:b/>
          <w:lang w:eastAsia="zh-CN"/>
        </w:rPr>
        <w:t>Requirements for Service Management in Cloud-aware Telecommunication Management System</w:t>
      </w:r>
    </w:p>
    <w:p w14:paraId="2BA7ACD5" w14:textId="77777777" w:rsidR="00CF632A" w:rsidRPr="00A71DE3" w:rsidRDefault="00CF632A" w:rsidP="00CF632A">
      <w:pPr>
        <w:rPr>
          <w:rFonts w:asciiTheme="majorBidi" w:hAnsiTheme="majorBidi" w:cstheme="majorBidi"/>
          <w:b/>
        </w:rPr>
      </w:pPr>
      <w:r w:rsidRPr="00A71DE3">
        <w:rPr>
          <w:rFonts w:asciiTheme="majorBidi" w:hAnsiTheme="majorBidi" w:cstheme="majorBidi"/>
          <w:i/>
          <w:iCs/>
          <w:lang w:val="en-US" w:eastAsia="zh-CN"/>
        </w:rPr>
        <w:t>Following new definition declared:</w:t>
      </w:r>
      <w:r w:rsidRPr="00A71DE3">
        <w:rPr>
          <w:rFonts w:asciiTheme="majorBidi" w:hAnsiTheme="majorBidi" w:cstheme="majorBidi"/>
          <w:b/>
        </w:rPr>
        <w:t xml:space="preserve"> </w:t>
      </w:r>
    </w:p>
    <w:p w14:paraId="5A9E2545" w14:textId="77777777" w:rsidR="00CF632A" w:rsidRPr="00A71DE3" w:rsidRDefault="00CF632A" w:rsidP="00CF632A">
      <w:pPr>
        <w:rPr>
          <w:rFonts w:asciiTheme="majorBidi" w:hAnsiTheme="majorBidi" w:cstheme="majorBidi"/>
          <w:shd w:val="clear" w:color="auto" w:fill="FFFFFF"/>
        </w:rPr>
      </w:pPr>
      <w:r w:rsidRPr="00A71DE3">
        <w:rPr>
          <w:rFonts w:asciiTheme="majorBidi" w:hAnsiTheme="majorBidi" w:cstheme="majorBidi"/>
          <w:b/>
        </w:rPr>
        <w:t>TC-hybrid service</w:t>
      </w:r>
      <w:r w:rsidRPr="00A71DE3">
        <w:rPr>
          <w:rFonts w:asciiTheme="majorBidi" w:hAnsiTheme="majorBidi" w:cstheme="majorBidi"/>
        </w:rPr>
        <w:t xml:space="preserve">: </w:t>
      </w:r>
      <w:r w:rsidRPr="00A71DE3">
        <w:rPr>
          <w:rFonts w:asciiTheme="majorBidi" w:hAnsiTheme="majorBidi" w:cstheme="majorBidi"/>
          <w:lang w:eastAsia="zh-CN"/>
        </w:rPr>
        <w:t>T</w:t>
      </w:r>
      <w:r w:rsidRPr="00A71DE3">
        <w:rPr>
          <w:rFonts w:asciiTheme="majorBidi" w:hAnsiTheme="majorBidi" w:cstheme="majorBidi"/>
        </w:rPr>
        <w:t>he service which consists of both telecommunication and cloud service components.</w:t>
      </w:r>
    </w:p>
    <w:p w14:paraId="0008A342" w14:textId="77777777" w:rsidR="00CF632A" w:rsidRPr="00A71DE3" w:rsidRDefault="00CF632A" w:rsidP="00CF632A">
      <w:pPr>
        <w:rPr>
          <w:rFonts w:asciiTheme="majorBidi" w:hAnsiTheme="majorBidi" w:cstheme="majorBidi"/>
          <w:shd w:val="clear" w:color="auto" w:fill="FFFFFF"/>
        </w:rPr>
      </w:pPr>
    </w:p>
    <w:p w14:paraId="666BD0A0" w14:textId="77777777" w:rsidR="00CF632A" w:rsidRPr="00A71DE3" w:rsidRDefault="00CF632A" w:rsidP="00CF632A">
      <w:pPr>
        <w:rPr>
          <w:rFonts w:asciiTheme="majorBidi" w:eastAsia="MS Mincho" w:hAnsiTheme="majorBidi" w:cstheme="majorBidi"/>
          <w:b/>
          <w:bCs/>
        </w:rPr>
      </w:pPr>
      <w:r w:rsidRPr="00A71DE3">
        <w:rPr>
          <w:rFonts w:asciiTheme="majorBidi" w:eastAsia="MS Mincho" w:hAnsiTheme="majorBidi" w:cstheme="majorBidi"/>
          <w:b/>
        </w:rPr>
        <w:t xml:space="preserve">Draft Recommendation ITU-T </w:t>
      </w:r>
      <w:r w:rsidRPr="00A71DE3">
        <w:rPr>
          <w:rFonts w:asciiTheme="majorBidi" w:eastAsia="SimSun" w:hAnsiTheme="majorBidi" w:cstheme="majorBidi"/>
          <w:b/>
        </w:rPr>
        <w:t>G.MFWT</w:t>
      </w:r>
      <w:r w:rsidRPr="00A71DE3">
        <w:rPr>
          <w:rFonts w:asciiTheme="majorBidi" w:eastAsia="MS Mincho" w:hAnsiTheme="majorBidi" w:cstheme="majorBidi"/>
          <w:b/>
        </w:rPr>
        <w:t xml:space="preserve"> – </w:t>
      </w:r>
      <w:r w:rsidRPr="00A71DE3">
        <w:rPr>
          <w:rFonts w:asciiTheme="majorBidi" w:hAnsiTheme="majorBidi" w:cstheme="majorBidi"/>
          <w:b/>
          <w:bCs/>
          <w:lang w:eastAsia="zh-CN"/>
        </w:rPr>
        <w:t>The</w:t>
      </w:r>
      <w:r w:rsidRPr="00A71DE3">
        <w:rPr>
          <w:rFonts w:asciiTheme="majorBidi" w:hAnsiTheme="majorBidi" w:cstheme="majorBidi"/>
          <w:b/>
          <w:bCs/>
        </w:rPr>
        <w:t xml:space="preserve"> measurement framework</w:t>
      </w:r>
      <w:r w:rsidRPr="00A71DE3">
        <w:rPr>
          <w:rFonts w:asciiTheme="majorBidi" w:hAnsiTheme="majorBidi" w:cstheme="majorBidi"/>
          <w:b/>
          <w:bCs/>
          <w:lang w:eastAsia="zh-CN"/>
        </w:rPr>
        <w:t xml:space="preserve"> for </w:t>
      </w:r>
      <w:r w:rsidRPr="00A71DE3">
        <w:rPr>
          <w:rFonts w:asciiTheme="majorBidi" w:hAnsiTheme="majorBidi" w:cstheme="majorBidi"/>
          <w:b/>
          <w:bCs/>
        </w:rPr>
        <w:t xml:space="preserve">the </w:t>
      </w:r>
      <w:r w:rsidRPr="00A71DE3">
        <w:rPr>
          <w:rFonts w:asciiTheme="majorBidi" w:hAnsiTheme="majorBidi" w:cstheme="majorBidi"/>
          <w:b/>
          <w:bCs/>
          <w:lang w:eastAsia="zh-CN"/>
        </w:rPr>
        <w:t xml:space="preserve">statistical indicators of website </w:t>
      </w:r>
      <w:r w:rsidRPr="00A71DE3">
        <w:rPr>
          <w:rFonts w:asciiTheme="majorBidi" w:hAnsiTheme="majorBidi" w:cstheme="majorBidi"/>
          <w:b/>
          <w:bCs/>
        </w:rPr>
        <w:t>traffic</w:t>
      </w:r>
    </w:p>
    <w:p w14:paraId="512F6610" w14:textId="77777777" w:rsidR="00CF632A" w:rsidRPr="00A71DE3" w:rsidRDefault="00CF632A" w:rsidP="00CF632A">
      <w:pPr>
        <w:rPr>
          <w:rFonts w:asciiTheme="majorBidi" w:hAnsiTheme="majorBidi" w:cstheme="majorBidi"/>
          <w:b/>
        </w:rPr>
      </w:pPr>
      <w:r w:rsidRPr="00A71DE3">
        <w:rPr>
          <w:rFonts w:asciiTheme="majorBidi" w:hAnsiTheme="majorBidi" w:cstheme="majorBidi"/>
          <w:i/>
          <w:iCs/>
          <w:lang w:val="en-US" w:eastAsia="zh-CN"/>
        </w:rPr>
        <w:t>Following new definitions declared:</w:t>
      </w:r>
      <w:r w:rsidRPr="00A71DE3">
        <w:rPr>
          <w:rFonts w:asciiTheme="majorBidi" w:hAnsiTheme="majorBidi" w:cstheme="majorBidi"/>
          <w:b/>
        </w:rPr>
        <w:t xml:space="preserve"> </w:t>
      </w:r>
    </w:p>
    <w:p w14:paraId="226B566C" w14:textId="102682B3" w:rsidR="00CF632A" w:rsidRPr="00A71DE3" w:rsidRDefault="00CF632A" w:rsidP="00CF632A">
      <w:pPr>
        <w:rPr>
          <w:rFonts w:asciiTheme="majorBidi" w:hAnsiTheme="majorBidi" w:cstheme="majorBidi"/>
          <w:lang w:eastAsia="zh-CN"/>
        </w:rPr>
      </w:pPr>
      <w:r w:rsidRPr="00A71DE3">
        <w:rPr>
          <w:rFonts w:asciiTheme="majorBidi" w:hAnsiTheme="majorBidi" w:cstheme="majorBidi"/>
          <w:b/>
          <w:lang w:eastAsia="zh-CN"/>
        </w:rPr>
        <w:lastRenderedPageBreak/>
        <w:t xml:space="preserve">3.1 IP address - </w:t>
      </w:r>
      <w:r w:rsidRPr="00A71DE3">
        <w:rPr>
          <w:rFonts w:asciiTheme="majorBidi" w:hAnsiTheme="majorBidi" w:cstheme="majorBidi"/>
          <w:lang w:eastAsia="zh-CN"/>
        </w:rPr>
        <w:t>An IP address is a digital identifier with a fixed length allocated according to IP protocol</w:t>
      </w:r>
      <w:r w:rsidRPr="00A71DE3">
        <w:rPr>
          <w:rFonts w:asciiTheme="majorBidi" w:hAnsiTheme="majorBidi" w:cstheme="majorBidi"/>
          <w:lang w:eastAsia="zh-CN"/>
        </w:rPr>
        <w:t>（</w:t>
      </w:r>
      <w:r w:rsidRPr="00A71DE3">
        <w:rPr>
          <w:rFonts w:asciiTheme="majorBidi" w:hAnsiTheme="majorBidi" w:cstheme="majorBidi"/>
          <w:lang w:eastAsia="zh-CN"/>
        </w:rPr>
        <w:t>RFC791 for IPv4,</w:t>
      </w:r>
      <w:r>
        <w:rPr>
          <w:rFonts w:asciiTheme="majorBidi" w:hAnsiTheme="majorBidi" w:cstheme="majorBidi"/>
          <w:lang w:eastAsia="zh-CN"/>
        </w:rPr>
        <w:t xml:space="preserve"> </w:t>
      </w:r>
      <w:r w:rsidRPr="00A71DE3">
        <w:rPr>
          <w:rFonts w:asciiTheme="majorBidi" w:hAnsiTheme="majorBidi" w:cstheme="majorBidi"/>
          <w:lang w:eastAsia="zh-CN"/>
        </w:rPr>
        <w:t>and RFC2373 for IPv6.</w:t>
      </w:r>
    </w:p>
    <w:p w14:paraId="0ADF2236" w14:textId="77777777" w:rsidR="00CF632A" w:rsidRPr="00A71DE3" w:rsidRDefault="00CF632A" w:rsidP="00CF632A">
      <w:pPr>
        <w:rPr>
          <w:rFonts w:asciiTheme="majorBidi" w:hAnsiTheme="majorBidi" w:cstheme="majorBidi"/>
        </w:rPr>
      </w:pPr>
      <w:r w:rsidRPr="00A71DE3">
        <w:rPr>
          <w:rFonts w:asciiTheme="majorBidi" w:hAnsiTheme="majorBidi" w:cstheme="majorBidi"/>
          <w:b/>
          <w:lang w:eastAsia="zh-CN"/>
        </w:rPr>
        <w:t xml:space="preserve">3.2 Cookie - </w:t>
      </w:r>
      <w:r w:rsidRPr="00A71DE3">
        <w:rPr>
          <w:rFonts w:asciiTheme="majorBidi" w:hAnsiTheme="majorBidi" w:cstheme="majorBidi"/>
          <w:lang w:eastAsia="zh-CN"/>
        </w:rPr>
        <w:t xml:space="preserve">A Cookie is a mechanism to support a server or a script to store and index information in the client computer and to expand web-based client/server applications through adding a simple continuous state. When the server returns HTTP objects to the client, it sends a state message to the client, and the message is saved on the client. The available URL area is specified in the state message. After that, the client will send the current value in the state message to the server when it initiates a </w:t>
      </w:r>
      <w:r w:rsidRPr="00A71DE3">
        <w:rPr>
          <w:rFonts w:asciiTheme="majorBidi" w:eastAsia="SimSun" w:hAnsiTheme="majorBidi" w:cstheme="majorBidi"/>
          <w:lang w:eastAsia="zh-CN"/>
        </w:rPr>
        <w:t>HTTP</w:t>
      </w:r>
      <w:r w:rsidRPr="00A71DE3">
        <w:rPr>
          <w:rFonts w:asciiTheme="majorBidi" w:hAnsiTheme="majorBidi" w:cstheme="majorBidi"/>
          <w:lang w:eastAsia="zh-CN"/>
        </w:rPr>
        <w:t xml:space="preserve"> request in the URL area. The state information is called a Cookie</w:t>
      </w:r>
      <w:r w:rsidRPr="00A71DE3">
        <w:rPr>
          <w:rFonts w:asciiTheme="majorBidi" w:hAnsiTheme="majorBidi" w:cstheme="majorBidi"/>
          <w:lang w:eastAsia="zh-CN"/>
        </w:rPr>
        <w:t>。</w:t>
      </w:r>
    </w:p>
    <w:p w14:paraId="2D303534" w14:textId="77777777" w:rsidR="00CF632A" w:rsidRPr="00A71DE3" w:rsidRDefault="00CF632A" w:rsidP="00CF632A">
      <w:pPr>
        <w:rPr>
          <w:rFonts w:asciiTheme="majorBidi" w:hAnsiTheme="majorBidi" w:cstheme="majorBidi"/>
        </w:rPr>
      </w:pPr>
      <w:r w:rsidRPr="00A71DE3">
        <w:rPr>
          <w:rFonts w:asciiTheme="majorBidi" w:hAnsiTheme="majorBidi" w:cstheme="majorBidi"/>
          <w:b/>
          <w:lang w:eastAsia="zh-CN"/>
        </w:rPr>
        <w:t xml:space="preserve">3.3 Web page - </w:t>
      </w:r>
      <w:r w:rsidRPr="00A71DE3">
        <w:rPr>
          <w:rFonts w:asciiTheme="majorBidi" w:hAnsiTheme="majorBidi" w:cstheme="majorBidi"/>
        </w:rPr>
        <w:t xml:space="preserve">A </w:t>
      </w:r>
      <w:r w:rsidRPr="00A71DE3">
        <w:rPr>
          <w:rFonts w:asciiTheme="majorBidi" w:hAnsiTheme="majorBidi" w:cstheme="majorBidi"/>
          <w:lang w:eastAsia="zh-CN"/>
        </w:rPr>
        <w:t>w</w:t>
      </w:r>
      <w:r w:rsidRPr="00A71DE3">
        <w:rPr>
          <w:rFonts w:asciiTheme="majorBidi" w:hAnsiTheme="majorBidi" w:cstheme="majorBidi"/>
        </w:rPr>
        <w:t>eb page is a document stored on a certain server connected with the Internet. A web page document will be sent to the client and showed to the user by a browser through a</w:t>
      </w:r>
      <w:r w:rsidRPr="00A71DE3">
        <w:rPr>
          <w:rFonts w:asciiTheme="majorBidi" w:eastAsia="SimSun" w:hAnsiTheme="majorBidi" w:cstheme="majorBidi"/>
          <w:lang w:eastAsia="zh-CN"/>
        </w:rPr>
        <w:t>n</w:t>
      </w:r>
      <w:r w:rsidRPr="00A71DE3">
        <w:rPr>
          <w:rFonts w:asciiTheme="majorBidi" w:hAnsiTheme="majorBidi" w:cstheme="majorBidi"/>
        </w:rPr>
        <w:t xml:space="preserve"> interaction between </w:t>
      </w:r>
      <w:r w:rsidRPr="00A71DE3">
        <w:rPr>
          <w:rFonts w:asciiTheme="majorBidi" w:hAnsiTheme="majorBidi" w:cstheme="majorBidi"/>
          <w:lang w:eastAsia="zh-CN"/>
        </w:rPr>
        <w:t>programs</w:t>
      </w:r>
      <w:r w:rsidRPr="00A71DE3">
        <w:rPr>
          <w:rFonts w:asciiTheme="majorBidi" w:hAnsiTheme="majorBidi" w:cstheme="majorBidi"/>
        </w:rPr>
        <w:t xml:space="preserve"> of the client and the server after the user inputs the identifier of the document in the address column in the browser.</w:t>
      </w:r>
    </w:p>
    <w:p w14:paraId="2D75DF96" w14:textId="77777777" w:rsidR="00CF632A" w:rsidRPr="00A71DE3" w:rsidRDefault="00CF632A" w:rsidP="00CF632A">
      <w:pPr>
        <w:rPr>
          <w:rFonts w:asciiTheme="majorBidi" w:hAnsiTheme="majorBidi" w:cstheme="majorBidi"/>
        </w:rPr>
      </w:pPr>
      <w:r w:rsidRPr="00A71DE3">
        <w:rPr>
          <w:rFonts w:asciiTheme="majorBidi" w:hAnsiTheme="majorBidi" w:cstheme="majorBidi"/>
        </w:rPr>
        <w:t xml:space="preserve">A web page is often compiled in the HTML language, identified by a URL address, and accessed by the HTTP protocol. </w:t>
      </w:r>
    </w:p>
    <w:p w14:paraId="1E0F5336" w14:textId="77777777" w:rsidR="00CF632A" w:rsidRPr="00A71DE3" w:rsidRDefault="00CF632A" w:rsidP="00CF632A">
      <w:pPr>
        <w:rPr>
          <w:rFonts w:asciiTheme="majorBidi" w:hAnsiTheme="majorBidi" w:cstheme="majorBidi"/>
        </w:rPr>
      </w:pPr>
      <w:r w:rsidRPr="00A71DE3">
        <w:rPr>
          <w:rFonts w:asciiTheme="majorBidi" w:hAnsiTheme="majorBidi" w:cstheme="majorBidi"/>
          <w:b/>
          <w:lang w:eastAsia="zh-CN"/>
        </w:rPr>
        <w:t xml:space="preserve">3.4 Website - </w:t>
      </w:r>
      <w:r w:rsidRPr="00A71DE3">
        <w:rPr>
          <w:rFonts w:asciiTheme="majorBidi" w:hAnsiTheme="majorBidi" w:cstheme="majorBidi"/>
        </w:rPr>
        <w:t xml:space="preserve">A </w:t>
      </w:r>
      <w:r w:rsidRPr="00A71DE3">
        <w:rPr>
          <w:rFonts w:asciiTheme="majorBidi" w:hAnsiTheme="majorBidi" w:cstheme="majorBidi"/>
          <w:lang w:eastAsia="zh-CN"/>
        </w:rPr>
        <w:t>w</w:t>
      </w:r>
      <w:r w:rsidRPr="00A71DE3">
        <w:rPr>
          <w:rFonts w:asciiTheme="majorBidi" w:hAnsiTheme="majorBidi" w:cstheme="majorBidi"/>
        </w:rPr>
        <w:t>ebsite is a collection of web pages with a certain rule on the Internet, compiled with technologies such as HTML to show some specified digital media contents including text, image, audio, video, etc.</w:t>
      </w:r>
    </w:p>
    <w:p w14:paraId="4CF810AA" w14:textId="77777777" w:rsidR="00CF632A" w:rsidRPr="00A71DE3" w:rsidRDefault="00CF632A" w:rsidP="00CF632A">
      <w:pPr>
        <w:rPr>
          <w:rFonts w:asciiTheme="majorBidi" w:hAnsiTheme="majorBidi" w:cstheme="majorBidi"/>
        </w:rPr>
      </w:pPr>
      <w:r w:rsidRPr="00A71DE3">
        <w:rPr>
          <w:rFonts w:asciiTheme="majorBidi" w:hAnsiTheme="majorBidi" w:cstheme="majorBidi"/>
          <w:b/>
          <w:lang w:eastAsia="zh-CN"/>
        </w:rPr>
        <w:t xml:space="preserve">3.5 Traffic - </w:t>
      </w:r>
      <w:r w:rsidRPr="00A71DE3">
        <w:rPr>
          <w:rFonts w:asciiTheme="majorBidi" w:hAnsiTheme="majorBidi" w:cstheme="majorBidi"/>
        </w:rPr>
        <w:t xml:space="preserve">The </w:t>
      </w:r>
      <w:r w:rsidRPr="00A71DE3">
        <w:rPr>
          <w:rFonts w:asciiTheme="majorBidi" w:eastAsia="MS Mincho" w:hAnsiTheme="majorBidi" w:cstheme="majorBidi"/>
        </w:rPr>
        <w:t>t</w:t>
      </w:r>
      <w:r w:rsidRPr="00A71DE3">
        <w:rPr>
          <w:rFonts w:asciiTheme="majorBidi" w:hAnsiTheme="majorBidi" w:cstheme="majorBidi"/>
        </w:rPr>
        <w:t xml:space="preserve">raffic is the </w:t>
      </w:r>
      <w:r w:rsidRPr="00A71DE3">
        <w:rPr>
          <w:rFonts w:asciiTheme="majorBidi" w:eastAsia="MS Mincho" w:hAnsiTheme="majorBidi" w:cstheme="majorBidi"/>
        </w:rPr>
        <w:t>number</w:t>
      </w:r>
      <w:r w:rsidRPr="00A71DE3">
        <w:rPr>
          <w:rFonts w:asciiTheme="majorBidi" w:hAnsiTheme="majorBidi" w:cstheme="majorBidi"/>
        </w:rPr>
        <w:t>s of visiting a webpage or a website. Note, this is different from the traditional telecommunication concept of traffic, which refers to the data flow volume.</w:t>
      </w:r>
    </w:p>
    <w:p w14:paraId="63A41FA0" w14:textId="77777777" w:rsidR="00CF632A" w:rsidRPr="00A71DE3" w:rsidRDefault="00CF632A" w:rsidP="00CF632A">
      <w:pPr>
        <w:rPr>
          <w:rFonts w:asciiTheme="majorBidi" w:hAnsiTheme="majorBidi" w:cstheme="majorBidi"/>
        </w:rPr>
      </w:pPr>
      <w:r w:rsidRPr="00A71DE3">
        <w:rPr>
          <w:rFonts w:asciiTheme="majorBidi" w:hAnsiTheme="majorBidi" w:cstheme="majorBidi"/>
          <w:b/>
          <w:lang w:eastAsia="zh-CN"/>
        </w:rPr>
        <w:t xml:space="preserve">3.6 Client software statistical mode - </w:t>
      </w:r>
      <w:r w:rsidRPr="00A71DE3">
        <w:rPr>
          <w:rFonts w:asciiTheme="majorBidi" w:hAnsiTheme="majorBidi" w:cstheme="majorBidi"/>
        </w:rPr>
        <w:t>Client software statistic</w:t>
      </w:r>
      <w:r w:rsidRPr="00A71DE3">
        <w:rPr>
          <w:rFonts w:asciiTheme="majorBidi" w:eastAsia="SimSun" w:hAnsiTheme="majorBidi" w:cstheme="majorBidi"/>
          <w:lang w:eastAsia="zh-CN"/>
        </w:rPr>
        <w:t>al</w:t>
      </w:r>
      <w:r w:rsidRPr="00A71DE3">
        <w:rPr>
          <w:rFonts w:asciiTheme="majorBidi" w:hAnsiTheme="majorBidi" w:cstheme="majorBidi"/>
        </w:rPr>
        <w:t xml:space="preserve"> mode is a mode of installing monitoring software on client computers of Internet users</w:t>
      </w:r>
      <w:r w:rsidRPr="00A71DE3">
        <w:rPr>
          <w:rFonts w:asciiTheme="majorBidi" w:eastAsia="SimSun" w:hAnsiTheme="majorBidi" w:cstheme="majorBidi"/>
          <w:lang w:eastAsia="zh-CN"/>
        </w:rPr>
        <w:t xml:space="preserve">, </w:t>
      </w:r>
      <w:r w:rsidRPr="00A71DE3">
        <w:rPr>
          <w:rFonts w:asciiTheme="majorBidi" w:hAnsiTheme="majorBidi" w:cstheme="majorBidi"/>
        </w:rPr>
        <w:t xml:space="preserve">recording Internet access </w:t>
      </w:r>
      <w:r w:rsidRPr="00A71DE3">
        <w:rPr>
          <w:rFonts w:asciiTheme="majorBidi" w:eastAsia="SimSun" w:hAnsiTheme="majorBidi" w:cstheme="majorBidi"/>
          <w:lang w:eastAsia="zh-CN"/>
        </w:rPr>
        <w:t>activities</w:t>
      </w:r>
      <w:r w:rsidRPr="00A71DE3">
        <w:rPr>
          <w:rFonts w:asciiTheme="majorBidi" w:hAnsiTheme="majorBidi" w:cstheme="majorBidi"/>
        </w:rPr>
        <w:t xml:space="preserve"> information of users and uploading to the server end, and using a specific algorithm to calculate each statistic</w:t>
      </w:r>
      <w:r w:rsidRPr="00A71DE3">
        <w:rPr>
          <w:rFonts w:asciiTheme="majorBidi" w:eastAsia="SimSun" w:hAnsiTheme="majorBidi" w:cstheme="majorBidi"/>
          <w:lang w:eastAsia="zh-CN"/>
        </w:rPr>
        <w:t>al</w:t>
      </w:r>
      <w:r w:rsidRPr="00A71DE3">
        <w:rPr>
          <w:rFonts w:asciiTheme="majorBidi" w:hAnsiTheme="majorBidi" w:cstheme="majorBidi"/>
        </w:rPr>
        <w:t xml:space="preserve"> indicators.</w:t>
      </w:r>
    </w:p>
    <w:p w14:paraId="2A5E1D1C" w14:textId="77777777" w:rsidR="00CF632A" w:rsidRPr="00A71DE3" w:rsidRDefault="00CF632A" w:rsidP="00CF632A">
      <w:pPr>
        <w:rPr>
          <w:rFonts w:asciiTheme="majorBidi" w:hAnsiTheme="majorBidi" w:cstheme="majorBidi"/>
        </w:rPr>
      </w:pPr>
      <w:r w:rsidRPr="00A71DE3">
        <w:rPr>
          <w:rFonts w:asciiTheme="majorBidi" w:hAnsiTheme="majorBidi" w:cstheme="majorBidi"/>
        </w:rPr>
        <w:t xml:space="preserve">This mode has the advantage of gathering the macro-data of the Internet industry using the sampling survey methods. The installation number, distribution for different coverage of users in geographic or demographic characteristics, and the algorithm used are key factors of the mode’s accuracy. </w:t>
      </w:r>
    </w:p>
    <w:p w14:paraId="778F88CB" w14:textId="77777777" w:rsidR="00CF632A" w:rsidRPr="00A71DE3" w:rsidRDefault="00CF632A" w:rsidP="00CF632A">
      <w:pPr>
        <w:rPr>
          <w:rFonts w:asciiTheme="majorBidi" w:hAnsiTheme="majorBidi" w:cstheme="majorBidi"/>
          <w:lang w:eastAsia="zh-CN"/>
        </w:rPr>
      </w:pPr>
      <w:r w:rsidRPr="00A71DE3">
        <w:rPr>
          <w:rFonts w:asciiTheme="majorBidi" w:hAnsiTheme="majorBidi" w:cstheme="majorBidi"/>
          <w:b/>
          <w:lang w:eastAsia="zh-CN"/>
        </w:rPr>
        <w:t xml:space="preserve">3.7 Codes-embedded-in-pages statistical mode - </w:t>
      </w:r>
      <w:r w:rsidRPr="00A71DE3">
        <w:rPr>
          <w:rFonts w:asciiTheme="majorBidi" w:hAnsiTheme="majorBidi" w:cstheme="majorBidi"/>
        </w:rPr>
        <w:t>Codes-embedded-in-pages statistical</w:t>
      </w:r>
      <w:r w:rsidRPr="00A71DE3">
        <w:rPr>
          <w:rFonts w:asciiTheme="majorBidi" w:hAnsiTheme="majorBidi" w:cstheme="majorBidi"/>
          <w:lang w:eastAsia="zh-CN"/>
        </w:rPr>
        <w:t xml:space="preserve"> </w:t>
      </w:r>
      <w:r w:rsidRPr="00A71DE3">
        <w:rPr>
          <w:rFonts w:asciiTheme="majorBidi" w:hAnsiTheme="majorBidi" w:cstheme="majorBidi"/>
        </w:rPr>
        <w:t>mode is a mode that monitoring codes are embedded in web pages</w:t>
      </w:r>
      <w:r w:rsidRPr="00A71DE3">
        <w:rPr>
          <w:rFonts w:asciiTheme="majorBidi" w:hAnsiTheme="majorBidi" w:cstheme="majorBidi"/>
          <w:lang w:eastAsia="zh-CN"/>
        </w:rPr>
        <w:t xml:space="preserve"> </w:t>
      </w:r>
      <w:r w:rsidRPr="00A71DE3">
        <w:rPr>
          <w:rFonts w:asciiTheme="majorBidi" w:hAnsiTheme="majorBidi" w:cstheme="majorBidi"/>
        </w:rPr>
        <w:t xml:space="preserve">(including static pages, dynamic pages and browser-based video windows, etc.) of the website evaluated, to get the access information of Internet users. At the same time as Internet users are using browsers, browsers send </w:t>
      </w:r>
      <w:r w:rsidRPr="00A71DE3">
        <w:rPr>
          <w:rFonts w:asciiTheme="majorBidi" w:hAnsiTheme="majorBidi" w:cstheme="majorBidi"/>
          <w:lang w:eastAsia="zh-CN"/>
        </w:rPr>
        <w:t>statistical information to the monitoring server, and the monitoring server summarises the requested number of browsers to calculate the monitored website’s traffic statistics data</w:t>
      </w:r>
      <w:r w:rsidRPr="00A71DE3">
        <w:rPr>
          <w:rFonts w:asciiTheme="majorBidi" w:hAnsiTheme="majorBidi" w:cstheme="majorBidi"/>
        </w:rPr>
        <w:t>.</w:t>
      </w:r>
    </w:p>
    <w:p w14:paraId="587FDAD7" w14:textId="7D49B80B" w:rsidR="00CF632A" w:rsidRPr="00A71DE3" w:rsidRDefault="00CF632A" w:rsidP="00CF632A">
      <w:pPr>
        <w:rPr>
          <w:rFonts w:asciiTheme="majorBidi" w:hAnsiTheme="majorBidi" w:cstheme="majorBidi"/>
        </w:rPr>
      </w:pPr>
      <w:r w:rsidRPr="00A71DE3">
        <w:rPr>
          <w:rFonts w:asciiTheme="majorBidi" w:hAnsiTheme="majorBidi" w:cstheme="majorBidi"/>
          <w:lang w:eastAsia="zh-CN"/>
        </w:rPr>
        <w:t xml:space="preserve">This mode has the advantage of getting the whole detailed sampling data of the evaluated website, including pages viewed and all the </w:t>
      </w:r>
      <w:r w:rsidRPr="00A71DE3">
        <w:rPr>
          <w:rFonts w:asciiTheme="majorBidi" w:eastAsia="SimSun" w:hAnsiTheme="majorBidi" w:cstheme="majorBidi"/>
          <w:lang w:eastAsia="zh-CN"/>
        </w:rPr>
        <w:t>activities</w:t>
      </w:r>
      <w:r w:rsidRPr="00A71DE3">
        <w:rPr>
          <w:rFonts w:asciiTheme="majorBidi" w:hAnsiTheme="majorBidi" w:cstheme="majorBidi"/>
          <w:lang w:eastAsia="zh-CN"/>
        </w:rPr>
        <w:t xml:space="preserve"> of users on the website. After the amount of statistical websites and the industrial distribution vary large enough, this mode can reflect the middle or macro situation of the Internet industry.</w:t>
      </w:r>
    </w:p>
    <w:p w14:paraId="3BFB5720" w14:textId="77777777" w:rsidR="00CF632A" w:rsidRPr="00A71DE3" w:rsidRDefault="00CF632A" w:rsidP="00CF632A">
      <w:pPr>
        <w:rPr>
          <w:rFonts w:asciiTheme="majorBidi" w:hAnsiTheme="majorBidi" w:cstheme="majorBidi"/>
          <w:lang w:eastAsia="zh-CN"/>
        </w:rPr>
      </w:pPr>
      <w:r w:rsidRPr="00A71DE3">
        <w:rPr>
          <w:rFonts w:asciiTheme="majorBidi" w:hAnsiTheme="majorBidi" w:cstheme="majorBidi"/>
          <w:b/>
          <w:lang w:eastAsia="zh-CN"/>
        </w:rPr>
        <w:t xml:space="preserve">3.8 Cookie statistical mode - </w:t>
      </w:r>
      <w:r w:rsidRPr="00A71DE3">
        <w:rPr>
          <w:rFonts w:asciiTheme="majorBidi" w:hAnsiTheme="majorBidi" w:cstheme="majorBidi"/>
          <w:lang w:eastAsia="zh-CN"/>
        </w:rPr>
        <w:t>Cookie statistic</w:t>
      </w:r>
      <w:r w:rsidRPr="00A71DE3">
        <w:rPr>
          <w:rFonts w:asciiTheme="majorBidi" w:eastAsia="SimSun" w:hAnsiTheme="majorBidi" w:cstheme="majorBidi"/>
          <w:lang w:eastAsia="zh-CN"/>
        </w:rPr>
        <w:t>al</w:t>
      </w:r>
      <w:r w:rsidRPr="00A71DE3">
        <w:rPr>
          <w:rFonts w:asciiTheme="majorBidi" w:hAnsiTheme="majorBidi" w:cstheme="majorBidi"/>
          <w:lang w:eastAsia="zh-CN"/>
        </w:rPr>
        <w:t xml:space="preserve"> mode is a mode based on the codes-embedded-in-pages statistic</w:t>
      </w:r>
      <w:r w:rsidRPr="00A71DE3">
        <w:rPr>
          <w:rFonts w:asciiTheme="majorBidi" w:eastAsia="SimSun" w:hAnsiTheme="majorBidi" w:cstheme="majorBidi"/>
          <w:lang w:eastAsia="zh-CN"/>
        </w:rPr>
        <w:t>al</w:t>
      </w:r>
      <w:r w:rsidRPr="00A71DE3">
        <w:rPr>
          <w:rFonts w:asciiTheme="majorBidi" w:hAnsiTheme="majorBidi" w:cstheme="majorBidi"/>
          <w:lang w:eastAsia="zh-CN"/>
        </w:rPr>
        <w:t xml:space="preserve"> mode, using cookies on client computers as the only identifier of the user, to calculate the amount of unique viewers.</w:t>
      </w:r>
    </w:p>
    <w:p w14:paraId="344A4B7B" w14:textId="77777777" w:rsidR="00CF632A" w:rsidRPr="00A71DE3" w:rsidRDefault="00CF632A" w:rsidP="00CF632A">
      <w:pPr>
        <w:rPr>
          <w:rFonts w:asciiTheme="majorBidi" w:hAnsiTheme="majorBidi" w:cstheme="majorBidi"/>
          <w:lang w:eastAsia="zh-CN"/>
        </w:rPr>
      </w:pPr>
      <w:r w:rsidRPr="00A71DE3">
        <w:rPr>
          <w:rFonts w:asciiTheme="majorBidi" w:hAnsiTheme="majorBidi" w:cstheme="majorBidi"/>
        </w:rPr>
        <w:t xml:space="preserve">The unique viewer recognized at this mode is not the real internet user but the browser used </w:t>
      </w:r>
      <w:r w:rsidRPr="00A71DE3">
        <w:rPr>
          <w:rFonts w:asciiTheme="majorBidi" w:hAnsiTheme="majorBidi" w:cstheme="majorBidi"/>
          <w:lang w:eastAsia="zh-CN"/>
        </w:rPr>
        <w:t>by</w:t>
      </w:r>
      <w:r w:rsidRPr="00A71DE3">
        <w:rPr>
          <w:rFonts w:asciiTheme="majorBidi" w:hAnsiTheme="majorBidi" w:cstheme="majorBidi"/>
        </w:rPr>
        <w:t xml:space="preserve"> the Internet user. The Internet user will be recognized as several unique users when he/she use several different browsers. And several Internet users will be recognized as a unique user when they use the same browser on the same computer.</w:t>
      </w:r>
    </w:p>
    <w:p w14:paraId="213E73E5" w14:textId="77777777" w:rsidR="00CF632A" w:rsidRPr="00A71DE3" w:rsidRDefault="00CF632A" w:rsidP="00CF632A">
      <w:pPr>
        <w:rPr>
          <w:rFonts w:asciiTheme="majorBidi" w:hAnsiTheme="majorBidi" w:cstheme="majorBidi"/>
          <w:lang w:eastAsia="zh-CN"/>
        </w:rPr>
      </w:pPr>
      <w:r w:rsidRPr="00A71DE3">
        <w:rPr>
          <w:rFonts w:asciiTheme="majorBidi" w:hAnsiTheme="majorBidi" w:cstheme="majorBidi"/>
          <w:b/>
          <w:lang w:eastAsia="zh-CN"/>
        </w:rPr>
        <w:t>3.9 Duration -</w:t>
      </w:r>
      <w:r w:rsidRPr="00A71DE3">
        <w:rPr>
          <w:rFonts w:asciiTheme="majorBidi" w:hAnsiTheme="majorBidi" w:cstheme="majorBidi"/>
          <w:lang w:eastAsia="zh-CN"/>
        </w:rPr>
        <w:t xml:space="preserve"> The amount of time spent on a page, in seconds.</w:t>
      </w:r>
    </w:p>
    <w:p w14:paraId="73F0D33B" w14:textId="77777777" w:rsidR="00CF632A" w:rsidRPr="00A71DE3" w:rsidRDefault="00CF632A" w:rsidP="00CF632A">
      <w:pPr>
        <w:rPr>
          <w:rFonts w:asciiTheme="majorBidi" w:hAnsiTheme="majorBidi" w:cstheme="majorBidi"/>
          <w:lang w:eastAsia="zh-CN"/>
        </w:rPr>
      </w:pPr>
      <w:r w:rsidRPr="00A71DE3">
        <w:rPr>
          <w:rFonts w:asciiTheme="majorBidi" w:hAnsiTheme="majorBidi" w:cstheme="majorBidi"/>
          <w:b/>
          <w:lang w:eastAsia="zh-CN"/>
        </w:rPr>
        <w:lastRenderedPageBreak/>
        <w:t xml:space="preserve">3.10 Page - </w:t>
      </w:r>
      <w:r w:rsidRPr="00A71DE3">
        <w:rPr>
          <w:rFonts w:asciiTheme="majorBidi" w:hAnsiTheme="majorBidi" w:cstheme="majorBidi"/>
          <w:lang w:eastAsia="zh-CN"/>
        </w:rPr>
        <w:t>An analyst definable unit of content.</w:t>
      </w:r>
    </w:p>
    <w:p w14:paraId="78E483BA" w14:textId="77777777" w:rsidR="00CF632A" w:rsidRPr="00A71DE3" w:rsidRDefault="00CF632A" w:rsidP="00CF632A">
      <w:pPr>
        <w:rPr>
          <w:rFonts w:asciiTheme="majorBidi" w:hAnsiTheme="majorBidi" w:cstheme="majorBidi"/>
          <w:lang w:eastAsia="zh-CN"/>
        </w:rPr>
      </w:pPr>
      <w:r w:rsidRPr="00A71DE3">
        <w:rPr>
          <w:rFonts w:asciiTheme="majorBidi" w:hAnsiTheme="majorBidi" w:cstheme="majorBidi"/>
          <w:b/>
          <w:lang w:eastAsia="zh-CN"/>
        </w:rPr>
        <w:t xml:space="preserve">3.11 Visit (Session) - </w:t>
      </w:r>
      <w:r w:rsidRPr="00A71DE3">
        <w:rPr>
          <w:rFonts w:asciiTheme="majorBidi" w:hAnsiTheme="majorBidi" w:cstheme="majorBidi"/>
          <w:lang w:eastAsia="zh-CN"/>
        </w:rPr>
        <w:t>A visit (or session) is an interaction, by an individual, with a website consisting of one or more requests for a page. If an individual has not taken another action (typically additional page views) on the site within a specified time period, the visit will terminate by timing out.</w:t>
      </w:r>
    </w:p>
    <w:p w14:paraId="719E7C2A" w14:textId="77777777" w:rsidR="00CF632A" w:rsidRPr="00A71DE3" w:rsidRDefault="00CF632A" w:rsidP="00CF632A">
      <w:pPr>
        <w:rPr>
          <w:rFonts w:asciiTheme="majorBidi" w:hAnsiTheme="majorBidi" w:cstheme="majorBidi"/>
          <w:lang w:eastAsia="zh-CN"/>
        </w:rPr>
      </w:pPr>
      <w:r w:rsidRPr="00A71DE3">
        <w:rPr>
          <w:rFonts w:asciiTheme="majorBidi" w:hAnsiTheme="majorBidi" w:cstheme="majorBidi"/>
          <w:b/>
          <w:lang w:eastAsia="zh-CN"/>
        </w:rPr>
        <w:t xml:space="preserve">3.12 Website traffic - </w:t>
      </w:r>
      <w:r w:rsidRPr="00A71DE3">
        <w:rPr>
          <w:rFonts w:asciiTheme="majorBidi" w:hAnsiTheme="majorBidi" w:cstheme="majorBidi"/>
          <w:lang w:eastAsia="zh-CN"/>
        </w:rPr>
        <w:t xml:space="preserve">It is the amount of data sent and received by visitors to a website to help structure </w:t>
      </w:r>
      <w:r w:rsidRPr="00A71DE3">
        <w:rPr>
          <w:rFonts w:asciiTheme="majorBidi" w:eastAsia="SimSun" w:hAnsiTheme="majorBidi" w:cstheme="majorBidi"/>
          <w:lang w:eastAsia="zh-CN"/>
        </w:rPr>
        <w:t>it</w:t>
      </w:r>
      <w:r w:rsidRPr="00A71DE3">
        <w:rPr>
          <w:rFonts w:asciiTheme="majorBidi" w:hAnsiTheme="majorBidi" w:cstheme="majorBidi"/>
          <w:lang w:eastAsia="zh-CN"/>
        </w:rPr>
        <w:t xml:space="preserve">, highlight security problems or indicate a potential lack of bandwidth and to see the popularity of websites and individual pages or sections within a </w:t>
      </w:r>
      <w:r w:rsidRPr="00A71DE3">
        <w:rPr>
          <w:rFonts w:asciiTheme="majorBidi" w:eastAsia="SimSun" w:hAnsiTheme="majorBidi" w:cstheme="majorBidi"/>
          <w:lang w:eastAsia="zh-CN"/>
        </w:rPr>
        <w:t>web</w:t>
      </w:r>
      <w:r w:rsidRPr="00A71DE3">
        <w:rPr>
          <w:rFonts w:asciiTheme="majorBidi" w:hAnsiTheme="majorBidi" w:cstheme="majorBidi"/>
          <w:lang w:eastAsia="zh-CN"/>
        </w:rPr>
        <w:t>site.</w:t>
      </w:r>
    </w:p>
    <w:p w14:paraId="680E525D" w14:textId="77777777" w:rsidR="00CF632A" w:rsidRPr="00A71DE3" w:rsidRDefault="00CF632A" w:rsidP="00CF632A">
      <w:pPr>
        <w:rPr>
          <w:rFonts w:asciiTheme="majorBidi" w:hAnsiTheme="majorBidi" w:cstheme="majorBidi"/>
        </w:rPr>
      </w:pPr>
    </w:p>
    <w:p w14:paraId="087AA469" w14:textId="77777777" w:rsidR="00CF632A" w:rsidRPr="00A71DE3" w:rsidRDefault="00CF632A" w:rsidP="00CF632A">
      <w:pPr>
        <w:rPr>
          <w:rFonts w:asciiTheme="majorBidi" w:hAnsiTheme="majorBidi" w:cstheme="majorBidi"/>
          <w:bCs/>
        </w:rPr>
      </w:pPr>
      <w:r w:rsidRPr="00A71DE3">
        <w:rPr>
          <w:rFonts w:asciiTheme="majorBidi" w:hAnsiTheme="majorBidi" w:cstheme="majorBidi"/>
          <w:b/>
          <w:bCs/>
        </w:rPr>
        <w:t>SG2 pointed out</w:t>
      </w:r>
      <w:r w:rsidRPr="00A71DE3">
        <w:rPr>
          <w:rFonts w:asciiTheme="majorBidi" w:hAnsiTheme="majorBidi" w:cstheme="majorBidi"/>
          <w:bCs/>
        </w:rPr>
        <w:t xml:space="preserve"> some possible issues for terms and definitions alignment with the followings:</w:t>
      </w:r>
    </w:p>
    <w:p w14:paraId="640215D3" w14:textId="77777777" w:rsidR="00CF632A" w:rsidRPr="00A71DE3" w:rsidRDefault="00CF632A" w:rsidP="00CF632A">
      <w:pPr>
        <w:rPr>
          <w:rFonts w:asciiTheme="majorBidi" w:hAnsiTheme="majorBidi" w:cstheme="majorBidi"/>
        </w:rPr>
      </w:pPr>
      <w:r w:rsidRPr="00A71DE3">
        <w:rPr>
          <w:rFonts w:asciiTheme="majorBidi" w:eastAsia="MS Mincho" w:hAnsiTheme="majorBidi" w:cstheme="majorBidi"/>
        </w:rPr>
        <w:t>ITU-R WP5A</w:t>
      </w:r>
      <w:r w:rsidRPr="00A71DE3">
        <w:rPr>
          <w:rFonts w:asciiTheme="majorBidi" w:hAnsiTheme="majorBidi" w:cstheme="majorBidi"/>
        </w:rPr>
        <w:t xml:space="preserve"> </w:t>
      </w:r>
      <w:r w:rsidRPr="00A71DE3">
        <w:rPr>
          <w:rFonts w:asciiTheme="majorBidi" w:eastAsia="MS Mincho" w:hAnsiTheme="majorBidi" w:cstheme="majorBidi"/>
        </w:rPr>
        <w:t xml:space="preserve">on PPDR (Public Protection and Disaster Relief) </w:t>
      </w:r>
      <w:r w:rsidRPr="00A71DE3">
        <w:rPr>
          <w:rFonts w:asciiTheme="majorBidi" w:hAnsiTheme="majorBidi" w:cstheme="majorBidi"/>
        </w:rPr>
        <w:t>terms and definitions (</w:t>
      </w:r>
      <w:r w:rsidRPr="00A71DE3">
        <w:rPr>
          <w:rFonts w:asciiTheme="majorBidi" w:eastAsia="MS Mincho" w:hAnsiTheme="majorBidi" w:cstheme="majorBidi"/>
        </w:rPr>
        <w:t>Commercial communication network, Commercial technology standard, Device to Device (D2D) communication (PPDR), Direct mode operation, Localized communication services, Mission critical communications, Public protection and disaster relief, PPDR dedicated network, PPDR interoperability, PPDR spe</w:t>
      </w:r>
      <w:r w:rsidRPr="00A71DE3">
        <w:rPr>
          <w:rFonts w:asciiTheme="majorBidi" w:hAnsiTheme="majorBidi" w:cstheme="majorBidi"/>
        </w:rPr>
        <w:t>cific standard</w:t>
      </w:r>
      <w:r w:rsidRPr="00A71DE3">
        <w:rPr>
          <w:rFonts w:asciiTheme="majorBidi" w:eastAsia="MS Mincho" w:hAnsiTheme="majorBidi" w:cstheme="majorBidi"/>
        </w:rPr>
        <w:t>).</w:t>
      </w:r>
    </w:p>
    <w:p w14:paraId="3F0C3D02" w14:textId="77777777" w:rsidR="00CF632A" w:rsidRPr="00A71DE3" w:rsidRDefault="00CF632A" w:rsidP="00CF632A">
      <w:pPr>
        <w:rPr>
          <w:rFonts w:asciiTheme="majorBidi" w:hAnsiTheme="majorBidi" w:cstheme="majorBidi"/>
        </w:rPr>
      </w:pPr>
      <w:r w:rsidRPr="00A71DE3">
        <w:rPr>
          <w:rFonts w:asciiTheme="majorBidi" w:eastAsia="MS Mincho" w:hAnsiTheme="majorBidi" w:cstheme="majorBidi"/>
        </w:rPr>
        <w:t>ITU-R WP 5A on land mobile terms</w:t>
      </w:r>
      <w:r w:rsidRPr="00A71DE3">
        <w:rPr>
          <w:rFonts w:asciiTheme="majorBidi" w:hAnsiTheme="majorBidi" w:cstheme="majorBidi"/>
        </w:rPr>
        <w:t xml:space="preserve"> and definitions </w:t>
      </w:r>
      <w:r w:rsidRPr="00A71DE3">
        <w:rPr>
          <w:rFonts w:asciiTheme="majorBidi" w:eastAsia="MS Mincho" w:hAnsiTheme="majorBidi" w:cstheme="majorBidi"/>
        </w:rPr>
        <w:t>(Ancillary network infrastructure)</w:t>
      </w:r>
    </w:p>
    <w:p w14:paraId="538D4B25" w14:textId="77777777" w:rsidR="00CF632A" w:rsidRPr="00A71DE3" w:rsidRDefault="00CF632A" w:rsidP="00CF632A">
      <w:pPr>
        <w:rPr>
          <w:rFonts w:asciiTheme="majorBidi" w:hAnsiTheme="majorBidi" w:cstheme="majorBidi"/>
          <w:bCs/>
        </w:rPr>
      </w:pPr>
      <w:r w:rsidRPr="00A71DE3">
        <w:rPr>
          <w:rFonts w:asciiTheme="majorBidi" w:hAnsiTheme="majorBidi" w:cstheme="majorBidi"/>
        </w:rPr>
        <w:t xml:space="preserve">ITU-T </w:t>
      </w:r>
      <w:r w:rsidRPr="00A71DE3">
        <w:rPr>
          <w:rFonts w:asciiTheme="majorBidi" w:eastAsia="MS Mincho" w:hAnsiTheme="majorBidi" w:cstheme="majorBidi"/>
        </w:rPr>
        <w:t xml:space="preserve">SG16 </w:t>
      </w:r>
      <w:r w:rsidRPr="00A71DE3">
        <w:rPr>
          <w:rFonts w:asciiTheme="majorBidi" w:hAnsiTheme="majorBidi" w:cstheme="majorBidi"/>
        </w:rPr>
        <w:t xml:space="preserve">on </w:t>
      </w:r>
      <w:r w:rsidRPr="00A71DE3">
        <w:rPr>
          <w:rFonts w:asciiTheme="majorBidi" w:eastAsia="MS Mincho" w:hAnsiTheme="majorBidi" w:cstheme="majorBidi"/>
        </w:rPr>
        <w:t>E.TD-DT and E.FAST</w:t>
      </w:r>
      <w:r w:rsidRPr="00A71DE3">
        <w:rPr>
          <w:rFonts w:asciiTheme="majorBidi" w:hAnsiTheme="majorBidi" w:cstheme="majorBidi"/>
        </w:rPr>
        <w:t xml:space="preserve"> </w:t>
      </w:r>
      <w:r w:rsidRPr="00A71DE3">
        <w:rPr>
          <w:rFonts w:asciiTheme="majorBidi" w:eastAsia="MS Mincho" w:hAnsiTheme="majorBidi" w:cstheme="majorBidi"/>
        </w:rPr>
        <w:t>terms</w:t>
      </w:r>
      <w:r w:rsidRPr="00A71DE3">
        <w:rPr>
          <w:rFonts w:asciiTheme="majorBidi" w:hAnsiTheme="majorBidi" w:cstheme="majorBidi"/>
        </w:rPr>
        <w:t xml:space="preserve"> and definitions</w:t>
      </w:r>
      <w:r w:rsidRPr="00A71DE3">
        <w:rPr>
          <w:rFonts w:asciiTheme="majorBidi" w:eastAsia="MS Mincho" w:hAnsiTheme="majorBidi" w:cstheme="majorBidi"/>
        </w:rPr>
        <w:t>.</w:t>
      </w:r>
    </w:p>
    <w:p w14:paraId="6E88A6FA" w14:textId="77777777" w:rsidR="00CF632A" w:rsidRPr="00A71DE3" w:rsidRDefault="00CF632A" w:rsidP="00CF632A">
      <w:pPr>
        <w:rPr>
          <w:rFonts w:asciiTheme="majorBidi" w:hAnsiTheme="majorBidi" w:cstheme="majorBidi"/>
          <w:bCs/>
        </w:rPr>
      </w:pPr>
      <w:r w:rsidRPr="00A71DE3">
        <w:rPr>
          <w:rFonts w:asciiTheme="majorBidi" w:hAnsiTheme="majorBidi" w:cstheme="majorBidi"/>
          <w:bCs/>
        </w:rPr>
        <w:t>The alignment job should be continued in the new Study Period.</w:t>
      </w:r>
    </w:p>
    <w:p w14:paraId="0B7AAB2D" w14:textId="77777777" w:rsidR="00CF632A" w:rsidRDefault="00CF632A" w:rsidP="00CF632A">
      <w:pPr>
        <w:rPr>
          <w:bCs/>
        </w:rPr>
      </w:pPr>
    </w:p>
    <w:p w14:paraId="7C05959E" w14:textId="77777777" w:rsidR="00CF632A" w:rsidRDefault="00CF632A" w:rsidP="00CF632A">
      <w:pPr>
        <w:jc w:val="center"/>
        <w:rPr>
          <w:bCs/>
        </w:rPr>
      </w:pPr>
      <w:r>
        <w:rPr>
          <w:bCs/>
        </w:rPr>
        <w:t>___________________</w:t>
      </w:r>
    </w:p>
    <w:p w14:paraId="3AA00CD4" w14:textId="77777777" w:rsidR="00BA56AC" w:rsidRPr="001C746A" w:rsidRDefault="00BA56AC" w:rsidP="005253A3">
      <w:bookmarkStart w:id="9" w:name="_GoBack"/>
      <w:bookmarkEnd w:id="9"/>
    </w:p>
    <w:sectPr w:rsidR="00BA56AC" w:rsidRPr="001C746A" w:rsidSect="003E2698">
      <w:pgSz w:w="11907" w:h="16840" w:code="9"/>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F59CD" w14:textId="77777777" w:rsidR="0002035E" w:rsidRDefault="0002035E" w:rsidP="00233F89">
      <w:pPr>
        <w:spacing w:before="0"/>
      </w:pPr>
      <w:r>
        <w:separator/>
      </w:r>
    </w:p>
  </w:endnote>
  <w:endnote w:type="continuationSeparator" w:id="0">
    <w:p w14:paraId="2014EDC5" w14:textId="77777777" w:rsidR="0002035E" w:rsidRDefault="0002035E" w:rsidP="00233F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4D8BD" w14:textId="77777777" w:rsidR="0002035E" w:rsidRDefault="0002035E" w:rsidP="00233F89">
      <w:pPr>
        <w:spacing w:before="0"/>
      </w:pPr>
      <w:r>
        <w:separator/>
      </w:r>
    </w:p>
  </w:footnote>
  <w:footnote w:type="continuationSeparator" w:id="0">
    <w:p w14:paraId="540FCF42" w14:textId="77777777" w:rsidR="0002035E" w:rsidRDefault="0002035E" w:rsidP="00233F8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E877E7"/>
    <w:multiLevelType w:val="hybridMultilevel"/>
    <w:tmpl w:val="6AA8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AC"/>
    <w:rsid w:val="000002CE"/>
    <w:rsid w:val="00000339"/>
    <w:rsid w:val="00000FA8"/>
    <w:rsid w:val="0001104D"/>
    <w:rsid w:val="00012EB5"/>
    <w:rsid w:val="00017655"/>
    <w:rsid w:val="00017FE7"/>
    <w:rsid w:val="0002035E"/>
    <w:rsid w:val="00022B29"/>
    <w:rsid w:val="00025502"/>
    <w:rsid w:val="00027A32"/>
    <w:rsid w:val="00030DBC"/>
    <w:rsid w:val="0003117B"/>
    <w:rsid w:val="0004493F"/>
    <w:rsid w:val="00050A24"/>
    <w:rsid w:val="00055464"/>
    <w:rsid w:val="00055A44"/>
    <w:rsid w:val="0006330F"/>
    <w:rsid w:val="00063556"/>
    <w:rsid w:val="000661D3"/>
    <w:rsid w:val="000769E6"/>
    <w:rsid w:val="00076B1E"/>
    <w:rsid w:val="00077359"/>
    <w:rsid w:val="00077E88"/>
    <w:rsid w:val="0008099A"/>
    <w:rsid w:val="000842F4"/>
    <w:rsid w:val="00085268"/>
    <w:rsid w:val="00096D82"/>
    <w:rsid w:val="00097D70"/>
    <w:rsid w:val="000A1971"/>
    <w:rsid w:val="000A31CB"/>
    <w:rsid w:val="000B286A"/>
    <w:rsid w:val="000B594B"/>
    <w:rsid w:val="000B748C"/>
    <w:rsid w:val="000C1868"/>
    <w:rsid w:val="000C5FD9"/>
    <w:rsid w:val="000D0DA2"/>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08D2"/>
    <w:rsid w:val="00172670"/>
    <w:rsid w:val="00176C2F"/>
    <w:rsid w:val="00184A3C"/>
    <w:rsid w:val="001862D2"/>
    <w:rsid w:val="001871E3"/>
    <w:rsid w:val="001872B3"/>
    <w:rsid w:val="00191E84"/>
    <w:rsid w:val="001942EC"/>
    <w:rsid w:val="001945B8"/>
    <w:rsid w:val="00196438"/>
    <w:rsid w:val="001A03CC"/>
    <w:rsid w:val="001A1E05"/>
    <w:rsid w:val="001A6E14"/>
    <w:rsid w:val="001A79B0"/>
    <w:rsid w:val="001B4799"/>
    <w:rsid w:val="001B4A85"/>
    <w:rsid w:val="001B6D84"/>
    <w:rsid w:val="001B763A"/>
    <w:rsid w:val="001C01DD"/>
    <w:rsid w:val="001C06CA"/>
    <w:rsid w:val="001C303F"/>
    <w:rsid w:val="001C746A"/>
    <w:rsid w:val="001D0429"/>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30922"/>
    <w:rsid w:val="002313E5"/>
    <w:rsid w:val="00233F89"/>
    <w:rsid w:val="002341B0"/>
    <w:rsid w:val="00242B8D"/>
    <w:rsid w:val="0025476D"/>
    <w:rsid w:val="00257576"/>
    <w:rsid w:val="00257972"/>
    <w:rsid w:val="00257A66"/>
    <w:rsid w:val="00260003"/>
    <w:rsid w:val="00262AC6"/>
    <w:rsid w:val="00262FBB"/>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32EB"/>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2441"/>
    <w:rsid w:val="00314E84"/>
    <w:rsid w:val="00315755"/>
    <w:rsid w:val="00320480"/>
    <w:rsid w:val="00321604"/>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0F98"/>
    <w:rsid w:val="0036170A"/>
    <w:rsid w:val="003666B3"/>
    <w:rsid w:val="003676EB"/>
    <w:rsid w:val="0037050B"/>
    <w:rsid w:val="00370AB3"/>
    <w:rsid w:val="00370CF4"/>
    <w:rsid w:val="0037341A"/>
    <w:rsid w:val="00376609"/>
    <w:rsid w:val="00377C74"/>
    <w:rsid w:val="0038320B"/>
    <w:rsid w:val="00383C8F"/>
    <w:rsid w:val="00387228"/>
    <w:rsid w:val="00396576"/>
    <w:rsid w:val="003A121C"/>
    <w:rsid w:val="003A229D"/>
    <w:rsid w:val="003A76F6"/>
    <w:rsid w:val="003B1635"/>
    <w:rsid w:val="003B197C"/>
    <w:rsid w:val="003B1D28"/>
    <w:rsid w:val="003B2A40"/>
    <w:rsid w:val="003B53B3"/>
    <w:rsid w:val="003D0967"/>
    <w:rsid w:val="003D2C2B"/>
    <w:rsid w:val="003D3C3E"/>
    <w:rsid w:val="003D58F8"/>
    <w:rsid w:val="003D7964"/>
    <w:rsid w:val="003E152B"/>
    <w:rsid w:val="003E21BA"/>
    <w:rsid w:val="003E2698"/>
    <w:rsid w:val="003E440C"/>
    <w:rsid w:val="003F243F"/>
    <w:rsid w:val="003F5E9C"/>
    <w:rsid w:val="003F6921"/>
    <w:rsid w:val="003F7CBB"/>
    <w:rsid w:val="00402B6C"/>
    <w:rsid w:val="004032AC"/>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66B9"/>
    <w:rsid w:val="00516C73"/>
    <w:rsid w:val="00517C7D"/>
    <w:rsid w:val="00522154"/>
    <w:rsid w:val="00524AFA"/>
    <w:rsid w:val="00527189"/>
    <w:rsid w:val="00527984"/>
    <w:rsid w:val="005307FF"/>
    <w:rsid w:val="00542167"/>
    <w:rsid w:val="0054509D"/>
    <w:rsid w:val="00547A8B"/>
    <w:rsid w:val="00553C5C"/>
    <w:rsid w:val="0055473A"/>
    <w:rsid w:val="00554DAD"/>
    <w:rsid w:val="00555133"/>
    <w:rsid w:val="00560C65"/>
    <w:rsid w:val="005614F6"/>
    <w:rsid w:val="005633B4"/>
    <w:rsid w:val="00575F9B"/>
    <w:rsid w:val="005771A3"/>
    <w:rsid w:val="0057782F"/>
    <w:rsid w:val="005815CC"/>
    <w:rsid w:val="00583141"/>
    <w:rsid w:val="0058633E"/>
    <w:rsid w:val="00593191"/>
    <w:rsid w:val="00593340"/>
    <w:rsid w:val="005A2A95"/>
    <w:rsid w:val="005B0D58"/>
    <w:rsid w:val="005B1C8B"/>
    <w:rsid w:val="005B29FD"/>
    <w:rsid w:val="005B5835"/>
    <w:rsid w:val="005B66FC"/>
    <w:rsid w:val="005C083A"/>
    <w:rsid w:val="005C6264"/>
    <w:rsid w:val="005D2211"/>
    <w:rsid w:val="005D3BE6"/>
    <w:rsid w:val="005D572B"/>
    <w:rsid w:val="005D633F"/>
    <w:rsid w:val="005D6FA8"/>
    <w:rsid w:val="005D7328"/>
    <w:rsid w:val="005E33DC"/>
    <w:rsid w:val="005E3DA5"/>
    <w:rsid w:val="005E4B83"/>
    <w:rsid w:val="005E51E1"/>
    <w:rsid w:val="005E5474"/>
    <w:rsid w:val="005E76D0"/>
    <w:rsid w:val="005E7AFD"/>
    <w:rsid w:val="005F23F2"/>
    <w:rsid w:val="005F3636"/>
    <w:rsid w:val="005F4B8F"/>
    <w:rsid w:val="005F6550"/>
    <w:rsid w:val="005F6894"/>
    <w:rsid w:val="005F6B17"/>
    <w:rsid w:val="006041E5"/>
    <w:rsid w:val="0060474D"/>
    <w:rsid w:val="00616390"/>
    <w:rsid w:val="00617AB1"/>
    <w:rsid w:val="00621FC0"/>
    <w:rsid w:val="006246ED"/>
    <w:rsid w:val="00627024"/>
    <w:rsid w:val="006334FD"/>
    <w:rsid w:val="006336BF"/>
    <w:rsid w:val="00634F40"/>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5F3F"/>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02F3"/>
    <w:rsid w:val="0077101F"/>
    <w:rsid w:val="00771B16"/>
    <w:rsid w:val="00774F2B"/>
    <w:rsid w:val="007760D0"/>
    <w:rsid w:val="00780AF7"/>
    <w:rsid w:val="00783489"/>
    <w:rsid w:val="007849B5"/>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C11F2"/>
    <w:rsid w:val="007C7042"/>
    <w:rsid w:val="007D2F0F"/>
    <w:rsid w:val="007D2F42"/>
    <w:rsid w:val="007D4860"/>
    <w:rsid w:val="007D7074"/>
    <w:rsid w:val="007E1D1A"/>
    <w:rsid w:val="007F107B"/>
    <w:rsid w:val="007F5562"/>
    <w:rsid w:val="008062A5"/>
    <w:rsid w:val="00807B28"/>
    <w:rsid w:val="00811118"/>
    <w:rsid w:val="00814C73"/>
    <w:rsid w:val="00821E6D"/>
    <w:rsid w:val="0082384E"/>
    <w:rsid w:val="00823B5F"/>
    <w:rsid w:val="00823E8E"/>
    <w:rsid w:val="00831BDA"/>
    <w:rsid w:val="00831C27"/>
    <w:rsid w:val="0083402B"/>
    <w:rsid w:val="00835B4C"/>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1A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142B"/>
    <w:rsid w:val="008E3321"/>
    <w:rsid w:val="008E3FAA"/>
    <w:rsid w:val="008E3FD0"/>
    <w:rsid w:val="008E5942"/>
    <w:rsid w:val="008E7D3D"/>
    <w:rsid w:val="008F24C6"/>
    <w:rsid w:val="008F55EA"/>
    <w:rsid w:val="008F6E82"/>
    <w:rsid w:val="008F7D58"/>
    <w:rsid w:val="00900222"/>
    <w:rsid w:val="0090354F"/>
    <w:rsid w:val="00903EBC"/>
    <w:rsid w:val="00906CD8"/>
    <w:rsid w:val="009142BB"/>
    <w:rsid w:val="009168AF"/>
    <w:rsid w:val="009177BB"/>
    <w:rsid w:val="00920E41"/>
    <w:rsid w:val="00921601"/>
    <w:rsid w:val="009232E9"/>
    <w:rsid w:val="0092642F"/>
    <w:rsid w:val="00926E88"/>
    <w:rsid w:val="00932726"/>
    <w:rsid w:val="0093318F"/>
    <w:rsid w:val="0093606E"/>
    <w:rsid w:val="009379AF"/>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438F"/>
    <w:rsid w:val="009A629B"/>
    <w:rsid w:val="009A62B4"/>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1B32"/>
    <w:rsid w:val="009E2EB0"/>
    <w:rsid w:val="009E45A6"/>
    <w:rsid w:val="009E4C27"/>
    <w:rsid w:val="009E5F5B"/>
    <w:rsid w:val="009E6409"/>
    <w:rsid w:val="009E7BCC"/>
    <w:rsid w:val="009F6454"/>
    <w:rsid w:val="00A01EE1"/>
    <w:rsid w:val="00A02421"/>
    <w:rsid w:val="00A05457"/>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6CF3"/>
    <w:rsid w:val="00A90A92"/>
    <w:rsid w:val="00A91B6A"/>
    <w:rsid w:val="00A9519D"/>
    <w:rsid w:val="00A952C4"/>
    <w:rsid w:val="00AA2313"/>
    <w:rsid w:val="00AA3B47"/>
    <w:rsid w:val="00AA7BFE"/>
    <w:rsid w:val="00AB0B6F"/>
    <w:rsid w:val="00AB258E"/>
    <w:rsid w:val="00AB274D"/>
    <w:rsid w:val="00AC20C3"/>
    <w:rsid w:val="00AC2669"/>
    <w:rsid w:val="00AC3107"/>
    <w:rsid w:val="00AC6353"/>
    <w:rsid w:val="00AC7AAE"/>
    <w:rsid w:val="00AD0060"/>
    <w:rsid w:val="00AD0B67"/>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2348"/>
    <w:rsid w:val="00B04944"/>
    <w:rsid w:val="00B060E3"/>
    <w:rsid w:val="00B10963"/>
    <w:rsid w:val="00B10B79"/>
    <w:rsid w:val="00B1257A"/>
    <w:rsid w:val="00B12D14"/>
    <w:rsid w:val="00B1358A"/>
    <w:rsid w:val="00B1425A"/>
    <w:rsid w:val="00B14E45"/>
    <w:rsid w:val="00B16E08"/>
    <w:rsid w:val="00B17455"/>
    <w:rsid w:val="00B21B5F"/>
    <w:rsid w:val="00B21F02"/>
    <w:rsid w:val="00B242CB"/>
    <w:rsid w:val="00B250FE"/>
    <w:rsid w:val="00B32463"/>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6AC"/>
    <w:rsid w:val="00BB0838"/>
    <w:rsid w:val="00BB2183"/>
    <w:rsid w:val="00BB411B"/>
    <w:rsid w:val="00BB46A0"/>
    <w:rsid w:val="00BB7122"/>
    <w:rsid w:val="00BC031E"/>
    <w:rsid w:val="00BC1F8A"/>
    <w:rsid w:val="00BC27D4"/>
    <w:rsid w:val="00BC41A0"/>
    <w:rsid w:val="00BD0091"/>
    <w:rsid w:val="00BD06A6"/>
    <w:rsid w:val="00BD33EA"/>
    <w:rsid w:val="00BD3ACE"/>
    <w:rsid w:val="00BD6C74"/>
    <w:rsid w:val="00BE4CE7"/>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3ABA"/>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84978"/>
    <w:rsid w:val="00C939FC"/>
    <w:rsid w:val="00C9502D"/>
    <w:rsid w:val="00CA0B6A"/>
    <w:rsid w:val="00CA0E12"/>
    <w:rsid w:val="00CA1EC3"/>
    <w:rsid w:val="00CA318C"/>
    <w:rsid w:val="00CA577E"/>
    <w:rsid w:val="00CA5B16"/>
    <w:rsid w:val="00CA6505"/>
    <w:rsid w:val="00CA7227"/>
    <w:rsid w:val="00CC37DB"/>
    <w:rsid w:val="00CC49C7"/>
    <w:rsid w:val="00CC795E"/>
    <w:rsid w:val="00CD0289"/>
    <w:rsid w:val="00CD24B3"/>
    <w:rsid w:val="00CD3809"/>
    <w:rsid w:val="00CD4ACC"/>
    <w:rsid w:val="00CE2E7F"/>
    <w:rsid w:val="00CF1AB3"/>
    <w:rsid w:val="00CF1F92"/>
    <w:rsid w:val="00CF3243"/>
    <w:rsid w:val="00CF44F8"/>
    <w:rsid w:val="00CF632A"/>
    <w:rsid w:val="00D002DE"/>
    <w:rsid w:val="00D0442B"/>
    <w:rsid w:val="00D06403"/>
    <w:rsid w:val="00D11F7F"/>
    <w:rsid w:val="00D22FC6"/>
    <w:rsid w:val="00D25E27"/>
    <w:rsid w:val="00D305B5"/>
    <w:rsid w:val="00D32900"/>
    <w:rsid w:val="00D34EC4"/>
    <w:rsid w:val="00D42D8D"/>
    <w:rsid w:val="00D43B84"/>
    <w:rsid w:val="00D45DE4"/>
    <w:rsid w:val="00D50BAD"/>
    <w:rsid w:val="00D50DD7"/>
    <w:rsid w:val="00D5167B"/>
    <w:rsid w:val="00D51AFF"/>
    <w:rsid w:val="00D53F49"/>
    <w:rsid w:val="00D561D6"/>
    <w:rsid w:val="00D633FA"/>
    <w:rsid w:val="00D671C7"/>
    <w:rsid w:val="00D672BA"/>
    <w:rsid w:val="00D6768B"/>
    <w:rsid w:val="00D67CAA"/>
    <w:rsid w:val="00D67CE8"/>
    <w:rsid w:val="00D70D16"/>
    <w:rsid w:val="00D72F49"/>
    <w:rsid w:val="00D80ACE"/>
    <w:rsid w:val="00D816A5"/>
    <w:rsid w:val="00D816D3"/>
    <w:rsid w:val="00D823C5"/>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6D7"/>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78A"/>
    <w:rsid w:val="00EA6BD4"/>
    <w:rsid w:val="00EA6E19"/>
    <w:rsid w:val="00EA6FA7"/>
    <w:rsid w:val="00EB000D"/>
    <w:rsid w:val="00EB22C2"/>
    <w:rsid w:val="00EB2D68"/>
    <w:rsid w:val="00EB5397"/>
    <w:rsid w:val="00EB6D19"/>
    <w:rsid w:val="00EB6E6A"/>
    <w:rsid w:val="00EC00CA"/>
    <w:rsid w:val="00EC2769"/>
    <w:rsid w:val="00EC35EB"/>
    <w:rsid w:val="00EC4AAC"/>
    <w:rsid w:val="00EC7452"/>
    <w:rsid w:val="00EC784D"/>
    <w:rsid w:val="00ED4081"/>
    <w:rsid w:val="00ED5BA8"/>
    <w:rsid w:val="00EF027D"/>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1948"/>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E43FF"/>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D7A5"/>
  <w15:chartTrackingRefBased/>
  <w15:docId w15:val="{8CC99A08-85B8-40BB-BCD8-EE379634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BB46A0"/>
    <w:rPr>
      <w:color w:val="0000FF"/>
      <w:u w:val="single"/>
    </w:rPr>
  </w:style>
  <w:style w:type="paragraph" w:customStyle="1" w:styleId="LSDeadline">
    <w:name w:val="LSDeadlin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For">
    <w:name w:val="LSFor"/>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Source">
    <w:name w:val="LSSourc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itle">
    <w:name w:val="LSTitle"/>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LSTo">
    <w:name w:val="LSTo"/>
    <w:basedOn w:val="Normal"/>
    <w:rsid w:val="00BB46A0"/>
    <w:pPr>
      <w:tabs>
        <w:tab w:val="left" w:pos="794"/>
        <w:tab w:val="left" w:pos="1191"/>
        <w:tab w:val="left" w:pos="1588"/>
        <w:tab w:val="left" w:pos="1985"/>
      </w:tabs>
      <w:overflowPunct w:val="0"/>
      <w:autoSpaceDE w:val="0"/>
      <w:autoSpaceDN w:val="0"/>
      <w:adjustRightInd w:val="0"/>
      <w:textAlignment w:val="baseline"/>
    </w:pPr>
    <w:rPr>
      <w:b/>
      <w:bCs/>
      <w:szCs w:val="2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rsid w:val="00B1096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B10963"/>
    <w:pPr>
      <w:tabs>
        <w:tab w:val="clear" w:pos="964"/>
      </w:tabs>
      <w:spacing w:before="80"/>
      <w:ind w:left="1531" w:hanging="851"/>
    </w:pPr>
  </w:style>
  <w:style w:type="paragraph" w:styleId="TOC3">
    <w:name w:val="toc 3"/>
    <w:basedOn w:val="TOC2"/>
    <w:rsid w:val="00B10963"/>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BA56AC"/>
    <w:rPr>
      <w:rFonts w:eastAsia="Times New Roman"/>
      <w:b/>
      <w:bCs/>
      <w:lang w:eastAsia="en-US"/>
    </w:rPr>
  </w:style>
  <w:style w:type="paragraph" w:customStyle="1" w:styleId="LSForInfo">
    <w:name w:val="LSForInfo"/>
    <w:basedOn w:val="LSForAction"/>
    <w:rsid w:val="00BA56AC"/>
  </w:style>
  <w:style w:type="paragraph" w:customStyle="1" w:styleId="LSForComment">
    <w:name w:val="LSForComment"/>
    <w:basedOn w:val="LSForAction"/>
    <w:rsid w:val="00BA56AC"/>
  </w:style>
  <w:style w:type="character" w:customStyle="1" w:styleId="ms-rtestyle-normal">
    <w:name w:val="ms-rtestyle-normal"/>
    <w:basedOn w:val="DefaultParagraphFont"/>
    <w:rsid w:val="00257972"/>
  </w:style>
  <w:style w:type="table" w:styleId="TableGrid">
    <w:name w:val="Table Grid"/>
    <w:basedOn w:val="TableNormal"/>
    <w:uiPriority w:val="59"/>
    <w:rsid w:val="00EC3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7AB1"/>
    <w:rPr>
      <w:sz w:val="16"/>
      <w:szCs w:val="16"/>
    </w:rPr>
  </w:style>
  <w:style w:type="paragraph" w:styleId="CommentText">
    <w:name w:val="annotation text"/>
    <w:basedOn w:val="Normal"/>
    <w:link w:val="CommentTextChar"/>
    <w:uiPriority w:val="99"/>
    <w:semiHidden/>
    <w:unhideWhenUsed/>
    <w:rsid w:val="00617AB1"/>
    <w:rPr>
      <w:sz w:val="20"/>
      <w:szCs w:val="20"/>
    </w:rPr>
  </w:style>
  <w:style w:type="character" w:customStyle="1" w:styleId="CommentTextChar">
    <w:name w:val="Comment Text Char"/>
    <w:basedOn w:val="DefaultParagraphFont"/>
    <w:link w:val="CommentText"/>
    <w:uiPriority w:val="99"/>
    <w:semiHidden/>
    <w:rsid w:val="00617AB1"/>
    <w:rPr>
      <w:lang w:val="en-GB" w:eastAsia="ja-JP"/>
    </w:rPr>
  </w:style>
  <w:style w:type="paragraph" w:styleId="CommentSubject">
    <w:name w:val="annotation subject"/>
    <w:basedOn w:val="CommentText"/>
    <w:next w:val="CommentText"/>
    <w:link w:val="CommentSubjectChar"/>
    <w:uiPriority w:val="99"/>
    <w:semiHidden/>
    <w:unhideWhenUsed/>
    <w:rsid w:val="00617AB1"/>
    <w:rPr>
      <w:b/>
      <w:bCs/>
    </w:rPr>
  </w:style>
  <w:style w:type="character" w:customStyle="1" w:styleId="CommentSubjectChar">
    <w:name w:val="Comment Subject Char"/>
    <w:basedOn w:val="CommentTextChar"/>
    <w:link w:val="CommentSubject"/>
    <w:uiPriority w:val="99"/>
    <w:semiHidden/>
    <w:rsid w:val="00617AB1"/>
    <w:rPr>
      <w:b/>
      <w:bCs/>
      <w:lang w:val="en-GB" w:eastAsia="ja-JP"/>
    </w:rPr>
  </w:style>
  <w:style w:type="paragraph" w:styleId="BalloonText">
    <w:name w:val="Balloon Text"/>
    <w:basedOn w:val="Normal"/>
    <w:link w:val="BalloonTextChar"/>
    <w:uiPriority w:val="99"/>
    <w:semiHidden/>
    <w:unhideWhenUsed/>
    <w:rsid w:val="00617AB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AB1"/>
    <w:rPr>
      <w:rFonts w:ascii="Segoe UI" w:hAnsi="Segoe UI" w:cs="Segoe UI"/>
      <w:sz w:val="18"/>
      <w:szCs w:val="18"/>
      <w:lang w:val="en-GB" w:eastAsia="ja-JP"/>
    </w:rPr>
  </w:style>
  <w:style w:type="character" w:styleId="FollowedHyperlink">
    <w:name w:val="FollowedHyperlink"/>
    <w:basedOn w:val="DefaultParagraphFont"/>
    <w:uiPriority w:val="99"/>
    <w:semiHidden/>
    <w:unhideWhenUsed/>
    <w:rsid w:val="00617AB1"/>
    <w:rPr>
      <w:color w:val="800080" w:themeColor="followedHyperlink"/>
      <w:u w:val="single"/>
    </w:rPr>
  </w:style>
  <w:style w:type="paragraph" w:styleId="Footer">
    <w:name w:val="footer"/>
    <w:basedOn w:val="Normal"/>
    <w:link w:val="FooterChar"/>
    <w:uiPriority w:val="99"/>
    <w:unhideWhenUsed/>
    <w:rsid w:val="00233F89"/>
    <w:pPr>
      <w:tabs>
        <w:tab w:val="center" w:pos="4680"/>
        <w:tab w:val="right" w:pos="9360"/>
      </w:tabs>
      <w:spacing w:before="0"/>
    </w:pPr>
  </w:style>
  <w:style w:type="character" w:customStyle="1" w:styleId="FooterChar">
    <w:name w:val="Footer Char"/>
    <w:basedOn w:val="DefaultParagraphFont"/>
    <w:link w:val="Footer"/>
    <w:uiPriority w:val="99"/>
    <w:rsid w:val="00233F89"/>
    <w:rPr>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8045">
      <w:bodyDiv w:val="1"/>
      <w:marLeft w:val="0"/>
      <w:marRight w:val="0"/>
      <w:marTop w:val="0"/>
      <w:marBottom w:val="0"/>
      <w:divBdr>
        <w:top w:val="none" w:sz="0" w:space="0" w:color="auto"/>
        <w:left w:val="none" w:sz="0" w:space="0" w:color="auto"/>
        <w:bottom w:val="none" w:sz="0" w:space="0" w:color="auto"/>
        <w:right w:val="none" w:sz="0" w:space="0" w:color="auto"/>
      </w:divBdr>
    </w:div>
    <w:div w:id="1161657280">
      <w:bodyDiv w:val="1"/>
      <w:marLeft w:val="0"/>
      <w:marRight w:val="0"/>
      <w:marTop w:val="0"/>
      <w:marBottom w:val="0"/>
      <w:divBdr>
        <w:top w:val="none" w:sz="0" w:space="0" w:color="auto"/>
        <w:left w:val="none" w:sz="0" w:space="0" w:color="auto"/>
        <w:bottom w:val="none" w:sz="0" w:space="0" w:color="auto"/>
        <w:right w:val="none" w:sz="0" w:space="0" w:color="auto"/>
      </w:divBdr>
    </w:div>
    <w:div w:id="1744257082">
      <w:bodyDiv w:val="1"/>
      <w:marLeft w:val="0"/>
      <w:marRight w:val="0"/>
      <w:marTop w:val="0"/>
      <w:marBottom w:val="0"/>
      <w:divBdr>
        <w:top w:val="none" w:sz="0" w:space="0" w:color="auto"/>
        <w:left w:val="none" w:sz="0" w:space="0" w:color="auto"/>
        <w:bottom w:val="none" w:sz="0" w:space="0" w:color="auto"/>
        <w:right w:val="none" w:sz="0" w:space="0" w:color="auto"/>
      </w:divBdr>
    </w:div>
    <w:div w:id="1869558431">
      <w:bodyDiv w:val="1"/>
      <w:marLeft w:val="0"/>
      <w:marRight w:val="0"/>
      <w:marTop w:val="0"/>
      <w:marBottom w:val="0"/>
      <w:divBdr>
        <w:top w:val="none" w:sz="0" w:space="0" w:color="auto"/>
        <w:left w:val="none" w:sz="0" w:space="0" w:color="auto"/>
        <w:bottom w:val="none" w:sz="0" w:space="0" w:color="auto"/>
        <w:right w:val="none" w:sz="0" w:space="0" w:color="auto"/>
      </w:divBdr>
    </w:div>
    <w:div w:id="205869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cherkesov@mtt.r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71817C-94E5-4750-87EE-364124CB98CB}"/>
</file>

<file path=customXml/itemProps2.xml><?xml version="1.0" encoding="utf-8"?>
<ds:datastoreItem xmlns:ds="http://schemas.openxmlformats.org/officeDocument/2006/customXml" ds:itemID="{C16DA0B6-AC73-43AB-B525-6472CD7873BC}"/>
</file>

<file path=customXml/itemProps3.xml><?xml version="1.0" encoding="utf-8"?>
<ds:datastoreItem xmlns:ds="http://schemas.openxmlformats.org/officeDocument/2006/customXml" ds:itemID="{BAC44574-2227-4407-9B51-952D4742E409}"/>
</file>

<file path=docProps/app.xml><?xml version="1.0" encoding="utf-8"?>
<Properties xmlns="http://schemas.openxmlformats.org/officeDocument/2006/extended-properties" xmlns:vt="http://schemas.openxmlformats.org/officeDocument/2006/docPropsVTypes">
  <Template>Normal.dotm</Template>
  <TotalTime>7</TotalTime>
  <Pages>3</Pages>
  <Words>1038</Words>
  <Characters>5611</Characters>
  <Application>Microsoft Office Word</Application>
  <DocSecurity>0</DocSecurity>
  <Lines>118</Lines>
  <Paragraphs>59</Paragraphs>
  <ScaleCrop>false</ScaleCrop>
  <HeadingPairs>
    <vt:vector size="2" baseType="variant">
      <vt:variant>
        <vt:lpstr>Title</vt:lpstr>
      </vt:variant>
      <vt:variant>
        <vt:i4>1</vt:i4>
      </vt:variant>
    </vt:vector>
  </HeadingPairs>
  <TitlesOfParts>
    <vt:vector size="1" baseType="lpstr">
      <vt:lpstr>LS on increasing efficiency of work in ITU-T [to all ITU-T groups]</vt:lpstr>
    </vt:vector>
  </TitlesOfParts>
  <Manager>ITU-T</Manager>
  <Company>International Telecommunication Union (ITU)</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ITU-T study group responsibilities in WTSA Resolution 67 (Rev. Dubai, 2012) – Terms and Definitions harmonization</dc:title>
  <dc:subject/>
  <dc:creator>ITU-T Study Group 2</dc:creator>
  <cp:keywords/>
  <dc:description>TD 52  For: 22 November 2016_x000d_Document date: _x000d_Saved by ITU51009519 at 15:22:05 on 15/11/2016</dc:description>
  <cp:lastModifiedBy>TSB</cp:lastModifiedBy>
  <cp:revision>5</cp:revision>
  <cp:lastPrinted>2016-04-14T05:08:00Z</cp:lastPrinted>
  <dcterms:created xsi:type="dcterms:W3CDTF">2016-11-15T14:14:00Z</dcterms:created>
  <dcterms:modified xsi:type="dcterms:W3CDTF">2016-11-15T14:22:00Z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52</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22 November 2016</vt:lpwstr>
  </property>
  <property fmtid="{D5CDD505-2E9C-101B-9397-08002B2CF9AE}" pid="7" name="Docauthor">
    <vt:lpwstr>ITU-T Study Group 2</vt:lpwstr>
  </property>
  <property fmtid="{D5CDD505-2E9C-101B-9397-08002B2CF9AE}" pid="8" name="ContentTypeId">
    <vt:lpwstr>0x01010017487812B7DF734F899F9E259C366837</vt:lpwstr>
  </property>
</Properties>
</file>