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07"/>
        <w:gridCol w:w="551"/>
        <w:gridCol w:w="2671"/>
        <w:gridCol w:w="1123"/>
        <w:gridCol w:w="3914"/>
        <w:gridCol w:w="57"/>
      </w:tblGrid>
      <w:tr w:rsidR="00AB0B6F" w:rsidRPr="00AB0B6F" w14:paraId="6857D0F2" w14:textId="77777777">
        <w:trPr>
          <w:gridAfter w:val="1"/>
          <w:wAfter w:w="57" w:type="dxa"/>
          <w:cantSplit/>
        </w:trPr>
        <w:tc>
          <w:tcPr>
            <w:tcW w:w="4857" w:type="dxa"/>
            <w:gridSpan w:val="3"/>
          </w:tcPr>
          <w:p w14:paraId="3F9EC077" w14:textId="77777777" w:rsidR="00AB0B6F" w:rsidRPr="00AB0B6F" w:rsidRDefault="00AB0B6F" w:rsidP="00AB0B6F">
            <w:pPr>
              <w:rPr>
                <w:sz w:val="20"/>
              </w:rPr>
            </w:pPr>
            <w:bookmarkStart w:id="0" w:name="dsg" w:colFirst="1" w:colLast="1"/>
            <w:bookmarkStart w:id="1" w:name="dtableau"/>
            <w:r w:rsidRPr="00AB0B6F">
              <w:rPr>
                <w:sz w:val="20"/>
              </w:rPr>
              <w:t>INTERNATIONAL TELECOMMUNICATION UNION</w:t>
            </w:r>
          </w:p>
        </w:tc>
        <w:tc>
          <w:tcPr>
            <w:tcW w:w="5066" w:type="dxa"/>
            <w:gridSpan w:val="2"/>
          </w:tcPr>
          <w:p w14:paraId="484A6029" w14:textId="1DD520BA" w:rsidR="00AB0B6F" w:rsidRPr="00AB0B6F" w:rsidRDefault="00AB0B6F" w:rsidP="00AB0B6F">
            <w:pPr>
              <w:jc w:val="right"/>
              <w:rPr>
                <w:b/>
                <w:bCs/>
                <w:smallCaps/>
                <w:sz w:val="32"/>
              </w:rPr>
            </w:pPr>
            <w:r>
              <w:rPr>
                <w:b/>
                <w:bCs/>
                <w:smallCaps/>
                <w:sz w:val="32"/>
              </w:rPr>
              <w:t>SCV</w:t>
            </w:r>
          </w:p>
        </w:tc>
      </w:tr>
      <w:tr w:rsidR="00AB0B6F" w:rsidRPr="00AB0B6F" w14:paraId="3C93FE4A" w14:textId="77777777">
        <w:trPr>
          <w:gridAfter w:val="1"/>
          <w:wAfter w:w="57" w:type="dxa"/>
          <w:cantSplit/>
          <w:trHeight w:val="461"/>
        </w:trPr>
        <w:tc>
          <w:tcPr>
            <w:tcW w:w="4857" w:type="dxa"/>
            <w:gridSpan w:val="3"/>
            <w:vMerge w:val="restart"/>
            <w:tcBorders>
              <w:bottom w:val="nil"/>
            </w:tcBorders>
          </w:tcPr>
          <w:p w14:paraId="0BF7BBC5" w14:textId="77777777" w:rsidR="00AB0B6F" w:rsidRPr="00AB0B6F" w:rsidRDefault="00AB0B6F" w:rsidP="00AB0B6F">
            <w:pPr>
              <w:rPr>
                <w:b/>
                <w:bCs/>
                <w:sz w:val="26"/>
              </w:rPr>
            </w:pPr>
            <w:bookmarkStart w:id="2" w:name="dnum" w:colFirst="1" w:colLast="1"/>
            <w:bookmarkEnd w:id="0"/>
            <w:r w:rsidRPr="00AB0B6F">
              <w:rPr>
                <w:b/>
                <w:bCs/>
                <w:sz w:val="26"/>
              </w:rPr>
              <w:t>TELECOMMUNICATION</w:t>
            </w:r>
            <w:r w:rsidRPr="00AB0B6F">
              <w:rPr>
                <w:b/>
                <w:bCs/>
                <w:sz w:val="26"/>
              </w:rPr>
              <w:br/>
              <w:t>STANDARDIZATION SECTOR</w:t>
            </w:r>
          </w:p>
          <w:p w14:paraId="39EB1E9A" w14:textId="197CAD79" w:rsidR="00AB0B6F" w:rsidRPr="0082384E" w:rsidRDefault="00AB0B6F" w:rsidP="00AB0B6F">
            <w:pPr>
              <w:rPr>
                <w:smallCaps/>
              </w:rPr>
            </w:pPr>
            <w:r w:rsidRPr="0082384E">
              <w:t>Standardization Committee for Vocabulary</w:t>
            </w:r>
          </w:p>
        </w:tc>
        <w:tc>
          <w:tcPr>
            <w:tcW w:w="5066" w:type="dxa"/>
            <w:gridSpan w:val="2"/>
            <w:tcBorders>
              <w:bottom w:val="nil"/>
            </w:tcBorders>
          </w:tcPr>
          <w:p w14:paraId="0C01CFF7" w14:textId="35448351" w:rsidR="00AB0B6F" w:rsidRPr="00AB0B6F" w:rsidRDefault="00AB0B6F" w:rsidP="003E2698">
            <w:pPr>
              <w:pStyle w:val="Docnumber"/>
            </w:pPr>
            <w:r>
              <w:t xml:space="preserve">TD </w:t>
            </w:r>
            <w:r w:rsidR="003E2698">
              <w:t>51</w:t>
            </w:r>
            <w:r>
              <w:t xml:space="preserve"> </w:t>
            </w:r>
          </w:p>
        </w:tc>
      </w:tr>
      <w:tr w:rsidR="00AB0B6F" w:rsidRPr="00AB0B6F" w14:paraId="0D9D2CFB" w14:textId="77777777">
        <w:trPr>
          <w:gridAfter w:val="1"/>
          <w:wAfter w:w="57" w:type="dxa"/>
          <w:cantSplit/>
          <w:trHeight w:val="355"/>
        </w:trPr>
        <w:tc>
          <w:tcPr>
            <w:tcW w:w="4857" w:type="dxa"/>
            <w:gridSpan w:val="3"/>
            <w:vMerge/>
            <w:tcBorders>
              <w:bottom w:val="single" w:sz="12" w:space="0" w:color="auto"/>
            </w:tcBorders>
          </w:tcPr>
          <w:p w14:paraId="148F2245" w14:textId="77777777" w:rsidR="00AB0B6F" w:rsidRPr="00AB0B6F" w:rsidRDefault="00AB0B6F" w:rsidP="00AB0B6F">
            <w:pPr>
              <w:rPr>
                <w:b/>
                <w:bCs/>
                <w:sz w:val="26"/>
              </w:rPr>
            </w:pPr>
            <w:bookmarkStart w:id="3" w:name="dorlang" w:colFirst="1" w:colLast="1"/>
            <w:bookmarkEnd w:id="2"/>
          </w:p>
        </w:tc>
        <w:tc>
          <w:tcPr>
            <w:tcW w:w="5066" w:type="dxa"/>
            <w:gridSpan w:val="2"/>
            <w:tcBorders>
              <w:bottom w:val="single" w:sz="12" w:space="0" w:color="auto"/>
            </w:tcBorders>
          </w:tcPr>
          <w:p w14:paraId="12CF70E6" w14:textId="77777777" w:rsidR="00AB0B6F" w:rsidRDefault="00AB0B6F" w:rsidP="00AB0B6F">
            <w:pPr>
              <w:jc w:val="right"/>
              <w:rPr>
                <w:b/>
                <w:bCs/>
                <w:sz w:val="28"/>
              </w:rPr>
            </w:pPr>
            <w:r>
              <w:rPr>
                <w:b/>
                <w:bCs/>
                <w:sz w:val="28"/>
              </w:rPr>
              <w:t>English only</w:t>
            </w:r>
          </w:p>
          <w:p w14:paraId="52226C2F" w14:textId="3B2AE91E" w:rsidR="00AB0B6F" w:rsidRPr="00AB0B6F" w:rsidRDefault="00AB0B6F" w:rsidP="00AB0B6F">
            <w:pPr>
              <w:jc w:val="right"/>
              <w:rPr>
                <w:b/>
                <w:bCs/>
                <w:sz w:val="28"/>
              </w:rPr>
            </w:pPr>
            <w:r>
              <w:rPr>
                <w:b/>
                <w:bCs/>
                <w:sz w:val="28"/>
              </w:rPr>
              <w:t>Original: English</w:t>
            </w:r>
          </w:p>
        </w:tc>
      </w:tr>
      <w:tr w:rsidR="00AB0B6F" w:rsidRPr="00AB0B6F" w14:paraId="2341C626" w14:textId="77777777">
        <w:trPr>
          <w:gridAfter w:val="1"/>
          <w:wAfter w:w="57" w:type="dxa"/>
          <w:cantSplit/>
          <w:trHeight w:val="357"/>
        </w:trPr>
        <w:tc>
          <w:tcPr>
            <w:tcW w:w="1617" w:type="dxa"/>
          </w:tcPr>
          <w:p w14:paraId="61D34DDB" w14:textId="035D6B21" w:rsidR="00AB0B6F" w:rsidRPr="00AB0B6F" w:rsidRDefault="00AB0B6F" w:rsidP="00AB0B6F">
            <w:pPr>
              <w:rPr>
                <w:b/>
                <w:bCs/>
              </w:rPr>
            </w:pPr>
            <w:bookmarkStart w:id="4" w:name="dmeeting" w:colFirst="2" w:colLast="2"/>
            <w:bookmarkStart w:id="5" w:name="dbluepink" w:colFirst="1" w:colLast="1"/>
            <w:bookmarkEnd w:id="3"/>
          </w:p>
        </w:tc>
        <w:tc>
          <w:tcPr>
            <w:tcW w:w="3240" w:type="dxa"/>
            <w:gridSpan w:val="2"/>
          </w:tcPr>
          <w:p w14:paraId="025EBF00" w14:textId="77777777" w:rsidR="00AB0B6F" w:rsidRPr="00AB0B6F" w:rsidRDefault="00AB0B6F" w:rsidP="00AB0B6F"/>
        </w:tc>
        <w:tc>
          <w:tcPr>
            <w:tcW w:w="5066" w:type="dxa"/>
            <w:gridSpan w:val="2"/>
          </w:tcPr>
          <w:p w14:paraId="07D220D2" w14:textId="4A2FC96C" w:rsidR="00AB0B6F" w:rsidRPr="00AB0B6F" w:rsidRDefault="003E2698" w:rsidP="00AB0B6F">
            <w:pPr>
              <w:jc w:val="right"/>
            </w:pPr>
            <w:r>
              <w:t>22 November</w:t>
            </w:r>
            <w:r w:rsidR="00AB0B6F" w:rsidRPr="00AB0B6F">
              <w:t xml:space="preserve"> 2016</w:t>
            </w:r>
          </w:p>
        </w:tc>
      </w:tr>
      <w:tr w:rsidR="00AB0B6F" w:rsidRPr="00AB0B6F" w14:paraId="27FA544A" w14:textId="77777777">
        <w:trPr>
          <w:gridAfter w:val="1"/>
          <w:wAfter w:w="57" w:type="dxa"/>
          <w:cantSplit/>
          <w:trHeight w:val="357"/>
        </w:trPr>
        <w:tc>
          <w:tcPr>
            <w:tcW w:w="9923" w:type="dxa"/>
            <w:gridSpan w:val="5"/>
          </w:tcPr>
          <w:p w14:paraId="2D5B7092" w14:textId="23B9835A" w:rsidR="00AB0B6F" w:rsidRPr="00AB0B6F" w:rsidRDefault="00AB0B6F" w:rsidP="00AB0B6F">
            <w:pPr>
              <w:jc w:val="center"/>
              <w:rPr>
                <w:b/>
                <w:bCs/>
              </w:rPr>
            </w:pPr>
            <w:bookmarkStart w:id="6" w:name="dtitle" w:colFirst="0" w:colLast="0"/>
            <w:bookmarkEnd w:id="4"/>
            <w:bookmarkEnd w:id="5"/>
            <w:r w:rsidRPr="00AB0B6F">
              <w:rPr>
                <w:b/>
                <w:bCs/>
              </w:rPr>
              <w:t>TD</w:t>
            </w:r>
          </w:p>
        </w:tc>
      </w:tr>
      <w:tr w:rsidR="003E2698" w:rsidRPr="00AB0B6F" w14:paraId="0DFDA2CB" w14:textId="77777777">
        <w:trPr>
          <w:gridAfter w:val="1"/>
          <w:wAfter w:w="57" w:type="dxa"/>
          <w:cantSplit/>
          <w:trHeight w:val="357"/>
        </w:trPr>
        <w:tc>
          <w:tcPr>
            <w:tcW w:w="9923" w:type="dxa"/>
            <w:gridSpan w:val="5"/>
          </w:tcPr>
          <w:p w14:paraId="1A000647" w14:textId="1EDFCACE" w:rsidR="003E2698" w:rsidRPr="00AB0B6F" w:rsidRDefault="003E2698" w:rsidP="00AB0B6F">
            <w:pPr>
              <w:jc w:val="center"/>
              <w:rPr>
                <w:b/>
                <w:bCs/>
              </w:rPr>
            </w:pPr>
            <w:r>
              <w:rPr>
                <w:b/>
                <w:bCs/>
              </w:rPr>
              <w:t xml:space="preserve">Ref.: </w:t>
            </w:r>
            <w:r w:rsidRPr="003E2698">
              <w:rPr>
                <w:b/>
                <w:bCs/>
              </w:rPr>
              <w:t>COM 12 – LS 107 – E</w:t>
            </w:r>
          </w:p>
        </w:tc>
      </w:tr>
      <w:tr w:rsidR="00AB0B6F" w:rsidRPr="00AB0B6F" w14:paraId="42A3A4D3" w14:textId="77777777">
        <w:trPr>
          <w:gridAfter w:val="1"/>
          <w:wAfter w:w="57" w:type="dxa"/>
          <w:cantSplit/>
          <w:trHeight w:val="357"/>
        </w:trPr>
        <w:tc>
          <w:tcPr>
            <w:tcW w:w="1617" w:type="dxa"/>
          </w:tcPr>
          <w:p w14:paraId="49806267" w14:textId="77777777" w:rsidR="00AB0B6F" w:rsidRPr="00AB0B6F" w:rsidRDefault="00AB0B6F" w:rsidP="00AB0B6F">
            <w:pPr>
              <w:rPr>
                <w:b/>
                <w:bCs/>
              </w:rPr>
            </w:pPr>
            <w:bookmarkStart w:id="7" w:name="dsource" w:colFirst="1" w:colLast="1"/>
            <w:bookmarkEnd w:id="6"/>
            <w:r w:rsidRPr="00AB0B6F">
              <w:rPr>
                <w:b/>
                <w:bCs/>
              </w:rPr>
              <w:t>Source:</w:t>
            </w:r>
          </w:p>
        </w:tc>
        <w:tc>
          <w:tcPr>
            <w:tcW w:w="8306" w:type="dxa"/>
            <w:gridSpan w:val="4"/>
          </w:tcPr>
          <w:p w14:paraId="5D4BDE7F" w14:textId="430BB6AF" w:rsidR="00AB0B6F" w:rsidRPr="00AB0B6F" w:rsidRDefault="003E2698" w:rsidP="00AB0B6F">
            <w:r>
              <w:t>ITU-T Study Group 12</w:t>
            </w:r>
          </w:p>
        </w:tc>
      </w:tr>
      <w:tr w:rsidR="00AB0B6F" w:rsidRPr="00AB0B6F" w14:paraId="266CD18D" w14:textId="77777777">
        <w:trPr>
          <w:gridAfter w:val="1"/>
          <w:wAfter w:w="57" w:type="dxa"/>
          <w:cantSplit/>
          <w:trHeight w:val="357"/>
        </w:trPr>
        <w:tc>
          <w:tcPr>
            <w:tcW w:w="1617" w:type="dxa"/>
            <w:tcBorders>
              <w:bottom w:val="single" w:sz="12" w:space="0" w:color="auto"/>
            </w:tcBorders>
          </w:tcPr>
          <w:p w14:paraId="1AF701B4" w14:textId="77777777" w:rsidR="00AB0B6F" w:rsidRPr="00AB0B6F" w:rsidRDefault="00AB0B6F" w:rsidP="00AB0B6F">
            <w:pPr>
              <w:spacing w:after="120"/>
            </w:pPr>
            <w:bookmarkStart w:id="8" w:name="dtitle1" w:colFirst="1" w:colLast="1"/>
            <w:bookmarkEnd w:id="7"/>
            <w:r w:rsidRPr="00AB0B6F">
              <w:rPr>
                <w:b/>
                <w:bCs/>
              </w:rPr>
              <w:t>Title:</w:t>
            </w:r>
          </w:p>
        </w:tc>
        <w:tc>
          <w:tcPr>
            <w:tcW w:w="8306" w:type="dxa"/>
            <w:gridSpan w:val="4"/>
            <w:tcBorders>
              <w:bottom w:val="single" w:sz="12" w:space="0" w:color="auto"/>
            </w:tcBorders>
          </w:tcPr>
          <w:p w14:paraId="11092212" w14:textId="6CC16A5B" w:rsidR="00AB0B6F" w:rsidRPr="00AB0B6F" w:rsidRDefault="00AB0B6F" w:rsidP="00023C3E">
            <w:pPr>
              <w:spacing w:after="120"/>
            </w:pPr>
            <w:r w:rsidRPr="00AB0B6F">
              <w:t xml:space="preserve">LS on </w:t>
            </w:r>
            <w:r w:rsidR="003E2698">
              <w:t>revised definition of Quality of Experience (QoE) and new terms in Rec. P.10/G.100</w:t>
            </w:r>
            <w:bookmarkStart w:id="9" w:name="_GoBack"/>
            <w:bookmarkEnd w:id="9"/>
          </w:p>
        </w:tc>
      </w:tr>
      <w:bookmarkEnd w:id="1"/>
      <w:bookmarkEnd w:id="8"/>
      <w:tr w:rsidR="00BA56AC" w:rsidRPr="001C746A" w14:paraId="3DB3EB76" w14:textId="77777777" w:rsidTr="00925A23">
        <w:trPr>
          <w:cantSplit/>
          <w:trHeight w:val="357"/>
        </w:trPr>
        <w:tc>
          <w:tcPr>
            <w:tcW w:w="9923" w:type="dxa"/>
            <w:gridSpan w:val="6"/>
            <w:tcBorders>
              <w:top w:val="single" w:sz="12" w:space="0" w:color="auto"/>
            </w:tcBorders>
          </w:tcPr>
          <w:p w14:paraId="015F3D00" w14:textId="77777777" w:rsidR="00BA56AC" w:rsidRPr="001C746A" w:rsidRDefault="00BA56AC" w:rsidP="00BD33EA">
            <w:pPr>
              <w:jc w:val="center"/>
              <w:rPr>
                <w:b/>
                <w:bCs/>
              </w:rPr>
            </w:pPr>
            <w:r w:rsidRPr="001C746A">
              <w:rPr>
                <w:b/>
                <w:bCs/>
              </w:rPr>
              <w:t>LIAISON STATEMENT</w:t>
            </w:r>
          </w:p>
        </w:tc>
      </w:tr>
      <w:tr w:rsidR="00BA56AC" w:rsidRPr="003E2698" w14:paraId="14D44EC1" w14:textId="77777777" w:rsidTr="00AB0B6F">
        <w:trPr>
          <w:cantSplit/>
          <w:trHeight w:val="357"/>
        </w:trPr>
        <w:tc>
          <w:tcPr>
            <w:tcW w:w="2171" w:type="dxa"/>
            <w:gridSpan w:val="2"/>
          </w:tcPr>
          <w:p w14:paraId="3A5CEC21" w14:textId="77777777" w:rsidR="00BA56AC" w:rsidRPr="001C746A" w:rsidRDefault="00BA56AC" w:rsidP="00925A23">
            <w:pPr>
              <w:rPr>
                <w:b/>
                <w:bCs/>
              </w:rPr>
            </w:pPr>
            <w:r w:rsidRPr="001C746A">
              <w:rPr>
                <w:b/>
                <w:bCs/>
              </w:rPr>
              <w:t>For action to:</w:t>
            </w:r>
          </w:p>
        </w:tc>
        <w:tc>
          <w:tcPr>
            <w:tcW w:w="7752" w:type="dxa"/>
            <w:gridSpan w:val="4"/>
          </w:tcPr>
          <w:p w14:paraId="19DB8043" w14:textId="39A66757" w:rsidR="00BA56AC" w:rsidRPr="00233F89" w:rsidRDefault="00BA56AC" w:rsidP="00925A23">
            <w:pPr>
              <w:pStyle w:val="LSForAction"/>
              <w:rPr>
                <w:lang w:val="fr-CH"/>
              </w:rPr>
            </w:pPr>
          </w:p>
        </w:tc>
      </w:tr>
      <w:tr w:rsidR="00BA56AC" w:rsidRPr="001C746A" w14:paraId="373F8682" w14:textId="77777777" w:rsidTr="00AB0B6F">
        <w:trPr>
          <w:cantSplit/>
          <w:trHeight w:val="357"/>
        </w:trPr>
        <w:tc>
          <w:tcPr>
            <w:tcW w:w="2171" w:type="dxa"/>
            <w:gridSpan w:val="2"/>
          </w:tcPr>
          <w:p w14:paraId="2FDDEF5F" w14:textId="77777777" w:rsidR="00BA56AC" w:rsidRPr="001C746A" w:rsidRDefault="00BA56AC" w:rsidP="00925A23">
            <w:pPr>
              <w:rPr>
                <w:b/>
                <w:bCs/>
              </w:rPr>
            </w:pPr>
            <w:r w:rsidRPr="001C746A">
              <w:rPr>
                <w:b/>
                <w:bCs/>
              </w:rPr>
              <w:t>For comment to:</w:t>
            </w:r>
          </w:p>
        </w:tc>
        <w:tc>
          <w:tcPr>
            <w:tcW w:w="7752" w:type="dxa"/>
            <w:gridSpan w:val="4"/>
          </w:tcPr>
          <w:p w14:paraId="7034DE42" w14:textId="77777777" w:rsidR="00BA56AC" w:rsidRPr="001C746A" w:rsidRDefault="009379AF" w:rsidP="00925A23">
            <w:pPr>
              <w:pStyle w:val="LSForComment"/>
            </w:pPr>
            <w:r w:rsidRPr="001C746A">
              <w:t>-</w:t>
            </w:r>
          </w:p>
        </w:tc>
      </w:tr>
      <w:tr w:rsidR="00BA56AC" w:rsidRPr="001C746A" w14:paraId="553A5858" w14:textId="77777777" w:rsidTr="00AB0B6F">
        <w:trPr>
          <w:cantSplit/>
          <w:trHeight w:val="357"/>
        </w:trPr>
        <w:tc>
          <w:tcPr>
            <w:tcW w:w="2171" w:type="dxa"/>
            <w:gridSpan w:val="2"/>
          </w:tcPr>
          <w:p w14:paraId="1B17FEDF" w14:textId="77777777" w:rsidR="00BA56AC" w:rsidRPr="001C746A" w:rsidRDefault="00BA56AC" w:rsidP="00925A23">
            <w:pPr>
              <w:rPr>
                <w:b/>
                <w:bCs/>
              </w:rPr>
            </w:pPr>
            <w:r w:rsidRPr="001C746A">
              <w:rPr>
                <w:b/>
                <w:bCs/>
              </w:rPr>
              <w:t>For information to:</w:t>
            </w:r>
          </w:p>
        </w:tc>
        <w:tc>
          <w:tcPr>
            <w:tcW w:w="7752" w:type="dxa"/>
            <w:gridSpan w:val="4"/>
          </w:tcPr>
          <w:p w14:paraId="02997C18" w14:textId="33576476" w:rsidR="00BA56AC" w:rsidRPr="001C746A" w:rsidRDefault="003E2698" w:rsidP="00925A23">
            <w:pPr>
              <w:pStyle w:val="LSForInfo"/>
            </w:pPr>
            <w:r>
              <w:t>SCV</w:t>
            </w:r>
            <w:r w:rsidR="00023C3E">
              <w:t xml:space="preserve">, </w:t>
            </w:r>
            <w:r w:rsidR="00023C3E">
              <w:t>ITU-T SG ALL, ITU-R SG ALL, ITU-D SG ALL; ETSI STQ; IETF; Qualinet</w:t>
            </w:r>
          </w:p>
        </w:tc>
      </w:tr>
      <w:tr w:rsidR="00BA56AC" w:rsidRPr="001C746A" w14:paraId="28791D48" w14:textId="77777777" w:rsidTr="00AB0B6F">
        <w:trPr>
          <w:cantSplit/>
          <w:trHeight w:val="357"/>
        </w:trPr>
        <w:tc>
          <w:tcPr>
            <w:tcW w:w="2171" w:type="dxa"/>
            <w:gridSpan w:val="2"/>
          </w:tcPr>
          <w:p w14:paraId="3A5C0795" w14:textId="77777777" w:rsidR="00BA56AC" w:rsidRPr="001C746A" w:rsidRDefault="00BA56AC" w:rsidP="00925A23">
            <w:pPr>
              <w:rPr>
                <w:b/>
                <w:bCs/>
              </w:rPr>
            </w:pPr>
            <w:r w:rsidRPr="001C746A">
              <w:rPr>
                <w:b/>
                <w:bCs/>
              </w:rPr>
              <w:t>Approval:</w:t>
            </w:r>
          </w:p>
        </w:tc>
        <w:tc>
          <w:tcPr>
            <w:tcW w:w="7752" w:type="dxa"/>
            <w:gridSpan w:val="4"/>
          </w:tcPr>
          <w:p w14:paraId="779BA0EA" w14:textId="28B2A85C" w:rsidR="00BA56AC" w:rsidRPr="001C746A" w:rsidRDefault="003E2698" w:rsidP="001C746A">
            <w:pPr>
              <w:rPr>
                <w:b/>
                <w:bCs/>
              </w:rPr>
            </w:pPr>
            <w:r>
              <w:rPr>
                <w:b/>
                <w:bCs/>
              </w:rPr>
              <w:t>ITU-T SG12 meeting (16 June 2016)</w:t>
            </w:r>
          </w:p>
        </w:tc>
      </w:tr>
      <w:tr w:rsidR="00BA56AC" w:rsidRPr="001C746A" w14:paraId="677A759C" w14:textId="77777777" w:rsidTr="00AB0B6F">
        <w:trPr>
          <w:cantSplit/>
          <w:trHeight w:val="357"/>
        </w:trPr>
        <w:tc>
          <w:tcPr>
            <w:tcW w:w="2171" w:type="dxa"/>
            <w:gridSpan w:val="2"/>
            <w:tcBorders>
              <w:bottom w:val="single" w:sz="12" w:space="0" w:color="auto"/>
            </w:tcBorders>
          </w:tcPr>
          <w:p w14:paraId="496518C4" w14:textId="77777777" w:rsidR="00BA56AC" w:rsidRPr="001C746A" w:rsidRDefault="00BA56AC" w:rsidP="00925A23">
            <w:pPr>
              <w:rPr>
                <w:b/>
                <w:bCs/>
              </w:rPr>
            </w:pPr>
            <w:r w:rsidRPr="001C746A">
              <w:rPr>
                <w:b/>
                <w:bCs/>
              </w:rPr>
              <w:t>Deadline:</w:t>
            </w:r>
          </w:p>
        </w:tc>
        <w:tc>
          <w:tcPr>
            <w:tcW w:w="7752" w:type="dxa"/>
            <w:gridSpan w:val="4"/>
            <w:tcBorders>
              <w:bottom w:val="single" w:sz="12" w:space="0" w:color="auto"/>
            </w:tcBorders>
          </w:tcPr>
          <w:p w14:paraId="4673E73A" w14:textId="68F18AF7" w:rsidR="00BA56AC" w:rsidRPr="001C746A" w:rsidRDefault="00BA56AC" w:rsidP="00925A23">
            <w:pPr>
              <w:pStyle w:val="LSDeadline"/>
            </w:pPr>
          </w:p>
        </w:tc>
      </w:tr>
      <w:tr w:rsidR="009379AF" w:rsidRPr="001C746A" w14:paraId="4FDBF372" w14:textId="77777777" w:rsidTr="00AB0B6F">
        <w:trPr>
          <w:cantSplit/>
          <w:trHeight w:val="204"/>
        </w:trPr>
        <w:tc>
          <w:tcPr>
            <w:tcW w:w="1607" w:type="dxa"/>
            <w:tcBorders>
              <w:top w:val="single" w:sz="12" w:space="0" w:color="auto"/>
            </w:tcBorders>
          </w:tcPr>
          <w:p w14:paraId="5FFEBDD5" w14:textId="77777777" w:rsidR="009379AF" w:rsidRPr="001C746A" w:rsidRDefault="009379AF" w:rsidP="009379AF">
            <w:pPr>
              <w:rPr>
                <w:b/>
                <w:bCs/>
              </w:rPr>
            </w:pPr>
            <w:r w:rsidRPr="001C746A">
              <w:rPr>
                <w:b/>
                <w:bCs/>
              </w:rPr>
              <w:t>Contact:</w:t>
            </w:r>
          </w:p>
        </w:tc>
        <w:tc>
          <w:tcPr>
            <w:tcW w:w="4369" w:type="dxa"/>
            <w:gridSpan w:val="3"/>
            <w:tcBorders>
              <w:top w:val="single" w:sz="12" w:space="0" w:color="auto"/>
            </w:tcBorders>
          </w:tcPr>
          <w:p w14:paraId="50EEB28F" w14:textId="77777777" w:rsidR="003E2698" w:rsidRDefault="003E2698" w:rsidP="003E2698">
            <w:pPr>
              <w:rPr>
                <w:szCs w:val="22"/>
                <w:lang w:eastAsia="en-US"/>
              </w:rPr>
            </w:pPr>
            <w:r>
              <w:rPr>
                <w:sz w:val="22"/>
                <w:szCs w:val="22"/>
              </w:rPr>
              <w:t>Joachim POMY</w:t>
            </w:r>
          </w:p>
          <w:p w14:paraId="095309BF" w14:textId="77777777" w:rsidR="003E2698" w:rsidRDefault="003E2698" w:rsidP="003E2698">
            <w:pPr>
              <w:spacing w:before="0"/>
              <w:rPr>
                <w:sz w:val="22"/>
                <w:szCs w:val="22"/>
              </w:rPr>
            </w:pPr>
            <w:r>
              <w:rPr>
                <w:sz w:val="22"/>
                <w:szCs w:val="22"/>
              </w:rPr>
              <w:t>Opticom GmbH</w:t>
            </w:r>
          </w:p>
          <w:p w14:paraId="4AC57E41" w14:textId="51A9A68C" w:rsidR="009379AF" w:rsidRPr="003E2698" w:rsidRDefault="003E2698" w:rsidP="003E2698">
            <w:pPr>
              <w:spacing w:before="0"/>
            </w:pPr>
            <w:r>
              <w:rPr>
                <w:sz w:val="22"/>
                <w:szCs w:val="22"/>
              </w:rPr>
              <w:t>Germany</w:t>
            </w:r>
          </w:p>
        </w:tc>
        <w:tc>
          <w:tcPr>
            <w:tcW w:w="3947" w:type="dxa"/>
            <w:gridSpan w:val="2"/>
            <w:tcBorders>
              <w:top w:val="single" w:sz="12" w:space="0" w:color="auto"/>
            </w:tcBorders>
          </w:tcPr>
          <w:p w14:paraId="4E58B2D5" w14:textId="77777777" w:rsidR="003E2698" w:rsidRDefault="003E2698" w:rsidP="003E2698">
            <w:pPr>
              <w:rPr>
                <w:sz w:val="22"/>
                <w:szCs w:val="22"/>
                <w:lang w:val="en-US"/>
              </w:rPr>
            </w:pPr>
            <w:r>
              <w:rPr>
                <w:sz w:val="22"/>
                <w:szCs w:val="22"/>
                <w:lang w:val="en-US"/>
              </w:rPr>
              <w:t>Tel: +49 177 78 7195</w:t>
            </w:r>
          </w:p>
          <w:p w14:paraId="15895058" w14:textId="3BD17E81" w:rsidR="009379AF" w:rsidRPr="001C746A" w:rsidRDefault="003E2698" w:rsidP="003E2698">
            <w:r>
              <w:rPr>
                <w:sz w:val="22"/>
                <w:szCs w:val="22"/>
                <w:lang w:val="en-US"/>
              </w:rPr>
              <w:t xml:space="preserve">Email: </w:t>
            </w:r>
            <w:hyperlink r:id="rId7" w:history="1">
              <w:r>
                <w:rPr>
                  <w:rStyle w:val="Hyperlink"/>
                  <w:sz w:val="22"/>
                  <w:szCs w:val="22"/>
                  <w:lang w:val="en-US"/>
                </w:rPr>
                <w:t>consultant@joachimpomy.de</w:t>
              </w:r>
            </w:hyperlink>
            <w:r w:rsidR="009379AF" w:rsidRPr="001C746A">
              <w:t xml:space="preserve"> </w:t>
            </w:r>
          </w:p>
        </w:tc>
      </w:tr>
      <w:tr w:rsidR="009379AF" w:rsidRPr="001C746A" w14:paraId="484FDB62" w14:textId="77777777" w:rsidTr="00925A23">
        <w:trPr>
          <w:cantSplit/>
          <w:trHeight w:val="204"/>
        </w:trPr>
        <w:tc>
          <w:tcPr>
            <w:tcW w:w="9923" w:type="dxa"/>
            <w:gridSpan w:val="6"/>
            <w:tcBorders>
              <w:top w:val="single" w:sz="12" w:space="0" w:color="auto"/>
            </w:tcBorders>
          </w:tcPr>
          <w:p w14:paraId="44172E16" w14:textId="4A27E5F5" w:rsidR="009379AF" w:rsidRPr="001C746A" w:rsidRDefault="009379AF" w:rsidP="005E33DC">
            <w:pPr>
              <w:spacing w:before="0"/>
              <w:rPr>
                <w:sz w:val="18"/>
              </w:rPr>
            </w:pPr>
          </w:p>
        </w:tc>
      </w:tr>
    </w:tbl>
    <w:p w14:paraId="3AA00CD4" w14:textId="77777777" w:rsidR="00BA56AC" w:rsidRPr="001C746A" w:rsidRDefault="00BA56AC" w:rsidP="005253A3"/>
    <w:p w14:paraId="0497A4F6" w14:textId="77777777" w:rsidR="003E2698" w:rsidRDefault="003E2698" w:rsidP="003E2698">
      <w:pPr>
        <w:rPr>
          <w:szCs w:val="20"/>
          <w:lang w:eastAsia="en-US"/>
        </w:rPr>
      </w:pPr>
      <w:r>
        <w:t xml:space="preserve">As the Lead Study Group on Performance, Quality of Service, and Quality of Experience, SG 12 is pleased to inform you that we have replaced the definition of Quality of Experience (QoE) in Recommendation ITU-T P.10/G.100 (developed in 2007), with a new definition.  </w:t>
      </w:r>
    </w:p>
    <w:p w14:paraId="48A0194E" w14:textId="77777777" w:rsidR="003E2698" w:rsidRDefault="003E2698" w:rsidP="003E2698">
      <w:r>
        <w:t xml:space="preserve">We have also defined two new terms: QoE Influencing Factors, and QoE Assessment. </w:t>
      </w:r>
    </w:p>
    <w:p w14:paraId="40F7980F" w14:textId="77777777" w:rsidR="003E2698" w:rsidRDefault="003E2698" w:rsidP="003E2698">
      <w:r>
        <w:t>In this action, we recognize the continuing active research on the topic of QoE, and that our work program derives benefits from this research now and in the future.</w:t>
      </w:r>
    </w:p>
    <w:p w14:paraId="75913F4D" w14:textId="77777777" w:rsidR="003E2698" w:rsidRDefault="003E2698" w:rsidP="003E2698"/>
    <w:p w14:paraId="60367497" w14:textId="309A02A2" w:rsidR="003E2698" w:rsidRDefault="003E2698" w:rsidP="003E2698">
      <w:r>
        <w:t xml:space="preserve">Attachment: TD-1031-GEN </w:t>
      </w:r>
      <w:bookmarkStart w:id="10" w:name="_MON_1540727953"/>
      <w:bookmarkEnd w:id="10"/>
      <w:r>
        <w:object w:dxaOrig="1531" w:dyaOrig="991" w14:anchorId="1350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8" o:title=""/>
          </v:shape>
          <o:OLEObject Type="Embed" ProgID="Word.Document.12" ShapeID="_x0000_i1025" DrawAspect="Icon" ObjectID="_1540729179" r:id="rId9">
            <o:FieldCodes>\s</o:FieldCodes>
          </o:OLEObject>
        </w:object>
      </w:r>
    </w:p>
    <w:p w14:paraId="09FE3120" w14:textId="77777777" w:rsidR="003E2698" w:rsidRDefault="003E2698" w:rsidP="003E2698"/>
    <w:p w14:paraId="77AF5D55" w14:textId="1FED3A50" w:rsidR="003E2698" w:rsidRDefault="003E2698" w:rsidP="003E2698">
      <w:pPr>
        <w:jc w:val="center"/>
      </w:pPr>
      <w:r>
        <w:t>__________</w:t>
      </w:r>
    </w:p>
    <w:p w14:paraId="1D9C7560" w14:textId="77777777" w:rsidR="003E2698" w:rsidRDefault="003E2698" w:rsidP="003E2698"/>
    <w:sectPr w:rsidR="003E2698" w:rsidSect="003E2698">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D24F3" w14:textId="77777777" w:rsidR="002255F7" w:rsidRDefault="002255F7" w:rsidP="00233F89">
      <w:pPr>
        <w:spacing w:before="0"/>
      </w:pPr>
      <w:r>
        <w:separator/>
      </w:r>
    </w:p>
  </w:endnote>
  <w:endnote w:type="continuationSeparator" w:id="0">
    <w:p w14:paraId="135B0B7A" w14:textId="77777777" w:rsidR="002255F7" w:rsidRDefault="002255F7" w:rsidP="00233F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C962" w14:textId="77777777" w:rsidR="002255F7" w:rsidRDefault="002255F7" w:rsidP="00233F89">
      <w:pPr>
        <w:spacing w:before="0"/>
      </w:pPr>
      <w:r>
        <w:separator/>
      </w:r>
    </w:p>
  </w:footnote>
  <w:footnote w:type="continuationSeparator" w:id="0">
    <w:p w14:paraId="7D5B6F8D" w14:textId="77777777" w:rsidR="002255F7" w:rsidRDefault="002255F7" w:rsidP="00233F8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877E7"/>
    <w:multiLevelType w:val="hybridMultilevel"/>
    <w:tmpl w:val="6AA8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AC"/>
    <w:rsid w:val="000002CE"/>
    <w:rsid w:val="00000339"/>
    <w:rsid w:val="00000FA8"/>
    <w:rsid w:val="0001104D"/>
    <w:rsid w:val="00012EB5"/>
    <w:rsid w:val="00017655"/>
    <w:rsid w:val="00017FE7"/>
    <w:rsid w:val="0002035E"/>
    <w:rsid w:val="00022B29"/>
    <w:rsid w:val="00023C3E"/>
    <w:rsid w:val="00025502"/>
    <w:rsid w:val="00027A32"/>
    <w:rsid w:val="00030DBC"/>
    <w:rsid w:val="0003117B"/>
    <w:rsid w:val="0004493F"/>
    <w:rsid w:val="00050A24"/>
    <w:rsid w:val="00055464"/>
    <w:rsid w:val="00055A44"/>
    <w:rsid w:val="0006330F"/>
    <w:rsid w:val="00063556"/>
    <w:rsid w:val="000661D3"/>
    <w:rsid w:val="000769E6"/>
    <w:rsid w:val="00076B1E"/>
    <w:rsid w:val="00077359"/>
    <w:rsid w:val="00077E88"/>
    <w:rsid w:val="0008099A"/>
    <w:rsid w:val="000842F4"/>
    <w:rsid w:val="00085268"/>
    <w:rsid w:val="00096D82"/>
    <w:rsid w:val="00097D70"/>
    <w:rsid w:val="000A1971"/>
    <w:rsid w:val="000A31CB"/>
    <w:rsid w:val="000B286A"/>
    <w:rsid w:val="000B594B"/>
    <w:rsid w:val="000B748C"/>
    <w:rsid w:val="000C1868"/>
    <w:rsid w:val="000C5FD9"/>
    <w:rsid w:val="000D0DA2"/>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08D2"/>
    <w:rsid w:val="00172670"/>
    <w:rsid w:val="00176C2F"/>
    <w:rsid w:val="00184A3C"/>
    <w:rsid w:val="001862D2"/>
    <w:rsid w:val="001871E3"/>
    <w:rsid w:val="001872B3"/>
    <w:rsid w:val="00191E84"/>
    <w:rsid w:val="001942EC"/>
    <w:rsid w:val="001945B8"/>
    <w:rsid w:val="00196438"/>
    <w:rsid w:val="001A03CC"/>
    <w:rsid w:val="001A1E05"/>
    <w:rsid w:val="001A6E14"/>
    <w:rsid w:val="001A79B0"/>
    <w:rsid w:val="001B4799"/>
    <w:rsid w:val="001B4A85"/>
    <w:rsid w:val="001B6D84"/>
    <w:rsid w:val="001B763A"/>
    <w:rsid w:val="001C01DD"/>
    <w:rsid w:val="001C06CA"/>
    <w:rsid w:val="001C303F"/>
    <w:rsid w:val="001C746A"/>
    <w:rsid w:val="001D042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55F7"/>
    <w:rsid w:val="00230922"/>
    <w:rsid w:val="002313E5"/>
    <w:rsid w:val="00233F89"/>
    <w:rsid w:val="002341B0"/>
    <w:rsid w:val="00242B8D"/>
    <w:rsid w:val="0025476D"/>
    <w:rsid w:val="00257576"/>
    <w:rsid w:val="00257972"/>
    <w:rsid w:val="00257A66"/>
    <w:rsid w:val="00260003"/>
    <w:rsid w:val="00262AC6"/>
    <w:rsid w:val="00262FBB"/>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32EB"/>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2441"/>
    <w:rsid w:val="00314E84"/>
    <w:rsid w:val="00315755"/>
    <w:rsid w:val="00320480"/>
    <w:rsid w:val="00321604"/>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0F98"/>
    <w:rsid w:val="0036170A"/>
    <w:rsid w:val="003666B3"/>
    <w:rsid w:val="003676EB"/>
    <w:rsid w:val="0037050B"/>
    <w:rsid w:val="00370AB3"/>
    <w:rsid w:val="00370CF4"/>
    <w:rsid w:val="0037341A"/>
    <w:rsid w:val="00376609"/>
    <w:rsid w:val="00377C74"/>
    <w:rsid w:val="0038320B"/>
    <w:rsid w:val="00383C8F"/>
    <w:rsid w:val="00387228"/>
    <w:rsid w:val="00396576"/>
    <w:rsid w:val="003A121C"/>
    <w:rsid w:val="003A229D"/>
    <w:rsid w:val="003A76F6"/>
    <w:rsid w:val="003B1635"/>
    <w:rsid w:val="003B197C"/>
    <w:rsid w:val="003B1D28"/>
    <w:rsid w:val="003B2A40"/>
    <w:rsid w:val="003B53B3"/>
    <w:rsid w:val="003D0967"/>
    <w:rsid w:val="003D2C2B"/>
    <w:rsid w:val="003D3C3E"/>
    <w:rsid w:val="003D58F8"/>
    <w:rsid w:val="003D7964"/>
    <w:rsid w:val="003E152B"/>
    <w:rsid w:val="003E21BA"/>
    <w:rsid w:val="003E2698"/>
    <w:rsid w:val="003E440C"/>
    <w:rsid w:val="003F243F"/>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6C73"/>
    <w:rsid w:val="00517C7D"/>
    <w:rsid w:val="00522154"/>
    <w:rsid w:val="00524AFA"/>
    <w:rsid w:val="00527189"/>
    <w:rsid w:val="00527984"/>
    <w:rsid w:val="005307FF"/>
    <w:rsid w:val="00542167"/>
    <w:rsid w:val="0054509D"/>
    <w:rsid w:val="00547A8B"/>
    <w:rsid w:val="00553C5C"/>
    <w:rsid w:val="0055473A"/>
    <w:rsid w:val="00554DAD"/>
    <w:rsid w:val="00555133"/>
    <w:rsid w:val="00560C65"/>
    <w:rsid w:val="005614F6"/>
    <w:rsid w:val="005633B4"/>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2211"/>
    <w:rsid w:val="005D3BE6"/>
    <w:rsid w:val="005D572B"/>
    <w:rsid w:val="005D633F"/>
    <w:rsid w:val="005D6FA8"/>
    <w:rsid w:val="005D7328"/>
    <w:rsid w:val="005E33DC"/>
    <w:rsid w:val="005E3DA5"/>
    <w:rsid w:val="005E4B83"/>
    <w:rsid w:val="005E51E1"/>
    <w:rsid w:val="005E5474"/>
    <w:rsid w:val="005E76D0"/>
    <w:rsid w:val="005E7AFD"/>
    <w:rsid w:val="005F23F2"/>
    <w:rsid w:val="005F3636"/>
    <w:rsid w:val="005F4B8F"/>
    <w:rsid w:val="005F6550"/>
    <w:rsid w:val="005F6894"/>
    <w:rsid w:val="005F6B17"/>
    <w:rsid w:val="006041E5"/>
    <w:rsid w:val="0060474D"/>
    <w:rsid w:val="00616390"/>
    <w:rsid w:val="00617AB1"/>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F3F"/>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02F3"/>
    <w:rsid w:val="0077101F"/>
    <w:rsid w:val="00771B16"/>
    <w:rsid w:val="00774F2B"/>
    <w:rsid w:val="007760D0"/>
    <w:rsid w:val="00780AF7"/>
    <w:rsid w:val="00783489"/>
    <w:rsid w:val="007849B5"/>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4860"/>
    <w:rsid w:val="007D7074"/>
    <w:rsid w:val="007E1D1A"/>
    <w:rsid w:val="007F107B"/>
    <w:rsid w:val="007F5562"/>
    <w:rsid w:val="008062A5"/>
    <w:rsid w:val="00807B28"/>
    <w:rsid w:val="00811118"/>
    <w:rsid w:val="00814C73"/>
    <w:rsid w:val="00821E6D"/>
    <w:rsid w:val="0082384E"/>
    <w:rsid w:val="00823B5F"/>
    <w:rsid w:val="00823E8E"/>
    <w:rsid w:val="00831BDA"/>
    <w:rsid w:val="0083402B"/>
    <w:rsid w:val="00835B4C"/>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1A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142B"/>
    <w:rsid w:val="008E3321"/>
    <w:rsid w:val="008E3FAA"/>
    <w:rsid w:val="008E3FD0"/>
    <w:rsid w:val="008E5942"/>
    <w:rsid w:val="008E7D3D"/>
    <w:rsid w:val="008F24C6"/>
    <w:rsid w:val="008F55EA"/>
    <w:rsid w:val="008F6E82"/>
    <w:rsid w:val="008F7D58"/>
    <w:rsid w:val="00900222"/>
    <w:rsid w:val="0090354F"/>
    <w:rsid w:val="00903EBC"/>
    <w:rsid w:val="00906CD8"/>
    <w:rsid w:val="009142BB"/>
    <w:rsid w:val="009168AF"/>
    <w:rsid w:val="009177BB"/>
    <w:rsid w:val="00920E41"/>
    <w:rsid w:val="00921601"/>
    <w:rsid w:val="009232E9"/>
    <w:rsid w:val="0092642F"/>
    <w:rsid w:val="00926E88"/>
    <w:rsid w:val="00932726"/>
    <w:rsid w:val="0093318F"/>
    <w:rsid w:val="0093606E"/>
    <w:rsid w:val="009379AF"/>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438F"/>
    <w:rsid w:val="009A629B"/>
    <w:rsid w:val="009A62B4"/>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1B32"/>
    <w:rsid w:val="009E2EB0"/>
    <w:rsid w:val="009E45A6"/>
    <w:rsid w:val="009E4C27"/>
    <w:rsid w:val="009E5F5B"/>
    <w:rsid w:val="009E6409"/>
    <w:rsid w:val="009E7BCC"/>
    <w:rsid w:val="009F6454"/>
    <w:rsid w:val="00A01EE1"/>
    <w:rsid w:val="00A02421"/>
    <w:rsid w:val="00A05457"/>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6CF3"/>
    <w:rsid w:val="00A90A92"/>
    <w:rsid w:val="00A91B6A"/>
    <w:rsid w:val="00A9519D"/>
    <w:rsid w:val="00A952C4"/>
    <w:rsid w:val="00AA2313"/>
    <w:rsid w:val="00AA3B47"/>
    <w:rsid w:val="00AA7BFE"/>
    <w:rsid w:val="00AB0B6F"/>
    <w:rsid w:val="00AB258E"/>
    <w:rsid w:val="00AB274D"/>
    <w:rsid w:val="00AC20C3"/>
    <w:rsid w:val="00AC2669"/>
    <w:rsid w:val="00AC3107"/>
    <w:rsid w:val="00AC6353"/>
    <w:rsid w:val="00AC7AAE"/>
    <w:rsid w:val="00AD0060"/>
    <w:rsid w:val="00AD0B67"/>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2348"/>
    <w:rsid w:val="00B04944"/>
    <w:rsid w:val="00B060E3"/>
    <w:rsid w:val="00B10963"/>
    <w:rsid w:val="00B10B79"/>
    <w:rsid w:val="00B1257A"/>
    <w:rsid w:val="00B12D14"/>
    <w:rsid w:val="00B1358A"/>
    <w:rsid w:val="00B1425A"/>
    <w:rsid w:val="00B14E45"/>
    <w:rsid w:val="00B16E08"/>
    <w:rsid w:val="00B17455"/>
    <w:rsid w:val="00B21B5F"/>
    <w:rsid w:val="00B21F02"/>
    <w:rsid w:val="00B242CB"/>
    <w:rsid w:val="00B250FE"/>
    <w:rsid w:val="00B32463"/>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6AC"/>
    <w:rsid w:val="00BB0838"/>
    <w:rsid w:val="00BB2183"/>
    <w:rsid w:val="00BB411B"/>
    <w:rsid w:val="00BB46A0"/>
    <w:rsid w:val="00BB7122"/>
    <w:rsid w:val="00BC031E"/>
    <w:rsid w:val="00BC1F8A"/>
    <w:rsid w:val="00BC27D4"/>
    <w:rsid w:val="00BC41A0"/>
    <w:rsid w:val="00BD0091"/>
    <w:rsid w:val="00BD06A6"/>
    <w:rsid w:val="00BD33EA"/>
    <w:rsid w:val="00BD3ACE"/>
    <w:rsid w:val="00BD6C74"/>
    <w:rsid w:val="00BE4CE7"/>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ABA"/>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5B16"/>
    <w:rsid w:val="00CA6505"/>
    <w:rsid w:val="00CA7227"/>
    <w:rsid w:val="00CC37DB"/>
    <w:rsid w:val="00CC49C7"/>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33FA"/>
    <w:rsid w:val="00D671C7"/>
    <w:rsid w:val="00D672BA"/>
    <w:rsid w:val="00D6768B"/>
    <w:rsid w:val="00D67CAA"/>
    <w:rsid w:val="00D67CE8"/>
    <w:rsid w:val="00D70D16"/>
    <w:rsid w:val="00D72F49"/>
    <w:rsid w:val="00D80ACE"/>
    <w:rsid w:val="00D816A5"/>
    <w:rsid w:val="00D816D3"/>
    <w:rsid w:val="00D823C5"/>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6D7"/>
    <w:rsid w:val="00E52824"/>
    <w:rsid w:val="00E52D35"/>
    <w:rsid w:val="00E5305A"/>
    <w:rsid w:val="00E628BB"/>
    <w:rsid w:val="00E62B7F"/>
    <w:rsid w:val="00E72CB1"/>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78A"/>
    <w:rsid w:val="00EA6BD4"/>
    <w:rsid w:val="00EA6E19"/>
    <w:rsid w:val="00EA6FA7"/>
    <w:rsid w:val="00EB000D"/>
    <w:rsid w:val="00EB22C2"/>
    <w:rsid w:val="00EB2D68"/>
    <w:rsid w:val="00EB5397"/>
    <w:rsid w:val="00EB6D19"/>
    <w:rsid w:val="00EB6E6A"/>
    <w:rsid w:val="00EC00CA"/>
    <w:rsid w:val="00EC2769"/>
    <w:rsid w:val="00EC35EB"/>
    <w:rsid w:val="00EC4AAC"/>
    <w:rsid w:val="00EC7452"/>
    <w:rsid w:val="00EC784D"/>
    <w:rsid w:val="00ED4081"/>
    <w:rsid w:val="00ED5BA8"/>
    <w:rsid w:val="00EE6C44"/>
    <w:rsid w:val="00EF027D"/>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1948"/>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43F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D7A5"/>
  <w15:chartTrackingRefBased/>
  <w15:docId w15:val="{8CC99A08-85B8-40BB-BCD8-EE379634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BA56AC"/>
    <w:rPr>
      <w:rFonts w:eastAsia="Times New Roman"/>
      <w:b/>
      <w:bCs/>
      <w:lang w:eastAsia="en-US"/>
    </w:rPr>
  </w:style>
  <w:style w:type="paragraph" w:customStyle="1" w:styleId="LSForInfo">
    <w:name w:val="LSForInfo"/>
    <w:basedOn w:val="LSForAction"/>
    <w:rsid w:val="00BA56AC"/>
  </w:style>
  <w:style w:type="paragraph" w:customStyle="1" w:styleId="LSForComment">
    <w:name w:val="LSForComment"/>
    <w:basedOn w:val="LSForAction"/>
    <w:rsid w:val="00BA56AC"/>
  </w:style>
  <w:style w:type="character" w:customStyle="1" w:styleId="ms-rtestyle-normal">
    <w:name w:val="ms-rtestyle-normal"/>
    <w:basedOn w:val="DefaultParagraphFont"/>
    <w:rsid w:val="00257972"/>
  </w:style>
  <w:style w:type="table" w:styleId="TableGrid">
    <w:name w:val="Table Grid"/>
    <w:basedOn w:val="TableNormal"/>
    <w:uiPriority w:val="59"/>
    <w:rsid w:val="00EC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AB1"/>
    <w:rPr>
      <w:sz w:val="16"/>
      <w:szCs w:val="16"/>
    </w:rPr>
  </w:style>
  <w:style w:type="paragraph" w:styleId="CommentText">
    <w:name w:val="annotation text"/>
    <w:basedOn w:val="Normal"/>
    <w:link w:val="CommentTextChar"/>
    <w:uiPriority w:val="99"/>
    <w:semiHidden/>
    <w:unhideWhenUsed/>
    <w:rsid w:val="00617AB1"/>
    <w:rPr>
      <w:sz w:val="20"/>
      <w:szCs w:val="20"/>
    </w:rPr>
  </w:style>
  <w:style w:type="character" w:customStyle="1" w:styleId="CommentTextChar">
    <w:name w:val="Comment Text Char"/>
    <w:basedOn w:val="DefaultParagraphFont"/>
    <w:link w:val="CommentText"/>
    <w:uiPriority w:val="99"/>
    <w:semiHidden/>
    <w:rsid w:val="00617AB1"/>
    <w:rPr>
      <w:lang w:val="en-GB" w:eastAsia="ja-JP"/>
    </w:rPr>
  </w:style>
  <w:style w:type="paragraph" w:styleId="CommentSubject">
    <w:name w:val="annotation subject"/>
    <w:basedOn w:val="CommentText"/>
    <w:next w:val="CommentText"/>
    <w:link w:val="CommentSubjectChar"/>
    <w:uiPriority w:val="99"/>
    <w:semiHidden/>
    <w:unhideWhenUsed/>
    <w:rsid w:val="00617AB1"/>
    <w:rPr>
      <w:b/>
      <w:bCs/>
    </w:rPr>
  </w:style>
  <w:style w:type="character" w:customStyle="1" w:styleId="CommentSubjectChar">
    <w:name w:val="Comment Subject Char"/>
    <w:basedOn w:val="CommentTextChar"/>
    <w:link w:val="CommentSubject"/>
    <w:uiPriority w:val="99"/>
    <w:semiHidden/>
    <w:rsid w:val="00617AB1"/>
    <w:rPr>
      <w:b/>
      <w:bCs/>
      <w:lang w:val="en-GB" w:eastAsia="ja-JP"/>
    </w:rPr>
  </w:style>
  <w:style w:type="paragraph" w:styleId="BalloonText">
    <w:name w:val="Balloon Text"/>
    <w:basedOn w:val="Normal"/>
    <w:link w:val="BalloonTextChar"/>
    <w:uiPriority w:val="99"/>
    <w:semiHidden/>
    <w:unhideWhenUsed/>
    <w:rsid w:val="00617A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B1"/>
    <w:rPr>
      <w:rFonts w:ascii="Segoe UI" w:hAnsi="Segoe UI" w:cs="Segoe UI"/>
      <w:sz w:val="18"/>
      <w:szCs w:val="18"/>
      <w:lang w:val="en-GB" w:eastAsia="ja-JP"/>
    </w:rPr>
  </w:style>
  <w:style w:type="character" w:styleId="FollowedHyperlink">
    <w:name w:val="FollowedHyperlink"/>
    <w:basedOn w:val="DefaultParagraphFont"/>
    <w:uiPriority w:val="99"/>
    <w:semiHidden/>
    <w:unhideWhenUsed/>
    <w:rsid w:val="00617AB1"/>
    <w:rPr>
      <w:color w:val="800080" w:themeColor="followedHyperlink"/>
      <w:u w:val="single"/>
    </w:rPr>
  </w:style>
  <w:style w:type="paragraph" w:styleId="Footer">
    <w:name w:val="footer"/>
    <w:basedOn w:val="Normal"/>
    <w:link w:val="FooterChar"/>
    <w:uiPriority w:val="99"/>
    <w:unhideWhenUsed/>
    <w:rsid w:val="00233F89"/>
    <w:pPr>
      <w:tabs>
        <w:tab w:val="center" w:pos="4680"/>
        <w:tab w:val="right" w:pos="9360"/>
      </w:tabs>
      <w:spacing w:before="0"/>
    </w:pPr>
  </w:style>
  <w:style w:type="character" w:customStyle="1" w:styleId="FooterChar">
    <w:name w:val="Footer Char"/>
    <w:basedOn w:val="DefaultParagraphFont"/>
    <w:link w:val="Footer"/>
    <w:uiPriority w:val="99"/>
    <w:rsid w:val="00233F89"/>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8045">
      <w:bodyDiv w:val="1"/>
      <w:marLeft w:val="0"/>
      <w:marRight w:val="0"/>
      <w:marTop w:val="0"/>
      <w:marBottom w:val="0"/>
      <w:divBdr>
        <w:top w:val="none" w:sz="0" w:space="0" w:color="auto"/>
        <w:left w:val="none" w:sz="0" w:space="0" w:color="auto"/>
        <w:bottom w:val="none" w:sz="0" w:space="0" w:color="auto"/>
        <w:right w:val="none" w:sz="0" w:space="0" w:color="auto"/>
      </w:divBdr>
    </w:div>
    <w:div w:id="1161657280">
      <w:bodyDiv w:val="1"/>
      <w:marLeft w:val="0"/>
      <w:marRight w:val="0"/>
      <w:marTop w:val="0"/>
      <w:marBottom w:val="0"/>
      <w:divBdr>
        <w:top w:val="none" w:sz="0" w:space="0" w:color="auto"/>
        <w:left w:val="none" w:sz="0" w:space="0" w:color="auto"/>
        <w:bottom w:val="none" w:sz="0" w:space="0" w:color="auto"/>
        <w:right w:val="none" w:sz="0" w:space="0" w:color="auto"/>
      </w:divBdr>
    </w:div>
    <w:div w:id="1744257082">
      <w:bodyDiv w:val="1"/>
      <w:marLeft w:val="0"/>
      <w:marRight w:val="0"/>
      <w:marTop w:val="0"/>
      <w:marBottom w:val="0"/>
      <w:divBdr>
        <w:top w:val="none" w:sz="0" w:space="0" w:color="auto"/>
        <w:left w:val="none" w:sz="0" w:space="0" w:color="auto"/>
        <w:bottom w:val="none" w:sz="0" w:space="0" w:color="auto"/>
        <w:right w:val="none" w:sz="0" w:space="0" w:color="auto"/>
      </w:divBdr>
    </w:div>
    <w:div w:id="1869558431">
      <w:bodyDiv w:val="1"/>
      <w:marLeft w:val="0"/>
      <w:marRight w:val="0"/>
      <w:marTop w:val="0"/>
      <w:marBottom w:val="0"/>
      <w:divBdr>
        <w:top w:val="none" w:sz="0" w:space="0" w:color="auto"/>
        <w:left w:val="none" w:sz="0" w:space="0" w:color="auto"/>
        <w:bottom w:val="none" w:sz="0" w:space="0" w:color="auto"/>
        <w:right w:val="none" w:sz="0" w:space="0" w:color="auto"/>
      </w:divBdr>
    </w:div>
    <w:div w:id="20586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p@joachimpomy.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B57E6-E92C-4121-95EA-61DCF26F1E58}"/>
</file>

<file path=customXml/itemProps2.xml><?xml version="1.0" encoding="utf-8"?>
<ds:datastoreItem xmlns:ds="http://schemas.openxmlformats.org/officeDocument/2006/customXml" ds:itemID="{CDEC7672-C755-49D3-A4E6-976BD36E094F}"/>
</file>

<file path=customXml/itemProps3.xml><?xml version="1.0" encoding="utf-8"?>
<ds:datastoreItem xmlns:ds="http://schemas.openxmlformats.org/officeDocument/2006/customXml" ds:itemID="{320C85AF-9F2E-42F2-B411-395C5DBA1F56}"/>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1083</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LS on increasing efficiency of work in ITU-T [to all ITU-T groups]</vt:lpstr>
    </vt:vector>
  </TitlesOfParts>
  <Manager>ITU-T</Manager>
  <Company>International Telecommunication Union (ITU)</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revised definition of Quality of Experience (QoE) and new terms in Rec. P.10/G.100 [to ITU-T SG ALL, ITU-R SG ALL, ITU-D SG ALL; ETSI STQ; IETF; Qualinet]</dc:title>
  <dc:subject/>
  <dc:creator>ITU-T Study Group 12</dc:creator>
  <cp:keywords/>
  <dc:description>TD 51  For: 22 November 2016_x000d_Document date: _x000d_Saved by ITU51009519 at 15:22:37 on 15/11/2016</dc:description>
  <cp:lastModifiedBy>TSB</cp:lastModifiedBy>
  <cp:revision>4</cp:revision>
  <cp:lastPrinted>2016-04-14T05:08:00Z</cp:lastPrinted>
  <dcterms:created xsi:type="dcterms:W3CDTF">2016-11-15T14:13:00Z</dcterms:created>
  <dcterms:modified xsi:type="dcterms:W3CDTF">2016-11-15T14:33:00Z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22 November 2016</vt:lpwstr>
  </property>
  <property fmtid="{D5CDD505-2E9C-101B-9397-08002B2CF9AE}" pid="7" name="Docauthor">
    <vt:lpwstr>ITU-T Study Group 12</vt:lpwstr>
  </property>
  <property fmtid="{D5CDD505-2E9C-101B-9397-08002B2CF9AE}" pid="8" name="ContentTypeId">
    <vt:lpwstr>0x01010017487812B7DF734F899F9E259C366837</vt:lpwstr>
  </property>
</Properties>
</file>