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CellMar>
          <w:left w:w="57" w:type="dxa"/>
          <w:right w:w="57" w:type="dxa"/>
        </w:tblCellMar>
        <w:tblLook w:val="0000" w:firstRow="0" w:lastRow="0" w:firstColumn="0" w:lastColumn="0" w:noHBand="0" w:noVBand="0"/>
      </w:tblPr>
      <w:tblGrid>
        <w:gridCol w:w="1560"/>
        <w:gridCol w:w="236"/>
        <w:gridCol w:w="472"/>
        <w:gridCol w:w="3402"/>
        <w:gridCol w:w="1276"/>
        <w:gridCol w:w="2843"/>
        <w:gridCol w:w="134"/>
      </w:tblGrid>
      <w:tr w:rsidR="00F86D7D" w:rsidRPr="00F86D7D" w14:paraId="3138175C" w14:textId="77777777" w:rsidTr="00F86D7D">
        <w:trPr>
          <w:cantSplit/>
        </w:trPr>
        <w:tc>
          <w:tcPr>
            <w:tcW w:w="1796" w:type="dxa"/>
            <w:gridSpan w:val="2"/>
            <w:vMerge w:val="restart"/>
          </w:tcPr>
          <w:p w14:paraId="6A1CECC6" w14:textId="77777777" w:rsidR="00F86D7D" w:rsidRPr="00F86D7D" w:rsidRDefault="00F86D7D" w:rsidP="00F86D7D">
            <w:pPr>
              <w:rPr>
                <w:sz w:val="20"/>
                <w:szCs w:val="20"/>
              </w:rPr>
            </w:pPr>
            <w:bookmarkStart w:id="0" w:name="dnum" w:colFirst="2" w:colLast="2"/>
            <w:bookmarkStart w:id="1" w:name="dsg" w:colFirst="1" w:colLast="1"/>
            <w:bookmarkStart w:id="2" w:name="dtableau"/>
            <w:r w:rsidRPr="00F86D7D">
              <w:rPr>
                <w:noProof/>
                <w:sz w:val="20"/>
                <w:szCs w:val="20"/>
                <w:lang w:eastAsia="zh-CN"/>
              </w:rPr>
              <w:drawing>
                <wp:inline distT="0" distB="0" distL="0" distR="0" wp14:anchorId="16F75B4D" wp14:editId="2A765212">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50" w:type="dxa"/>
            <w:gridSpan w:val="3"/>
            <w:vMerge w:val="restart"/>
          </w:tcPr>
          <w:p w14:paraId="72B4473C" w14:textId="77777777" w:rsidR="00F86D7D" w:rsidRPr="00F86D7D" w:rsidRDefault="00F86D7D" w:rsidP="00F86D7D">
            <w:pPr>
              <w:rPr>
                <w:sz w:val="16"/>
                <w:szCs w:val="16"/>
              </w:rPr>
            </w:pPr>
            <w:r w:rsidRPr="00F86D7D">
              <w:rPr>
                <w:sz w:val="16"/>
                <w:szCs w:val="16"/>
              </w:rPr>
              <w:t>INTERNATIONAL TELECOMMUNICATION UNION</w:t>
            </w:r>
          </w:p>
          <w:p w14:paraId="091DCACD" w14:textId="77777777" w:rsidR="00F86D7D" w:rsidRPr="00F86D7D" w:rsidRDefault="00F86D7D" w:rsidP="00F86D7D">
            <w:pPr>
              <w:rPr>
                <w:b/>
                <w:bCs/>
                <w:sz w:val="26"/>
                <w:szCs w:val="26"/>
              </w:rPr>
            </w:pPr>
            <w:r w:rsidRPr="00F86D7D">
              <w:rPr>
                <w:b/>
                <w:bCs/>
                <w:sz w:val="26"/>
                <w:szCs w:val="26"/>
              </w:rPr>
              <w:t>TELECOMMUNICATION</w:t>
            </w:r>
            <w:r w:rsidRPr="00F86D7D">
              <w:rPr>
                <w:b/>
                <w:bCs/>
                <w:sz w:val="26"/>
                <w:szCs w:val="26"/>
              </w:rPr>
              <w:br/>
              <w:t>STANDARDIZATION SECTOR</w:t>
            </w:r>
          </w:p>
          <w:p w14:paraId="56F9D3A4" w14:textId="77777777" w:rsidR="00F86D7D" w:rsidRPr="00F86D7D" w:rsidRDefault="00F86D7D" w:rsidP="00F86D7D">
            <w:pPr>
              <w:rPr>
                <w:sz w:val="20"/>
                <w:szCs w:val="20"/>
              </w:rPr>
            </w:pPr>
            <w:r w:rsidRPr="00F86D7D">
              <w:rPr>
                <w:sz w:val="20"/>
                <w:szCs w:val="20"/>
              </w:rPr>
              <w:t xml:space="preserve">STUDY PERIOD </w:t>
            </w:r>
            <w:bookmarkStart w:id="3" w:name="dstudyperiod"/>
            <w:r w:rsidRPr="00F86D7D">
              <w:rPr>
                <w:sz w:val="20"/>
                <w:szCs w:val="20"/>
              </w:rPr>
              <w:t>2017-2020</w:t>
            </w:r>
            <w:bookmarkEnd w:id="3"/>
          </w:p>
        </w:tc>
        <w:tc>
          <w:tcPr>
            <w:tcW w:w="2977" w:type="dxa"/>
            <w:gridSpan w:val="2"/>
            <w:vAlign w:val="center"/>
          </w:tcPr>
          <w:p w14:paraId="49392B1F" w14:textId="15CD03C2" w:rsidR="00F86D7D" w:rsidRPr="00F86D7D" w:rsidRDefault="00F86D7D" w:rsidP="00F86D7D">
            <w:pPr>
              <w:pStyle w:val="Docnumber"/>
              <w:rPr>
                <w:sz w:val="32"/>
              </w:rPr>
            </w:pPr>
            <w:r>
              <w:rPr>
                <w:sz w:val="32"/>
              </w:rPr>
              <w:t>SCV-TD13</w:t>
            </w:r>
            <w:r w:rsidR="00EE61CD">
              <w:rPr>
                <w:sz w:val="32"/>
              </w:rPr>
              <w:t>7</w:t>
            </w:r>
          </w:p>
        </w:tc>
      </w:tr>
      <w:bookmarkEnd w:id="0"/>
      <w:tr w:rsidR="00F86D7D" w:rsidRPr="00F86D7D" w14:paraId="4EF5A0B7" w14:textId="77777777" w:rsidTr="00F86D7D">
        <w:trPr>
          <w:cantSplit/>
        </w:trPr>
        <w:tc>
          <w:tcPr>
            <w:tcW w:w="1796" w:type="dxa"/>
            <w:gridSpan w:val="2"/>
            <w:vMerge/>
          </w:tcPr>
          <w:p w14:paraId="4FE4E8C1" w14:textId="77777777" w:rsidR="00F86D7D" w:rsidRPr="00F86D7D" w:rsidRDefault="00F86D7D" w:rsidP="00F86D7D">
            <w:pPr>
              <w:rPr>
                <w:smallCaps/>
                <w:sz w:val="20"/>
              </w:rPr>
            </w:pPr>
          </w:p>
        </w:tc>
        <w:tc>
          <w:tcPr>
            <w:tcW w:w="5150" w:type="dxa"/>
            <w:gridSpan w:val="3"/>
            <w:vMerge/>
          </w:tcPr>
          <w:p w14:paraId="1BC22721" w14:textId="77777777" w:rsidR="00F86D7D" w:rsidRPr="00F86D7D" w:rsidRDefault="00F86D7D" w:rsidP="00F86D7D">
            <w:pPr>
              <w:rPr>
                <w:smallCaps/>
                <w:sz w:val="20"/>
              </w:rPr>
            </w:pPr>
          </w:p>
        </w:tc>
        <w:tc>
          <w:tcPr>
            <w:tcW w:w="2977" w:type="dxa"/>
            <w:gridSpan w:val="2"/>
          </w:tcPr>
          <w:p w14:paraId="0263EFDD" w14:textId="3DBB13AA" w:rsidR="00F86D7D" w:rsidRPr="00F86D7D" w:rsidRDefault="00F86D7D" w:rsidP="00F86D7D">
            <w:pPr>
              <w:jc w:val="right"/>
              <w:rPr>
                <w:b/>
                <w:bCs/>
                <w:smallCaps/>
                <w:sz w:val="28"/>
                <w:szCs w:val="28"/>
              </w:rPr>
            </w:pPr>
            <w:r>
              <w:rPr>
                <w:b/>
                <w:bCs/>
                <w:smallCaps/>
                <w:sz w:val="28"/>
                <w:szCs w:val="28"/>
              </w:rPr>
              <w:t>SCV</w:t>
            </w:r>
          </w:p>
        </w:tc>
      </w:tr>
      <w:tr w:rsidR="00F86D7D" w:rsidRPr="00F86D7D" w14:paraId="068DD569" w14:textId="77777777" w:rsidTr="00F86D7D">
        <w:trPr>
          <w:cantSplit/>
        </w:trPr>
        <w:tc>
          <w:tcPr>
            <w:tcW w:w="1796" w:type="dxa"/>
            <w:gridSpan w:val="2"/>
            <w:vMerge/>
            <w:tcBorders>
              <w:bottom w:val="single" w:sz="12" w:space="0" w:color="auto"/>
            </w:tcBorders>
          </w:tcPr>
          <w:p w14:paraId="4023657F" w14:textId="77777777" w:rsidR="00F86D7D" w:rsidRPr="00F86D7D" w:rsidRDefault="00F86D7D" w:rsidP="00F86D7D">
            <w:pPr>
              <w:rPr>
                <w:b/>
                <w:bCs/>
                <w:sz w:val="26"/>
              </w:rPr>
            </w:pPr>
          </w:p>
        </w:tc>
        <w:tc>
          <w:tcPr>
            <w:tcW w:w="5150" w:type="dxa"/>
            <w:gridSpan w:val="3"/>
            <w:vMerge/>
            <w:tcBorders>
              <w:bottom w:val="single" w:sz="12" w:space="0" w:color="auto"/>
            </w:tcBorders>
          </w:tcPr>
          <w:p w14:paraId="28F9A1E3" w14:textId="77777777" w:rsidR="00F86D7D" w:rsidRPr="00F86D7D" w:rsidRDefault="00F86D7D" w:rsidP="00F86D7D">
            <w:pPr>
              <w:rPr>
                <w:b/>
                <w:bCs/>
                <w:sz w:val="26"/>
              </w:rPr>
            </w:pPr>
          </w:p>
        </w:tc>
        <w:tc>
          <w:tcPr>
            <w:tcW w:w="2977" w:type="dxa"/>
            <w:gridSpan w:val="2"/>
            <w:tcBorders>
              <w:bottom w:val="single" w:sz="12" w:space="0" w:color="auto"/>
            </w:tcBorders>
            <w:vAlign w:val="center"/>
          </w:tcPr>
          <w:p w14:paraId="0BC458C3" w14:textId="77777777" w:rsidR="00F86D7D" w:rsidRPr="00F86D7D" w:rsidRDefault="00F86D7D" w:rsidP="00F86D7D">
            <w:pPr>
              <w:jc w:val="right"/>
              <w:rPr>
                <w:b/>
                <w:bCs/>
                <w:sz w:val="28"/>
                <w:szCs w:val="28"/>
              </w:rPr>
            </w:pPr>
            <w:r w:rsidRPr="00F86D7D">
              <w:rPr>
                <w:b/>
                <w:bCs/>
                <w:sz w:val="28"/>
                <w:szCs w:val="28"/>
              </w:rPr>
              <w:t>Original: English</w:t>
            </w:r>
          </w:p>
        </w:tc>
      </w:tr>
      <w:tr w:rsidR="00F86D7D" w:rsidRPr="00F86D7D" w14:paraId="34A0E179" w14:textId="77777777" w:rsidTr="00F86D7D">
        <w:trPr>
          <w:cantSplit/>
        </w:trPr>
        <w:tc>
          <w:tcPr>
            <w:tcW w:w="1560" w:type="dxa"/>
          </w:tcPr>
          <w:p w14:paraId="0A40C2D6" w14:textId="77777777" w:rsidR="00F86D7D" w:rsidRPr="00F86D7D" w:rsidRDefault="00F86D7D" w:rsidP="00F86D7D">
            <w:pPr>
              <w:rPr>
                <w:b/>
                <w:bCs/>
              </w:rPr>
            </w:pPr>
            <w:bookmarkStart w:id="4" w:name="dbluepink" w:colFirst="1" w:colLast="1"/>
            <w:bookmarkStart w:id="5" w:name="dmeeting" w:colFirst="2" w:colLast="2"/>
            <w:bookmarkEnd w:id="1"/>
            <w:r w:rsidRPr="00F86D7D">
              <w:rPr>
                <w:b/>
                <w:bCs/>
              </w:rPr>
              <w:t>Question(s):</w:t>
            </w:r>
          </w:p>
        </w:tc>
        <w:tc>
          <w:tcPr>
            <w:tcW w:w="5386" w:type="dxa"/>
            <w:gridSpan w:val="4"/>
          </w:tcPr>
          <w:p w14:paraId="717F4D3A" w14:textId="6A241902" w:rsidR="00F86D7D" w:rsidRPr="00F86D7D" w:rsidRDefault="00F86D7D" w:rsidP="00F86D7D"/>
        </w:tc>
        <w:tc>
          <w:tcPr>
            <w:tcW w:w="2977" w:type="dxa"/>
            <w:gridSpan w:val="2"/>
          </w:tcPr>
          <w:p w14:paraId="3BC2A0D5" w14:textId="34F6885C" w:rsidR="00F86D7D" w:rsidRPr="00F86D7D" w:rsidRDefault="00F86D7D" w:rsidP="00F86D7D">
            <w:pPr>
              <w:jc w:val="right"/>
            </w:pPr>
            <w:r w:rsidRPr="00F86D7D">
              <w:t>Virtual, 7 December 2020</w:t>
            </w:r>
          </w:p>
        </w:tc>
      </w:tr>
      <w:tr w:rsidR="00F86D7D" w:rsidRPr="00F25FE8" w14:paraId="046A2F50" w14:textId="77777777" w:rsidTr="003F6975">
        <w:trPr>
          <w:cantSplit/>
        </w:trPr>
        <w:tc>
          <w:tcPr>
            <w:tcW w:w="9923" w:type="dxa"/>
            <w:gridSpan w:val="7"/>
          </w:tcPr>
          <w:p w14:paraId="3CF11A53" w14:textId="77777777" w:rsidR="00F86D7D" w:rsidRPr="00EE61CD" w:rsidRDefault="00F86D7D" w:rsidP="00F86D7D">
            <w:pPr>
              <w:jc w:val="center"/>
              <w:rPr>
                <w:b/>
                <w:bCs/>
                <w:lang w:val="fr-CH"/>
              </w:rPr>
            </w:pPr>
            <w:bookmarkStart w:id="6" w:name="ddoctype" w:colFirst="0" w:colLast="0"/>
            <w:bookmarkStart w:id="7" w:name="dtitle" w:colFirst="0" w:colLast="0"/>
            <w:bookmarkEnd w:id="4"/>
            <w:bookmarkEnd w:id="5"/>
            <w:r w:rsidRPr="00EE61CD">
              <w:rPr>
                <w:b/>
                <w:bCs/>
                <w:lang w:val="fr-CH"/>
              </w:rPr>
              <w:t>TD</w:t>
            </w:r>
          </w:p>
          <w:p w14:paraId="1AF6AD7C" w14:textId="0258AA4B" w:rsidR="00F86D7D" w:rsidRPr="00EE61CD" w:rsidRDefault="00F86D7D" w:rsidP="00F86D7D">
            <w:pPr>
              <w:jc w:val="center"/>
              <w:rPr>
                <w:b/>
                <w:bCs/>
                <w:lang w:val="fr-CH"/>
              </w:rPr>
            </w:pPr>
            <w:r w:rsidRPr="00EE61CD">
              <w:rPr>
                <w:b/>
                <w:bCs/>
                <w:lang w:val="fr-CH"/>
              </w:rPr>
              <w:t>(</w:t>
            </w:r>
            <w:proofErr w:type="spellStart"/>
            <w:r w:rsidRPr="00EE61CD">
              <w:rPr>
                <w:b/>
                <w:bCs/>
                <w:lang w:val="fr-CH"/>
              </w:rPr>
              <w:t>Ref</w:t>
            </w:r>
            <w:proofErr w:type="spellEnd"/>
            <w:r w:rsidRPr="00EE61CD">
              <w:rPr>
                <w:b/>
                <w:bCs/>
                <w:lang w:val="fr-CH"/>
              </w:rPr>
              <w:t xml:space="preserve">.: </w:t>
            </w:r>
            <w:r w:rsidR="00EE61CD" w:rsidRPr="00EE61CD">
              <w:rPr>
                <w:rFonts w:ascii="Verdana" w:hAnsi="Verdana"/>
                <w:b/>
                <w:bCs/>
                <w:sz w:val="20"/>
                <w:lang w:val="fr-CH"/>
              </w:rPr>
              <w:t xml:space="preserve">Documents </w:t>
            </w:r>
            <w:hyperlink r:id="rId12" w:history="1">
              <w:r w:rsidR="00EE61CD" w:rsidRPr="00EE61CD">
                <w:rPr>
                  <w:rStyle w:val="Hyperlink"/>
                  <w:rFonts w:ascii="Verdana" w:eastAsia="Verdana" w:hAnsi="Verdana" w:cs="Verdana"/>
                  <w:b/>
                  <w:bCs/>
                  <w:sz w:val="20"/>
                  <w:lang w:val="fr-CH"/>
                </w:rPr>
                <w:t>3J/56</w:t>
              </w:r>
            </w:hyperlink>
            <w:r w:rsidR="00EE61CD" w:rsidRPr="00EE61CD">
              <w:rPr>
                <w:rFonts w:ascii="Verdana" w:eastAsia="Verdana" w:hAnsi="Verdana" w:cs="Verdana"/>
                <w:b/>
                <w:bCs/>
                <w:sz w:val="20"/>
                <w:lang w:val="fr-CH"/>
              </w:rPr>
              <w:t xml:space="preserve"> (</w:t>
            </w:r>
            <w:hyperlink r:id="rId13" w:history="1">
              <w:r w:rsidR="00EE61CD" w:rsidRPr="00EE61CD">
                <w:rPr>
                  <w:rStyle w:val="Hyperlink"/>
                  <w:rFonts w:ascii="Verdana" w:eastAsia="Verdana" w:hAnsi="Verdana" w:cs="Verdana"/>
                  <w:b/>
                  <w:bCs/>
                  <w:sz w:val="20"/>
                  <w:lang w:val="fr-CH"/>
                </w:rPr>
                <w:t>3/8</w:t>
              </w:r>
            </w:hyperlink>
            <w:r w:rsidR="00EE61CD" w:rsidRPr="00EE61CD">
              <w:rPr>
                <w:rFonts w:ascii="Verdana" w:eastAsia="Verdana" w:hAnsi="Verdana" w:cs="Verdana"/>
                <w:b/>
                <w:bCs/>
                <w:sz w:val="20"/>
                <w:lang w:val="fr-CH"/>
              </w:rPr>
              <w:t xml:space="preserve">, </w:t>
            </w:r>
            <w:hyperlink r:id="rId14" w:history="1">
              <w:r w:rsidR="00EE61CD" w:rsidRPr="00EE61CD">
                <w:rPr>
                  <w:rStyle w:val="Hyperlink"/>
                  <w:rFonts w:ascii="Verdana" w:eastAsia="Verdana" w:hAnsi="Verdana" w:cs="Verdana"/>
                  <w:b/>
                  <w:bCs/>
                  <w:sz w:val="20"/>
                  <w:lang w:val="fr-CH"/>
                </w:rPr>
                <w:t>3M/22</w:t>
              </w:r>
            </w:hyperlink>
            <w:r w:rsidR="00EE61CD" w:rsidRPr="00EE61CD">
              <w:rPr>
                <w:rFonts w:ascii="Verdana" w:eastAsia="Verdana" w:hAnsi="Verdana" w:cs="Verdana"/>
                <w:b/>
                <w:bCs/>
                <w:sz w:val="20"/>
                <w:lang w:val="fr-CH"/>
              </w:rPr>
              <w:t>) and 3J/TEMP/19</w:t>
            </w:r>
            <w:r w:rsidRPr="00EE61CD">
              <w:rPr>
                <w:b/>
                <w:bCs/>
                <w:lang w:val="fr-CH"/>
              </w:rPr>
              <w:t>)</w:t>
            </w:r>
          </w:p>
        </w:tc>
      </w:tr>
      <w:tr w:rsidR="00F86D7D" w:rsidRPr="00F86D7D" w14:paraId="1EBC389B" w14:textId="77777777" w:rsidTr="00F86D7D">
        <w:trPr>
          <w:cantSplit/>
        </w:trPr>
        <w:tc>
          <w:tcPr>
            <w:tcW w:w="1560" w:type="dxa"/>
          </w:tcPr>
          <w:p w14:paraId="78A5CB8D" w14:textId="77777777" w:rsidR="00F86D7D" w:rsidRPr="00F86D7D" w:rsidRDefault="00F86D7D" w:rsidP="00F86D7D">
            <w:pPr>
              <w:rPr>
                <w:b/>
                <w:bCs/>
              </w:rPr>
            </w:pPr>
            <w:bookmarkStart w:id="8" w:name="dsource" w:colFirst="1" w:colLast="1"/>
            <w:bookmarkEnd w:id="6"/>
            <w:bookmarkEnd w:id="7"/>
            <w:r w:rsidRPr="00F86D7D">
              <w:rPr>
                <w:b/>
                <w:bCs/>
              </w:rPr>
              <w:t>Source:</w:t>
            </w:r>
          </w:p>
        </w:tc>
        <w:tc>
          <w:tcPr>
            <w:tcW w:w="8363" w:type="dxa"/>
            <w:gridSpan w:val="6"/>
          </w:tcPr>
          <w:p w14:paraId="0B7EE8F8" w14:textId="7D2A5488" w:rsidR="00F86D7D" w:rsidRPr="00F86D7D" w:rsidRDefault="00EE61CD" w:rsidP="00F86D7D">
            <w:r w:rsidRPr="00405B97">
              <w:rPr>
                <w:lang w:eastAsia="zh-CN"/>
              </w:rPr>
              <w:t>ITU-R SG 3 Rapporteur for Vocabulary</w:t>
            </w:r>
          </w:p>
        </w:tc>
      </w:tr>
      <w:tr w:rsidR="00F86D7D" w:rsidRPr="00F86D7D" w14:paraId="02419AF5" w14:textId="77777777" w:rsidTr="00F86D7D">
        <w:trPr>
          <w:cantSplit/>
        </w:trPr>
        <w:tc>
          <w:tcPr>
            <w:tcW w:w="1560" w:type="dxa"/>
          </w:tcPr>
          <w:p w14:paraId="35D442DD" w14:textId="77777777" w:rsidR="00F86D7D" w:rsidRPr="00F86D7D" w:rsidRDefault="00F86D7D" w:rsidP="00F86D7D">
            <w:bookmarkStart w:id="9" w:name="dtitle1" w:colFirst="1" w:colLast="1"/>
            <w:bookmarkEnd w:id="8"/>
            <w:r w:rsidRPr="00F86D7D">
              <w:rPr>
                <w:b/>
                <w:bCs/>
              </w:rPr>
              <w:t>Title:</w:t>
            </w:r>
          </w:p>
        </w:tc>
        <w:tc>
          <w:tcPr>
            <w:tcW w:w="8363" w:type="dxa"/>
            <w:gridSpan w:val="6"/>
          </w:tcPr>
          <w:p w14:paraId="2B15E6BD" w14:textId="1A4C22B2" w:rsidR="00F86D7D" w:rsidRPr="00F86D7D" w:rsidRDefault="00EE61CD" w:rsidP="00F86D7D">
            <w:r w:rsidRPr="00405B97">
              <w:rPr>
                <w:lang w:eastAsia="zh-CN"/>
              </w:rPr>
              <w:t>Revision of terms used in the transmission loss concept</w:t>
            </w:r>
          </w:p>
        </w:tc>
      </w:tr>
      <w:tr w:rsidR="00F86D7D" w:rsidRPr="00F86D7D" w14:paraId="062A11BE" w14:textId="77777777" w:rsidTr="00F86D7D">
        <w:trPr>
          <w:cantSplit/>
        </w:trPr>
        <w:tc>
          <w:tcPr>
            <w:tcW w:w="1560" w:type="dxa"/>
            <w:tcBorders>
              <w:bottom w:val="single" w:sz="8" w:space="0" w:color="auto"/>
            </w:tcBorders>
          </w:tcPr>
          <w:p w14:paraId="29E2689F" w14:textId="77777777" w:rsidR="00F86D7D" w:rsidRPr="00F86D7D" w:rsidRDefault="00F86D7D" w:rsidP="00F86D7D">
            <w:pPr>
              <w:rPr>
                <w:b/>
                <w:bCs/>
              </w:rPr>
            </w:pPr>
            <w:bookmarkStart w:id="10" w:name="dpurpose" w:colFirst="1" w:colLast="1"/>
            <w:bookmarkEnd w:id="9"/>
            <w:r w:rsidRPr="00F86D7D">
              <w:rPr>
                <w:b/>
                <w:bCs/>
              </w:rPr>
              <w:t>Purpose:</w:t>
            </w:r>
          </w:p>
        </w:tc>
        <w:tc>
          <w:tcPr>
            <w:tcW w:w="8363" w:type="dxa"/>
            <w:gridSpan w:val="6"/>
            <w:tcBorders>
              <w:bottom w:val="single" w:sz="8" w:space="0" w:color="auto"/>
            </w:tcBorders>
          </w:tcPr>
          <w:p w14:paraId="6DD45768" w14:textId="77777777" w:rsidR="00F86D7D" w:rsidRPr="00F86D7D" w:rsidRDefault="00F86D7D" w:rsidP="00F86D7D"/>
        </w:tc>
      </w:tr>
      <w:bookmarkEnd w:id="2"/>
      <w:bookmarkEnd w:id="10"/>
      <w:tr w:rsidR="00677E32" w:rsidRPr="00B44313" w14:paraId="43779BBA" w14:textId="77777777" w:rsidTr="00F86D7D">
        <w:trPr>
          <w:gridAfter w:val="1"/>
          <w:wAfter w:w="134" w:type="dxa"/>
          <w:cantSplit/>
          <w:trHeight w:val="357"/>
        </w:trPr>
        <w:tc>
          <w:tcPr>
            <w:tcW w:w="9789" w:type="dxa"/>
            <w:gridSpan w:val="6"/>
            <w:tcBorders>
              <w:top w:val="single" w:sz="12" w:space="0" w:color="auto"/>
            </w:tcBorders>
          </w:tcPr>
          <w:p w14:paraId="08B283D1" w14:textId="77777777" w:rsidR="00677E32" w:rsidRPr="00B44313" w:rsidRDefault="00677E32" w:rsidP="00D1598B">
            <w:pPr>
              <w:jc w:val="center"/>
              <w:rPr>
                <w:b/>
              </w:rPr>
            </w:pPr>
            <w:r w:rsidRPr="00B44313">
              <w:rPr>
                <w:b/>
              </w:rPr>
              <w:t>LIAISON STATEMENT</w:t>
            </w:r>
          </w:p>
        </w:tc>
      </w:tr>
      <w:tr w:rsidR="00677E32" w:rsidRPr="00B44313" w14:paraId="38E9EFCA" w14:textId="77777777" w:rsidTr="00F86D7D">
        <w:trPr>
          <w:gridAfter w:val="1"/>
          <w:wAfter w:w="134" w:type="dxa"/>
          <w:cantSplit/>
          <w:trHeight w:val="357"/>
        </w:trPr>
        <w:tc>
          <w:tcPr>
            <w:tcW w:w="2268" w:type="dxa"/>
            <w:gridSpan w:val="3"/>
          </w:tcPr>
          <w:p w14:paraId="5E9E0E41" w14:textId="77777777" w:rsidR="00677E32" w:rsidRPr="00B44313" w:rsidRDefault="00677E32" w:rsidP="00D1598B">
            <w:pPr>
              <w:rPr>
                <w:b/>
                <w:bCs/>
              </w:rPr>
            </w:pPr>
            <w:r w:rsidRPr="00B44313">
              <w:rPr>
                <w:b/>
                <w:bCs/>
              </w:rPr>
              <w:t xml:space="preserve">For action to: </w:t>
            </w:r>
          </w:p>
        </w:tc>
        <w:tc>
          <w:tcPr>
            <w:tcW w:w="7521" w:type="dxa"/>
            <w:gridSpan w:val="3"/>
          </w:tcPr>
          <w:p w14:paraId="7095ABBA" w14:textId="204ED34B" w:rsidR="00677E32" w:rsidRPr="00B44313" w:rsidRDefault="00EE61CD" w:rsidP="00D1598B">
            <w:pPr>
              <w:pStyle w:val="LSForAction"/>
              <w:rPr>
                <w:szCs w:val="24"/>
                <w:lang w:val="en-US"/>
              </w:rPr>
            </w:pPr>
            <w:r>
              <w:rPr>
                <w:szCs w:val="24"/>
                <w:lang w:val="en-US"/>
              </w:rPr>
              <w:t>CCT</w:t>
            </w:r>
          </w:p>
        </w:tc>
      </w:tr>
      <w:tr w:rsidR="00677E32" w:rsidRPr="00B44313" w14:paraId="61A3A6CE" w14:textId="77777777" w:rsidTr="00F86D7D">
        <w:trPr>
          <w:gridAfter w:val="1"/>
          <w:wAfter w:w="134" w:type="dxa"/>
          <w:cantSplit/>
          <w:trHeight w:val="357"/>
        </w:trPr>
        <w:tc>
          <w:tcPr>
            <w:tcW w:w="2268" w:type="dxa"/>
            <w:gridSpan w:val="3"/>
          </w:tcPr>
          <w:p w14:paraId="01A0DD8C" w14:textId="77777777" w:rsidR="00677E32" w:rsidRPr="00B44313" w:rsidRDefault="00677E32" w:rsidP="00D1598B">
            <w:pPr>
              <w:rPr>
                <w:b/>
                <w:bCs/>
              </w:rPr>
            </w:pPr>
            <w:r w:rsidRPr="00B44313">
              <w:rPr>
                <w:b/>
                <w:bCs/>
              </w:rPr>
              <w:t>For comment to:</w:t>
            </w:r>
          </w:p>
        </w:tc>
        <w:tc>
          <w:tcPr>
            <w:tcW w:w="7521" w:type="dxa"/>
            <w:gridSpan w:val="3"/>
          </w:tcPr>
          <w:p w14:paraId="135FEA13" w14:textId="77777777" w:rsidR="00677E32" w:rsidRPr="00B44313" w:rsidRDefault="00677E32" w:rsidP="00D1598B">
            <w:pPr>
              <w:pStyle w:val="LSForComment"/>
              <w:rPr>
                <w:szCs w:val="24"/>
              </w:rPr>
            </w:pPr>
            <w:r w:rsidRPr="00B44313">
              <w:rPr>
                <w:szCs w:val="24"/>
              </w:rPr>
              <w:t>-</w:t>
            </w:r>
          </w:p>
        </w:tc>
      </w:tr>
      <w:tr w:rsidR="00677E32" w:rsidRPr="00B44313" w14:paraId="3DF2FBE1" w14:textId="77777777" w:rsidTr="00F86D7D">
        <w:trPr>
          <w:gridAfter w:val="1"/>
          <w:wAfter w:w="134" w:type="dxa"/>
          <w:cantSplit/>
          <w:trHeight w:val="357"/>
        </w:trPr>
        <w:tc>
          <w:tcPr>
            <w:tcW w:w="2268" w:type="dxa"/>
            <w:gridSpan w:val="3"/>
          </w:tcPr>
          <w:p w14:paraId="5E431240" w14:textId="77777777" w:rsidR="00677E32" w:rsidRPr="00B44313" w:rsidRDefault="00677E32" w:rsidP="00D1598B">
            <w:pPr>
              <w:rPr>
                <w:b/>
                <w:bCs/>
              </w:rPr>
            </w:pPr>
            <w:r w:rsidRPr="00B44313">
              <w:rPr>
                <w:b/>
                <w:bCs/>
              </w:rPr>
              <w:t xml:space="preserve">For information to: </w:t>
            </w:r>
          </w:p>
        </w:tc>
        <w:tc>
          <w:tcPr>
            <w:tcW w:w="7521" w:type="dxa"/>
            <w:gridSpan w:val="3"/>
          </w:tcPr>
          <w:p w14:paraId="4E200880" w14:textId="30C752FD" w:rsidR="00677E32" w:rsidRPr="00EE61CD" w:rsidRDefault="00EE61CD" w:rsidP="00D1598B">
            <w:pPr>
              <w:pStyle w:val="LSForInfo"/>
              <w:rPr>
                <w:szCs w:val="24"/>
                <w:lang w:val="en-US"/>
              </w:rPr>
            </w:pPr>
            <w:r>
              <w:rPr>
                <w:szCs w:val="24"/>
                <w:lang w:val="en-US"/>
              </w:rPr>
              <w:t>-</w:t>
            </w:r>
          </w:p>
        </w:tc>
      </w:tr>
      <w:tr w:rsidR="00677E32" w:rsidRPr="00B44313" w14:paraId="7F4D2486" w14:textId="77777777" w:rsidTr="00F86D7D">
        <w:trPr>
          <w:gridAfter w:val="1"/>
          <w:wAfter w:w="134" w:type="dxa"/>
          <w:cantSplit/>
          <w:trHeight w:val="357"/>
        </w:trPr>
        <w:tc>
          <w:tcPr>
            <w:tcW w:w="2268" w:type="dxa"/>
            <w:gridSpan w:val="3"/>
          </w:tcPr>
          <w:p w14:paraId="2DB5B75D" w14:textId="77777777" w:rsidR="00677E32" w:rsidRPr="00B44313" w:rsidRDefault="00677E32" w:rsidP="00D1598B">
            <w:pPr>
              <w:rPr>
                <w:b/>
                <w:bCs/>
              </w:rPr>
            </w:pPr>
            <w:r w:rsidRPr="00B44313">
              <w:rPr>
                <w:b/>
                <w:bCs/>
              </w:rPr>
              <w:t>Approval:</w:t>
            </w:r>
          </w:p>
        </w:tc>
        <w:tc>
          <w:tcPr>
            <w:tcW w:w="7521" w:type="dxa"/>
            <w:gridSpan w:val="3"/>
          </w:tcPr>
          <w:p w14:paraId="2F482F59" w14:textId="342EC946" w:rsidR="00677E32" w:rsidRPr="00B44313" w:rsidRDefault="00EE61CD" w:rsidP="00D1598B">
            <w:pPr>
              <w:rPr>
                <w:b/>
                <w:bCs/>
              </w:rPr>
            </w:pPr>
            <w:r>
              <w:t>N/A</w:t>
            </w:r>
          </w:p>
        </w:tc>
      </w:tr>
      <w:tr w:rsidR="00677E32" w:rsidRPr="00B44313" w14:paraId="5784A866" w14:textId="77777777" w:rsidTr="00F86D7D">
        <w:trPr>
          <w:gridAfter w:val="1"/>
          <w:wAfter w:w="134" w:type="dxa"/>
          <w:cantSplit/>
          <w:trHeight w:val="357"/>
        </w:trPr>
        <w:tc>
          <w:tcPr>
            <w:tcW w:w="2268" w:type="dxa"/>
            <w:gridSpan w:val="3"/>
            <w:tcBorders>
              <w:bottom w:val="single" w:sz="12" w:space="0" w:color="auto"/>
            </w:tcBorders>
          </w:tcPr>
          <w:p w14:paraId="4D7F158D" w14:textId="77777777" w:rsidR="00677E32" w:rsidRPr="00B44313" w:rsidRDefault="00677E32" w:rsidP="00D1598B">
            <w:pPr>
              <w:rPr>
                <w:b/>
                <w:bCs/>
              </w:rPr>
            </w:pPr>
            <w:r w:rsidRPr="00B44313">
              <w:rPr>
                <w:b/>
                <w:bCs/>
              </w:rPr>
              <w:t>Deadline:</w:t>
            </w:r>
          </w:p>
        </w:tc>
        <w:tc>
          <w:tcPr>
            <w:tcW w:w="7521" w:type="dxa"/>
            <w:gridSpan w:val="3"/>
            <w:tcBorders>
              <w:bottom w:val="single" w:sz="12" w:space="0" w:color="auto"/>
            </w:tcBorders>
          </w:tcPr>
          <w:p w14:paraId="1F6A9937" w14:textId="77777777" w:rsidR="00677E32" w:rsidRPr="00B44313" w:rsidRDefault="00677E32" w:rsidP="00D1598B">
            <w:pPr>
              <w:pStyle w:val="LSDeadline"/>
              <w:rPr>
                <w:szCs w:val="24"/>
              </w:rPr>
            </w:pPr>
            <w:r w:rsidRPr="00B44313">
              <w:rPr>
                <w:szCs w:val="24"/>
              </w:rPr>
              <w:t>N/A</w:t>
            </w:r>
          </w:p>
        </w:tc>
      </w:tr>
      <w:tr w:rsidR="00F1460B" w:rsidRPr="00B44313" w14:paraId="215C4160" w14:textId="77777777" w:rsidTr="00F86D7D">
        <w:trPr>
          <w:gridAfter w:val="1"/>
          <w:wAfter w:w="134" w:type="dxa"/>
          <w:cantSplit/>
        </w:trPr>
        <w:tc>
          <w:tcPr>
            <w:tcW w:w="2268" w:type="dxa"/>
            <w:gridSpan w:val="3"/>
            <w:tcBorders>
              <w:top w:val="single" w:sz="8" w:space="0" w:color="auto"/>
              <w:bottom w:val="single" w:sz="8" w:space="0" w:color="auto"/>
            </w:tcBorders>
          </w:tcPr>
          <w:p w14:paraId="173D2D98" w14:textId="77777777" w:rsidR="00F1460B" w:rsidRPr="00B44313" w:rsidRDefault="00F1460B" w:rsidP="00F1460B">
            <w:pPr>
              <w:rPr>
                <w:b/>
                <w:bCs/>
              </w:rPr>
            </w:pPr>
            <w:r w:rsidRPr="00B44313">
              <w:rPr>
                <w:b/>
                <w:bCs/>
              </w:rPr>
              <w:t>Contact:</w:t>
            </w:r>
          </w:p>
        </w:tc>
        <w:tc>
          <w:tcPr>
            <w:tcW w:w="3402" w:type="dxa"/>
            <w:tcBorders>
              <w:top w:val="nil"/>
              <w:left w:val="nil"/>
              <w:bottom w:val="single" w:sz="8" w:space="0" w:color="auto"/>
              <w:right w:val="nil"/>
            </w:tcBorders>
          </w:tcPr>
          <w:p w14:paraId="210AE036" w14:textId="337064C1" w:rsidR="00F1460B" w:rsidRPr="00B44313" w:rsidRDefault="00635EF6" w:rsidP="00F1460B">
            <w:pPr>
              <w:rPr>
                <w:highlight w:val="yellow"/>
                <w:lang w:val="fr-FR"/>
              </w:rPr>
            </w:pPr>
            <w:sdt>
              <w:sdtPr>
                <w:alias w:val="ContactNameOrgCountry"/>
                <w:tag w:val="ContactNameOrgCountry"/>
                <w:id w:val="-450624836"/>
                <w:placeholder>
                  <w:docPart w:val="D541115410F544D186C6F9DC3CD888AB"/>
                </w:placeholder>
                <w:text w:multiLine="1"/>
              </w:sdtPr>
              <w:sdtEndPr/>
              <w:sdtContent>
                <w:r w:rsidR="00EE61CD" w:rsidRPr="00EE61CD">
                  <w:t>Ms Clare Allen</w:t>
                </w:r>
              </w:sdtContent>
            </w:sdt>
          </w:p>
        </w:tc>
        <w:sdt>
          <w:sdtPr>
            <w:rPr>
              <w:rFonts w:eastAsia="Times New Roman"/>
              <w:kern w:val="2"/>
              <w:lang w:val="en-US" w:eastAsia="en-US"/>
            </w:rPr>
            <w:alias w:val="ContactTelFaxEmail"/>
            <w:tag w:val="ContactTelFaxEmail"/>
            <w:id w:val="-1400744340"/>
            <w:placeholder>
              <w:docPart w:val="C0D503797A5943B2B23FC735DBFA8E2B"/>
            </w:placeholder>
          </w:sdtPr>
          <w:sdtEndPr/>
          <w:sdtContent>
            <w:tc>
              <w:tcPr>
                <w:tcW w:w="4119" w:type="dxa"/>
                <w:gridSpan w:val="2"/>
                <w:tcBorders>
                  <w:top w:val="nil"/>
                  <w:left w:val="nil"/>
                  <w:bottom w:val="single" w:sz="8" w:space="0" w:color="auto"/>
                  <w:right w:val="nil"/>
                </w:tcBorders>
              </w:tcPr>
              <w:p w14:paraId="39482FBD" w14:textId="591357FA" w:rsidR="00F1460B" w:rsidRPr="00B44313" w:rsidRDefault="00F1460B" w:rsidP="00F1460B">
                <w:pPr>
                  <w:rPr>
                    <w:highlight w:val="yellow"/>
                    <w:lang w:val="fr-CH"/>
                  </w:rPr>
                </w:pPr>
                <w:proofErr w:type="gramStart"/>
                <w:r w:rsidRPr="00B44313">
                  <w:rPr>
                    <w:kern w:val="2"/>
                    <w:lang w:val="fr-FR"/>
                  </w:rPr>
                  <w:t>E-mail:</w:t>
                </w:r>
                <w:proofErr w:type="gramEnd"/>
                <w:r w:rsidRPr="00B44313">
                  <w:rPr>
                    <w:kern w:val="2"/>
                    <w:lang w:val="fr-FR"/>
                  </w:rPr>
                  <w:t xml:space="preserve"> </w:t>
                </w:r>
                <w:hyperlink r:id="rId15" w:history="1">
                  <w:r w:rsidR="00EE61CD" w:rsidRPr="00405B97">
                    <w:rPr>
                      <w:rStyle w:val="Hyperlink"/>
                    </w:rPr>
                    <w:t>clare.allen@ofcom.org.uk</w:t>
                  </w:r>
                </w:hyperlink>
              </w:p>
            </w:tc>
          </w:sdtContent>
        </w:sdt>
      </w:tr>
    </w:tbl>
    <w:p w14:paraId="7C048DD3" w14:textId="77777777" w:rsidR="00EE61CD" w:rsidRPr="00405B97" w:rsidRDefault="00EE61CD" w:rsidP="00EE61CD">
      <w:pPr>
        <w:rPr>
          <w:lang w:eastAsia="zh-CN"/>
        </w:rPr>
      </w:pPr>
      <w:r w:rsidRPr="00405B97">
        <w:rPr>
          <w:lang w:eastAsia="zh-CN"/>
        </w:rPr>
        <w:t>Working Party 3J would like to thank the Coordination Committee for Terminology (CCT) for it</w:t>
      </w:r>
      <w:r>
        <w:rPr>
          <w:lang w:eastAsia="zh-CN"/>
        </w:rPr>
        <w:t>s</w:t>
      </w:r>
      <w:r w:rsidRPr="00405B97">
        <w:rPr>
          <w:lang w:eastAsia="zh-CN"/>
        </w:rPr>
        <w:t xml:space="preserve"> liaison </w:t>
      </w:r>
      <w:r>
        <w:rPr>
          <w:lang w:eastAsia="zh-CN"/>
        </w:rPr>
        <w:t xml:space="preserve">statement </w:t>
      </w:r>
      <w:r w:rsidRPr="00405B97">
        <w:rPr>
          <w:lang w:eastAsia="zh-CN"/>
        </w:rPr>
        <w:t>regarding the clarification of the terms highlighted in</w:t>
      </w:r>
      <w:r w:rsidRPr="00405B97">
        <w:t xml:space="preserve"> Document CCV/</w:t>
      </w:r>
      <w:hyperlink r:id="rId16" w:history="1">
        <w:r w:rsidRPr="00405B97">
          <w:t>1</w:t>
        </w:r>
      </w:hyperlink>
      <w:r w:rsidRPr="00405B97">
        <w:rPr>
          <w:bCs/>
          <w:iCs/>
        </w:rPr>
        <w:t xml:space="preserve"> (</w:t>
      </w:r>
      <w:r w:rsidRPr="00405B97">
        <w:t>CCV/</w:t>
      </w:r>
      <w:hyperlink r:id="rId17" w:history="1">
        <w:r w:rsidRPr="00405B97">
          <w:t>62</w:t>
        </w:r>
      </w:hyperlink>
      <w:r w:rsidRPr="00405B97">
        <w:rPr>
          <w:bCs/>
          <w:iCs/>
        </w:rPr>
        <w:t xml:space="preserve">). </w:t>
      </w:r>
      <w:r w:rsidRPr="00405B97">
        <w:rPr>
          <w:lang w:eastAsia="zh-CN"/>
        </w:rPr>
        <w:t xml:space="preserve">Recommendation ITU-R P.341-7 revises the definitions for five terms used in relation to the transmission loss concept. </w:t>
      </w:r>
    </w:p>
    <w:p w14:paraId="55C1D4B5" w14:textId="77777777" w:rsidR="00EE61CD" w:rsidRPr="00405B97" w:rsidRDefault="00EE61CD" w:rsidP="00EE61CD">
      <w:pPr>
        <w:rPr>
          <w:lang w:eastAsia="zh-CN"/>
        </w:rPr>
      </w:pPr>
      <w:r w:rsidRPr="00405B97">
        <w:rPr>
          <w:lang w:eastAsia="zh-CN"/>
        </w:rPr>
        <w:t>The revised definitions are provided in the Annex for:</w:t>
      </w:r>
    </w:p>
    <w:p w14:paraId="080A03BE" w14:textId="77777777" w:rsidR="00EE61CD" w:rsidRPr="00405B97" w:rsidRDefault="00EE61CD" w:rsidP="00EE61CD">
      <w:pPr>
        <w:pStyle w:val="enumlev1"/>
      </w:pPr>
      <w:r w:rsidRPr="00405B97">
        <w:t>–</w:t>
      </w:r>
      <w:r w:rsidRPr="00405B97">
        <w:tab/>
        <w:t>Free-space basic transmission loss</w:t>
      </w:r>
    </w:p>
    <w:p w14:paraId="033E374A" w14:textId="77777777" w:rsidR="00EE61CD" w:rsidRPr="00405B97" w:rsidRDefault="00EE61CD" w:rsidP="00EE61CD">
      <w:pPr>
        <w:pStyle w:val="enumlev1"/>
      </w:pPr>
      <w:r w:rsidRPr="00405B97">
        <w:t>–</w:t>
      </w:r>
      <w:r w:rsidRPr="00405B97">
        <w:tab/>
        <w:t>Basic transmission loss</w:t>
      </w:r>
    </w:p>
    <w:p w14:paraId="04DBCC42" w14:textId="77777777" w:rsidR="00EE61CD" w:rsidRPr="00405B97" w:rsidRDefault="00EE61CD" w:rsidP="00EE61CD">
      <w:pPr>
        <w:pStyle w:val="enumlev1"/>
      </w:pPr>
      <w:r w:rsidRPr="00405B97">
        <w:t>–</w:t>
      </w:r>
      <w:r w:rsidRPr="00405B97">
        <w:tab/>
        <w:t>Transmission loss</w:t>
      </w:r>
    </w:p>
    <w:p w14:paraId="7F37A032" w14:textId="77777777" w:rsidR="00EE61CD" w:rsidRPr="00405B97" w:rsidRDefault="00EE61CD" w:rsidP="00EE61CD">
      <w:pPr>
        <w:pStyle w:val="enumlev1"/>
      </w:pPr>
      <w:r w:rsidRPr="00405B97">
        <w:t>–</w:t>
      </w:r>
      <w:r w:rsidRPr="00405B97">
        <w:tab/>
        <w:t>System loss</w:t>
      </w:r>
    </w:p>
    <w:p w14:paraId="1409930C" w14:textId="77777777" w:rsidR="00EE61CD" w:rsidRPr="00405B97" w:rsidRDefault="00EE61CD" w:rsidP="00EE61CD">
      <w:pPr>
        <w:pStyle w:val="enumlev1"/>
      </w:pPr>
      <w:r w:rsidRPr="00405B97">
        <w:t>–</w:t>
      </w:r>
      <w:r w:rsidRPr="00405B97">
        <w:tab/>
        <w:t>Total loss</w:t>
      </w:r>
      <w:r>
        <w:t>.</w:t>
      </w:r>
    </w:p>
    <w:p w14:paraId="4E5AE57C" w14:textId="77777777" w:rsidR="00EE61CD" w:rsidRPr="00405B97" w:rsidRDefault="00EE61CD" w:rsidP="00EE61CD">
      <w:pPr>
        <w:rPr>
          <w:lang w:eastAsia="zh-CN"/>
        </w:rPr>
      </w:pPr>
      <w:r w:rsidRPr="00405B97">
        <w:rPr>
          <w:lang w:eastAsia="zh-CN"/>
        </w:rPr>
        <w:t>Working Party 3J requests that the CCT revise the definitions for these terms in the ITU terminology database using the text contained in the Annex.</w:t>
      </w:r>
    </w:p>
    <w:p w14:paraId="2CCD683D" w14:textId="77777777" w:rsidR="00EE61CD" w:rsidRPr="00405B97" w:rsidRDefault="00EE61CD" w:rsidP="00EE61CD">
      <w:pPr>
        <w:pStyle w:val="Normalaftertitle"/>
        <w:spacing w:before="840"/>
        <w:rPr>
          <w:lang w:eastAsia="zh-CN"/>
        </w:rPr>
      </w:pPr>
      <w:r w:rsidRPr="00405B97">
        <w:rPr>
          <w:b/>
          <w:bCs/>
          <w:lang w:eastAsia="zh-CN"/>
        </w:rPr>
        <w:t>Annex:</w:t>
      </w:r>
      <w:r w:rsidRPr="00405B97">
        <w:rPr>
          <w:lang w:eastAsia="zh-CN"/>
        </w:rPr>
        <w:t xml:space="preserve"> </w:t>
      </w:r>
      <w:r>
        <w:rPr>
          <w:lang w:eastAsia="zh-CN"/>
        </w:rPr>
        <w:t>1</w:t>
      </w:r>
    </w:p>
    <w:p w14:paraId="5F24A8ED" w14:textId="77777777" w:rsidR="00EE61CD" w:rsidRPr="00405B97" w:rsidRDefault="00EE61CD" w:rsidP="00EE61CD">
      <w:pPr>
        <w:spacing w:before="0"/>
        <w:rPr>
          <w:lang w:eastAsia="zh-CN"/>
        </w:rPr>
      </w:pPr>
      <w:r w:rsidRPr="00405B97">
        <w:rPr>
          <w:lang w:eastAsia="zh-CN"/>
        </w:rPr>
        <w:br w:type="page"/>
      </w:r>
    </w:p>
    <w:p w14:paraId="1C7171DA" w14:textId="77777777" w:rsidR="00EE61CD" w:rsidRPr="00405B97" w:rsidRDefault="00EE61CD" w:rsidP="00EE61CD">
      <w:pPr>
        <w:jc w:val="center"/>
        <w:rPr>
          <w:lang w:eastAsia="zh-CN"/>
        </w:rPr>
      </w:pPr>
      <w:r w:rsidRPr="00405B97">
        <w:rPr>
          <w:lang w:eastAsia="zh-CN"/>
        </w:rPr>
        <w:lastRenderedPageBreak/>
        <w:t>ANNEX</w:t>
      </w:r>
    </w:p>
    <w:p w14:paraId="4729854C" w14:textId="77777777" w:rsidR="00EE61CD" w:rsidRPr="00405B97" w:rsidRDefault="00EE61CD" w:rsidP="00EE61CD">
      <w:pPr>
        <w:pStyle w:val="Normalaftertitle"/>
        <w:rPr>
          <w:lang w:eastAsia="zh-CN"/>
        </w:rPr>
      </w:pPr>
      <w:r w:rsidRPr="00405B97">
        <w:rPr>
          <w:lang w:eastAsia="zh-CN"/>
        </w:rPr>
        <w:t>Figure 1 provides a graphical depiction of the terms used in the transmission loss concept and is relevant to all definitions.</w:t>
      </w:r>
    </w:p>
    <w:p w14:paraId="09C5D66C" w14:textId="77777777" w:rsidR="00F25FE8" w:rsidRPr="00405B97" w:rsidRDefault="00F25FE8" w:rsidP="00F25FE8">
      <w:pPr>
        <w:pStyle w:val="FigureNo"/>
      </w:pPr>
      <w:r w:rsidRPr="00405B97">
        <w:t>figure 1</w:t>
      </w:r>
    </w:p>
    <w:p w14:paraId="05BFA0CA" w14:textId="77777777" w:rsidR="00F25FE8" w:rsidRPr="00405B97" w:rsidRDefault="00F25FE8" w:rsidP="00F25FE8">
      <w:pPr>
        <w:pStyle w:val="Figuretitle"/>
      </w:pPr>
      <w:r w:rsidRPr="00405B97">
        <w:t>Graphical depiction of terms used in the transmission loss concept</w:t>
      </w:r>
    </w:p>
    <w:p w14:paraId="4CD1DB4E" w14:textId="77777777" w:rsidR="00EE61CD" w:rsidRPr="00405B97" w:rsidRDefault="00EE61CD" w:rsidP="00F25FE8">
      <w:pPr>
        <w:jc w:val="center"/>
      </w:pPr>
      <w:r w:rsidRPr="00405B97">
        <w:rPr>
          <w:noProof/>
        </w:rPr>
        <w:drawing>
          <wp:inline distT="0" distB="0" distL="0" distR="0" wp14:anchorId="38569133" wp14:editId="6C0D14D0">
            <wp:extent cx="4787899" cy="2553335"/>
            <wp:effectExtent l="0" t="0" r="0" b="0"/>
            <wp:docPr id="25378835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8">
                      <a:extLst>
                        <a:ext uri="{28A0092B-C50C-407E-A947-70E740481C1C}">
                          <a14:useLocalDpi xmlns:a14="http://schemas.microsoft.com/office/drawing/2010/main" val="0"/>
                        </a:ext>
                      </a:extLst>
                    </a:blip>
                    <a:stretch>
                      <a:fillRect/>
                    </a:stretch>
                  </pic:blipFill>
                  <pic:spPr>
                    <a:xfrm>
                      <a:off x="0" y="0"/>
                      <a:ext cx="4787899" cy="2553335"/>
                    </a:xfrm>
                    <a:prstGeom prst="rect">
                      <a:avLst/>
                    </a:prstGeom>
                  </pic:spPr>
                </pic:pic>
              </a:graphicData>
            </a:graphic>
          </wp:inline>
        </w:drawing>
      </w:r>
    </w:p>
    <w:p w14:paraId="23676582" w14:textId="77777777" w:rsidR="00F25FE8" w:rsidRPr="00405B97" w:rsidRDefault="00F25FE8" w:rsidP="00F25FE8">
      <w:pPr>
        <w:pStyle w:val="Headingb"/>
        <w:rPr>
          <w:b w:val="0"/>
          <w:bCs/>
        </w:rPr>
      </w:pPr>
      <w:r w:rsidRPr="00405B97">
        <w:t xml:space="preserve">Free-space basic transmission loss </w:t>
      </w:r>
      <w:r w:rsidRPr="00405B97">
        <w:rPr>
          <w:b w:val="0"/>
          <w:bCs/>
        </w:rPr>
        <w:t xml:space="preserve">(symbols: </w:t>
      </w:r>
      <w:r w:rsidRPr="00405B97">
        <w:rPr>
          <w:b w:val="0"/>
          <w:bCs/>
          <w:i/>
        </w:rPr>
        <w:t>L</w:t>
      </w:r>
      <w:r w:rsidRPr="00405B97">
        <w:rPr>
          <w:b w:val="0"/>
          <w:bCs/>
          <w:i/>
          <w:vertAlign w:val="subscript"/>
        </w:rPr>
        <w:t>bf</w:t>
      </w:r>
      <w:r w:rsidRPr="00405B97">
        <w:rPr>
          <w:b w:val="0"/>
          <w:bCs/>
        </w:rPr>
        <w:t xml:space="preserve"> or </w:t>
      </w:r>
      <w:proofErr w:type="spellStart"/>
      <w:r w:rsidRPr="00405B97">
        <w:rPr>
          <w:b w:val="0"/>
          <w:bCs/>
          <w:i/>
        </w:rPr>
        <w:t>A</w:t>
      </w:r>
      <w:r w:rsidRPr="00405B97">
        <w:rPr>
          <w:b w:val="0"/>
          <w:bCs/>
          <w:i/>
          <w:vertAlign w:val="subscript"/>
        </w:rPr>
        <w:t>bf</w:t>
      </w:r>
      <w:proofErr w:type="spellEnd"/>
      <w:r w:rsidRPr="00405B97">
        <w:rPr>
          <w:b w:val="0"/>
          <w:bCs/>
        </w:rPr>
        <w:t>)</w:t>
      </w:r>
    </w:p>
    <w:p w14:paraId="3D4C553E" w14:textId="77777777" w:rsidR="00EE61CD" w:rsidRPr="00405B97" w:rsidRDefault="00EE61CD" w:rsidP="00EE61CD">
      <w:r w:rsidRPr="00405B97">
        <w:t>The ratio, usually expressed in decibels, for a radio link between the power radiated by the transmitting antenna and the power that would be available at a conjugately matched receiver antenna input if the actual antennas were replaced by loss free isotropic antennas located in a perfectly dielectric, homogeneous, isotropic and unlimited environment, the distance between the antennas being retained (see Recommendation ITU-R P.525).</w:t>
      </w:r>
    </w:p>
    <w:p w14:paraId="346F00DE" w14:textId="77777777" w:rsidR="00EE61CD" w:rsidRPr="00405B97" w:rsidRDefault="00EE61CD" w:rsidP="00EE61CD">
      <w:r w:rsidRPr="00405B97">
        <w:t xml:space="preserve">NOTE – If the distance </w:t>
      </w:r>
      <w:r w:rsidRPr="00405B97">
        <w:rPr>
          <w:i/>
          <w:iCs/>
        </w:rPr>
        <w:t>d</w:t>
      </w:r>
      <w:r w:rsidRPr="00405B97">
        <w:t xml:space="preserve"> between the antennas is much greater than the wavelength </w:t>
      </w:r>
      <w:r w:rsidRPr="00405B97">
        <w:rPr>
          <w:rFonts w:ascii="Symbol" w:hAnsi="Symbol"/>
        </w:rPr>
        <w:t></w:t>
      </w:r>
      <w:r w:rsidRPr="00405B97">
        <w:t>, the free</w:t>
      </w:r>
      <w:r>
        <w:noBreakHyphen/>
      </w:r>
      <w:r w:rsidRPr="00405B97">
        <w:t>space attenuation in decibels will be:</w:t>
      </w:r>
    </w:p>
    <w:p w14:paraId="21811A38" w14:textId="77777777" w:rsidR="00EE61CD" w:rsidRPr="00405B97" w:rsidRDefault="00EE61CD" w:rsidP="00EE61CD">
      <w:pPr>
        <w:pStyle w:val="Equationlegend"/>
      </w:pPr>
      <w:r w:rsidRPr="00405B97">
        <w:tab/>
      </w:r>
      <w:r w:rsidRPr="00405B97">
        <w:tab/>
      </w:r>
      <w:r w:rsidRPr="00405B97">
        <w:rPr>
          <w:i/>
          <w:iCs/>
        </w:rPr>
        <w:t>L</w:t>
      </w:r>
      <w:r w:rsidRPr="00405B97">
        <w:rPr>
          <w:i/>
          <w:iCs/>
          <w:position w:val="-6"/>
          <w:sz w:val="18"/>
          <w:szCs w:val="18"/>
        </w:rPr>
        <w:t>bf</w:t>
      </w:r>
      <w:r w:rsidRPr="00405B97">
        <w:t xml:space="preserve">  </w:t>
      </w:r>
      <w:r w:rsidRPr="00405B97">
        <w:rPr>
          <w:rFonts w:ascii="Symbol" w:hAnsi="Symbol"/>
        </w:rPr>
        <w:t></w:t>
      </w:r>
      <w:r w:rsidRPr="00405B97">
        <w:t xml:space="preserve">  20 </w:t>
      </w:r>
      <w:proofErr w:type="gramStart"/>
      <w:r w:rsidRPr="00405B97">
        <w:t>log</w:t>
      </w:r>
      <w:proofErr w:type="gramEnd"/>
      <w:r w:rsidRPr="00405B97">
        <w:t xml:space="preserve"> </w:t>
      </w:r>
      <w:r w:rsidRPr="00405B97">
        <w:fldChar w:fldCharType="begin"/>
      </w:r>
      <w:r w:rsidRPr="00405B97">
        <w:instrText>eq \b\bc\((\f(4</w:instrText>
      </w:r>
      <w:r w:rsidRPr="00405B97">
        <w:rPr>
          <w:rFonts w:ascii="Symbol" w:hAnsi="Symbol"/>
        </w:rPr>
        <w:instrText>p</w:instrText>
      </w:r>
      <w:r w:rsidRPr="00405B97">
        <w:instrText xml:space="preserve"> </w:instrText>
      </w:r>
      <w:r w:rsidRPr="00405B97">
        <w:rPr>
          <w:i/>
        </w:rPr>
        <w:instrText>d</w:instrText>
      </w:r>
      <w:r w:rsidRPr="00405B97">
        <w:instrText>,</w:instrText>
      </w:r>
      <w:r w:rsidRPr="00405B97">
        <w:rPr>
          <w:rFonts w:ascii="Symbol" w:hAnsi="Symbol"/>
        </w:rPr>
        <w:instrText>l</w:instrText>
      </w:r>
      <w:r w:rsidRPr="00405B97">
        <w:instrText>))</w:instrText>
      </w:r>
      <w:r w:rsidRPr="00405B97">
        <w:fldChar w:fldCharType="end"/>
      </w:r>
      <w:r w:rsidRPr="00405B97">
        <w:t>               dB</w:t>
      </w:r>
      <w:r w:rsidRPr="00405B97">
        <w:tab/>
        <w:t>(1)</w:t>
      </w:r>
    </w:p>
    <w:p w14:paraId="4B4F93ED" w14:textId="77777777" w:rsidR="00F25FE8" w:rsidRPr="00405B97" w:rsidRDefault="00F25FE8" w:rsidP="00F25FE8">
      <w:pPr>
        <w:pStyle w:val="Headingb"/>
        <w:rPr>
          <w:b w:val="0"/>
        </w:rPr>
      </w:pPr>
      <w:r w:rsidRPr="00405B97">
        <w:rPr>
          <w:bCs/>
        </w:rPr>
        <w:t xml:space="preserve">Basic </w:t>
      </w:r>
      <w:r w:rsidRPr="00405B97">
        <w:t>transmission</w:t>
      </w:r>
      <w:r w:rsidRPr="00405B97">
        <w:rPr>
          <w:bCs/>
        </w:rPr>
        <w:t xml:space="preserve"> loss (of a radio link)</w:t>
      </w:r>
      <w:r w:rsidRPr="00405B97">
        <w:t xml:space="preserve"> </w:t>
      </w:r>
      <w:r w:rsidRPr="00405B97">
        <w:rPr>
          <w:b w:val="0"/>
        </w:rPr>
        <w:t xml:space="preserve">(symbols: </w:t>
      </w:r>
      <w:r w:rsidRPr="00405B97">
        <w:rPr>
          <w:b w:val="0"/>
          <w:i/>
          <w:iCs/>
        </w:rPr>
        <w:t>L</w:t>
      </w:r>
      <w:r w:rsidRPr="00405B97">
        <w:rPr>
          <w:b w:val="0"/>
          <w:i/>
          <w:iCs/>
          <w:vertAlign w:val="subscript"/>
        </w:rPr>
        <w:t>b</w:t>
      </w:r>
      <w:r w:rsidRPr="00405B97">
        <w:rPr>
          <w:b w:val="0"/>
        </w:rPr>
        <w:t xml:space="preserve"> or </w:t>
      </w:r>
      <w:r w:rsidRPr="00405B97">
        <w:rPr>
          <w:b w:val="0"/>
          <w:i/>
          <w:iCs/>
        </w:rPr>
        <w:t>A</w:t>
      </w:r>
      <w:r w:rsidRPr="00405B97">
        <w:rPr>
          <w:b w:val="0"/>
          <w:i/>
          <w:iCs/>
          <w:vertAlign w:val="subscript"/>
        </w:rPr>
        <w:t>b</w:t>
      </w:r>
      <w:r w:rsidRPr="00405B97">
        <w:rPr>
          <w:b w:val="0"/>
        </w:rPr>
        <w:t>)</w:t>
      </w:r>
    </w:p>
    <w:p w14:paraId="1A4D3241" w14:textId="77777777" w:rsidR="00EE61CD" w:rsidRPr="00405B97" w:rsidRDefault="00EE61CD" w:rsidP="00EE61CD">
      <w:r w:rsidRPr="00405B97">
        <w:t xml:space="preserve">The ratio, usually expressed in decibels, for a radio link between the power radiated by the transmitting antenna and the power that would be available at a conjugately matched receiver antenna input if the antennas were replaced by isotropic antennas with the same polarization as the real antennas, including the attenuation effects on the propagation path, but with the effects of obstacles close to the antennas being disregarded. </w:t>
      </w:r>
    </w:p>
    <w:p w14:paraId="1E8DA07C" w14:textId="77777777" w:rsidR="00EE61CD" w:rsidRPr="00405B97" w:rsidRDefault="00EE61CD" w:rsidP="00EE61CD">
      <w:pPr>
        <w:pStyle w:val="Equationlegend"/>
        <w:tabs>
          <w:tab w:val="left" w:pos="5529"/>
        </w:tabs>
      </w:pPr>
      <w:r w:rsidRPr="00405B97">
        <w:tab/>
      </w:r>
      <w:r w:rsidRPr="00405B97">
        <w:tab/>
      </w:r>
      <w:r w:rsidRPr="00405B97">
        <w:rPr>
          <w:rFonts w:ascii="Cambria Math" w:hAnsi="Cambria Math"/>
        </w:rPr>
        <w:t>𝐿</w:t>
      </w:r>
      <w:r w:rsidRPr="00405B97">
        <w:rPr>
          <w:rFonts w:ascii="Cambria Math" w:hAnsi="Cambria Math"/>
          <w:vertAlign w:val="subscript"/>
        </w:rPr>
        <w:t>𝑏</w:t>
      </w:r>
      <w:r w:rsidRPr="00405B97">
        <w:t>=</w:t>
      </w:r>
      <w:r w:rsidRPr="00405B97">
        <w:rPr>
          <w:rFonts w:ascii="Cambria Math" w:hAnsi="Cambria Math"/>
        </w:rPr>
        <w:t>𝐿</w:t>
      </w:r>
      <w:r w:rsidRPr="00405B97">
        <w:rPr>
          <w:rFonts w:ascii="Cambria Math" w:hAnsi="Cambria Math"/>
          <w:vertAlign w:val="subscript"/>
        </w:rPr>
        <w:t>𝑏𝑓</w:t>
      </w:r>
      <w:r w:rsidRPr="00405B97">
        <w:t xml:space="preserve"> + </w:t>
      </w:r>
      <w:r w:rsidRPr="00405B97">
        <w:rPr>
          <w:rFonts w:ascii="Cambria Math" w:hAnsi="Cambria Math"/>
        </w:rPr>
        <w:t>𝐿</w:t>
      </w:r>
      <w:r w:rsidRPr="00405B97">
        <w:rPr>
          <w:rFonts w:ascii="Cambria Math" w:hAnsi="Cambria Math"/>
          <w:vertAlign w:val="subscript"/>
        </w:rPr>
        <w:t xml:space="preserve">𝑚 </w:t>
      </w:r>
      <w:r w:rsidRPr="00405B97">
        <w:t>               dB</w:t>
      </w:r>
      <w:r w:rsidRPr="00405B97">
        <w:tab/>
        <w:t>(2)</w:t>
      </w:r>
    </w:p>
    <w:p w14:paraId="3A5289B7" w14:textId="77777777" w:rsidR="00EE61CD" w:rsidRPr="00405B97" w:rsidRDefault="00EE61CD" w:rsidP="00EE61CD">
      <w:r w:rsidRPr="00405B97">
        <w:t xml:space="preserve">where </w:t>
      </w:r>
      <w:proofErr w:type="spellStart"/>
      <w:r w:rsidRPr="00405B97">
        <w:rPr>
          <w:i/>
          <w:iCs/>
        </w:rPr>
        <w:t>L</w:t>
      </w:r>
      <w:r w:rsidRPr="00405B97">
        <w:rPr>
          <w:i/>
          <w:iCs/>
          <w:vertAlign w:val="subscript"/>
        </w:rPr>
        <w:t>m</w:t>
      </w:r>
      <w:proofErr w:type="spellEnd"/>
      <w:r w:rsidRPr="00405B97">
        <w:rPr>
          <w:i/>
          <w:iCs/>
        </w:rPr>
        <w:t xml:space="preserve"> </w:t>
      </w:r>
      <w:r w:rsidRPr="00405B97">
        <w:t xml:space="preserve">is the loss relative to free space (symbols: </w:t>
      </w:r>
      <w:proofErr w:type="spellStart"/>
      <w:r w:rsidRPr="00405B97">
        <w:rPr>
          <w:i/>
          <w:iCs/>
        </w:rPr>
        <w:t>L</w:t>
      </w:r>
      <w:r w:rsidRPr="00405B97">
        <w:rPr>
          <w:i/>
          <w:iCs/>
          <w:vertAlign w:val="subscript"/>
        </w:rPr>
        <w:t>m</w:t>
      </w:r>
      <w:proofErr w:type="spellEnd"/>
      <w:r w:rsidRPr="00405B97">
        <w:rPr>
          <w:i/>
          <w:iCs/>
        </w:rPr>
        <w:t xml:space="preserve"> </w:t>
      </w:r>
      <w:r w:rsidRPr="00405B97">
        <w:t xml:space="preserve">or </w:t>
      </w:r>
      <w:r w:rsidRPr="00405B97">
        <w:rPr>
          <w:i/>
          <w:iCs/>
        </w:rPr>
        <w:t>A</w:t>
      </w:r>
      <w:r w:rsidRPr="00405B97">
        <w:rPr>
          <w:i/>
          <w:iCs/>
          <w:vertAlign w:val="subscript"/>
        </w:rPr>
        <w:t>m</w:t>
      </w:r>
      <w:r w:rsidRPr="00405B97">
        <w:t xml:space="preserve">). </w:t>
      </w:r>
    </w:p>
    <w:p w14:paraId="0B7A1510" w14:textId="77777777" w:rsidR="00EE61CD" w:rsidRPr="00405B97" w:rsidRDefault="00EE61CD" w:rsidP="00EE61CD">
      <w:r w:rsidRPr="00405B97">
        <w:t xml:space="preserve">NOTE – The loss relative to free space, </w:t>
      </w:r>
      <w:proofErr w:type="spellStart"/>
      <w:r w:rsidRPr="00405B97">
        <w:rPr>
          <w:i/>
          <w:iCs/>
        </w:rPr>
        <w:t>L</w:t>
      </w:r>
      <w:r w:rsidRPr="00405B97">
        <w:rPr>
          <w:i/>
          <w:iCs/>
          <w:vertAlign w:val="subscript"/>
        </w:rPr>
        <w:t>m</w:t>
      </w:r>
      <w:proofErr w:type="spellEnd"/>
      <w:r w:rsidRPr="00405B97">
        <w:t xml:space="preserve">, may be divided into losses of different types, such as: </w:t>
      </w:r>
    </w:p>
    <w:p w14:paraId="6586C9A6" w14:textId="77777777" w:rsidR="00EE61CD" w:rsidRPr="00405B97" w:rsidRDefault="00EE61CD" w:rsidP="00EE61CD">
      <w:pPr>
        <w:pStyle w:val="enumlev1"/>
      </w:pPr>
      <w:r w:rsidRPr="00405B97">
        <w:t>–</w:t>
      </w:r>
      <w:r w:rsidRPr="00405B97">
        <w:tab/>
        <w:t xml:space="preserve">absorption loss (ionospheric or atmospheric gases, precipitation, clouds, etc.); </w:t>
      </w:r>
    </w:p>
    <w:p w14:paraId="7EF2C00A" w14:textId="77777777" w:rsidR="00EE61CD" w:rsidRPr="00405B97" w:rsidRDefault="00EE61CD" w:rsidP="00EE61CD">
      <w:pPr>
        <w:pStyle w:val="enumlev1"/>
      </w:pPr>
      <w:r w:rsidRPr="00405B97">
        <w:t>–</w:t>
      </w:r>
      <w:r w:rsidRPr="00405B97">
        <w:tab/>
        <w:t xml:space="preserve">diffraction loss as for ground waves; </w:t>
      </w:r>
    </w:p>
    <w:p w14:paraId="41BE3E90" w14:textId="77777777" w:rsidR="00EE61CD" w:rsidRPr="00405B97" w:rsidRDefault="00EE61CD" w:rsidP="00EE61CD">
      <w:pPr>
        <w:pStyle w:val="enumlev1"/>
      </w:pPr>
      <w:r w:rsidRPr="00405B97">
        <w:lastRenderedPageBreak/>
        <w:t>–</w:t>
      </w:r>
      <w:r w:rsidRPr="00405B97">
        <w:tab/>
        <w:t xml:space="preserve">effective reflection or scattering loss as in the ionospheric case including the results of any focusing or defocusing due to curvature of a reflecting layer; </w:t>
      </w:r>
    </w:p>
    <w:p w14:paraId="3A72E8C3" w14:textId="77777777" w:rsidR="00EE61CD" w:rsidRPr="00405B97" w:rsidRDefault="00EE61CD" w:rsidP="00EE61CD">
      <w:pPr>
        <w:pStyle w:val="enumlev1"/>
      </w:pPr>
      <w:r w:rsidRPr="00405B97">
        <w:t>–</w:t>
      </w:r>
      <w:r w:rsidRPr="00405B97">
        <w:tab/>
        <w:t xml:space="preserve">polarization coupling loss; this can arise from any polarization mismatch between the antennas for the particular ray path considered; </w:t>
      </w:r>
    </w:p>
    <w:p w14:paraId="6558617F" w14:textId="77777777" w:rsidR="00EE61CD" w:rsidRPr="00405B97" w:rsidRDefault="00EE61CD" w:rsidP="00EE61CD">
      <w:pPr>
        <w:pStyle w:val="enumlev1"/>
      </w:pPr>
      <w:r w:rsidRPr="00405B97">
        <w:t>–</w:t>
      </w:r>
      <w:r w:rsidRPr="00405B97">
        <w:tab/>
        <w:t xml:space="preserve">aperture-to-medium coupling loss or antenna gain degradation, which may be due to the presence of substantial scatter phenomena on the path; </w:t>
      </w:r>
    </w:p>
    <w:p w14:paraId="0AA12B1E" w14:textId="77777777" w:rsidR="00EE61CD" w:rsidRPr="00405B97" w:rsidRDefault="00EE61CD" w:rsidP="00EE61CD">
      <w:pPr>
        <w:pStyle w:val="enumlev1"/>
      </w:pPr>
      <w:r w:rsidRPr="00405B97">
        <w:t>–</w:t>
      </w:r>
      <w:r w:rsidRPr="00405B97">
        <w:tab/>
        <w:t xml:space="preserve">beam spreading loss; </w:t>
      </w:r>
    </w:p>
    <w:p w14:paraId="63FFD98A" w14:textId="77777777" w:rsidR="00EE61CD" w:rsidRPr="00405B97" w:rsidRDefault="00EE61CD" w:rsidP="00EE61CD">
      <w:pPr>
        <w:pStyle w:val="enumlev1"/>
      </w:pPr>
      <w:r w:rsidRPr="00405B97">
        <w:t>–</w:t>
      </w:r>
      <w:r w:rsidRPr="00405B97">
        <w:tab/>
        <w:t xml:space="preserve">effect of wave interference between the direct ray and rays reflected from the ground, other obstacles or atmospheric layers; </w:t>
      </w:r>
    </w:p>
    <w:p w14:paraId="69497373" w14:textId="77777777" w:rsidR="00EE61CD" w:rsidRPr="00405B97" w:rsidRDefault="00EE61CD" w:rsidP="00EE61CD">
      <w:pPr>
        <w:pStyle w:val="enumlev1"/>
      </w:pPr>
      <w:r w:rsidRPr="00405B97">
        <w:t>–</w:t>
      </w:r>
      <w:r w:rsidRPr="00405B97">
        <w:tab/>
        <w:t xml:space="preserve">clutter loss; </w:t>
      </w:r>
    </w:p>
    <w:p w14:paraId="41DEE755" w14:textId="77777777" w:rsidR="00EE61CD" w:rsidRPr="00405B97" w:rsidRDefault="00EE61CD" w:rsidP="00EE61CD">
      <w:pPr>
        <w:pStyle w:val="enumlev1"/>
      </w:pPr>
      <w:r w:rsidRPr="00405B97">
        <w:t>–</w:t>
      </w:r>
      <w:r w:rsidRPr="00405B97">
        <w:tab/>
        <w:t>building entry loss.</w:t>
      </w:r>
    </w:p>
    <w:p w14:paraId="512C46BB" w14:textId="77777777" w:rsidR="00F25FE8" w:rsidRPr="00405B97" w:rsidRDefault="00F25FE8" w:rsidP="00F25FE8">
      <w:pPr>
        <w:pStyle w:val="Headingb"/>
        <w:rPr>
          <w:b w:val="0"/>
        </w:rPr>
      </w:pPr>
      <w:r w:rsidRPr="00405B97">
        <w:t xml:space="preserve">Transmission loss (of a radio link) </w:t>
      </w:r>
      <w:r w:rsidRPr="00405B97">
        <w:rPr>
          <w:b w:val="0"/>
        </w:rPr>
        <w:t xml:space="preserve">(symbols: </w:t>
      </w:r>
      <w:r w:rsidRPr="00405B97">
        <w:rPr>
          <w:b w:val="0"/>
          <w:i/>
        </w:rPr>
        <w:t>L</w:t>
      </w:r>
      <w:r w:rsidRPr="00405B97">
        <w:rPr>
          <w:b w:val="0"/>
        </w:rPr>
        <w:t xml:space="preserve"> or </w:t>
      </w:r>
      <w:r w:rsidRPr="00405B97">
        <w:rPr>
          <w:b w:val="0"/>
          <w:i/>
        </w:rPr>
        <w:t>A</w:t>
      </w:r>
      <w:r w:rsidRPr="00405B97">
        <w:rPr>
          <w:b w:val="0"/>
        </w:rPr>
        <w:t>)</w:t>
      </w:r>
    </w:p>
    <w:p w14:paraId="5FE7914B" w14:textId="77777777" w:rsidR="00EE61CD" w:rsidRPr="00405B97" w:rsidRDefault="00EE61CD" w:rsidP="00EE61CD">
      <w:r w:rsidRPr="00405B97">
        <w:t>The ratio, usually expressed in decibels, for a radio link between the power radiated by the transmitting antenna and the power that would be available at a conjugately matched receiver antenna input if actual antenna radiation patterns are substituted with no losses in the radiofrequency circuits.</w:t>
      </w:r>
    </w:p>
    <w:p w14:paraId="51BDC7AE" w14:textId="77777777" w:rsidR="00EE61CD" w:rsidRPr="00405B97" w:rsidRDefault="00EE61CD" w:rsidP="00EE61CD">
      <w:pPr>
        <w:pStyle w:val="Note"/>
      </w:pPr>
      <w:r w:rsidRPr="00405B97">
        <w:t>NOTE 1 – The transmission loss may be expressed by:</w:t>
      </w:r>
    </w:p>
    <w:p w14:paraId="78A24B74" w14:textId="77777777" w:rsidR="00EE61CD" w:rsidRPr="00405B97" w:rsidRDefault="00EE61CD" w:rsidP="00EE61CD">
      <w:pPr>
        <w:pStyle w:val="Equationlegend"/>
      </w:pPr>
      <w:r w:rsidRPr="00405B97">
        <w:tab/>
      </w:r>
      <w:r w:rsidRPr="00405B97">
        <w:tab/>
      </w:r>
      <m:oMath>
        <m:r>
          <w:rPr>
            <w:rFonts w:ascii="Cambria Math" w:hAnsi="Cambria Math"/>
          </w:rPr>
          <m:t>L=</m:t>
        </m:r>
        <m:sSub>
          <m:sSubPr>
            <m:ctrlPr>
              <w:rPr>
                <w:rFonts w:ascii="Cambria Math" w:hAnsi="Cambria Math"/>
                <w:i/>
              </w:rPr>
            </m:ctrlPr>
          </m:sSubPr>
          <m:e>
            <m:r>
              <w:rPr>
                <w:rFonts w:ascii="Cambria Math" w:hAnsi="Cambria Math"/>
              </w:rPr>
              <m:t>L</m:t>
            </m:r>
          </m:e>
          <m:sub>
            <m:r>
              <w:rPr>
                <w:rFonts w:ascii="Cambria Math" w:hAnsi="Cambria Math"/>
              </w:rPr>
              <m:t>b</m:t>
            </m:r>
          </m:sub>
        </m:sSub>
        <m:r>
          <w:rPr>
            <w:rFonts w:ascii="Cambria Math" w:hAnsi="Cambria Math"/>
          </w:rPr>
          <m:t xml:space="preserve">- </m:t>
        </m:r>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r</m:t>
            </m:r>
          </m:sub>
        </m:sSub>
        <m:r>
          <w:rPr>
            <w:rFonts w:ascii="Cambria Math" w:hAnsi="Cambria Math"/>
          </w:rPr>
          <m:t xml:space="preserve"> </m:t>
        </m:r>
      </m:oMath>
      <w:r w:rsidRPr="00405B97">
        <w:t>               dB</w:t>
      </w:r>
      <w:r w:rsidRPr="00405B97">
        <w:tab/>
        <w:t>(3)</w:t>
      </w:r>
    </w:p>
    <w:p w14:paraId="05359AE7" w14:textId="77777777" w:rsidR="00EE61CD" w:rsidRPr="00EE61CD" w:rsidRDefault="00EE61CD" w:rsidP="00EE61CD">
      <w:r w:rsidRPr="00EE61CD">
        <w:t xml:space="preserve">where </w:t>
      </w:r>
      <w:r w:rsidRPr="00EE61CD">
        <w:rPr>
          <w:i/>
          <w:iCs/>
        </w:rPr>
        <w:t>G</w:t>
      </w:r>
      <w:r w:rsidRPr="00EE61CD">
        <w:rPr>
          <w:i/>
          <w:iCs/>
          <w:position w:val="-4"/>
          <w:sz w:val="16"/>
          <w:szCs w:val="16"/>
        </w:rPr>
        <w:t>t</w:t>
      </w:r>
      <w:r w:rsidRPr="00EE61CD">
        <w:t xml:space="preserve"> and </w:t>
      </w:r>
      <w:r w:rsidRPr="00EE61CD">
        <w:rPr>
          <w:i/>
          <w:iCs/>
        </w:rPr>
        <w:t>G</w:t>
      </w:r>
      <w:r w:rsidRPr="00EE61CD">
        <w:rPr>
          <w:i/>
          <w:iCs/>
          <w:position w:val="-4"/>
          <w:sz w:val="16"/>
          <w:szCs w:val="16"/>
        </w:rPr>
        <w:t>r</w:t>
      </w:r>
      <w:r w:rsidRPr="00EE61CD">
        <w:t xml:space="preserve"> are the directivity gains (see Annex 1) of the transmitting and receiving antennas, respectively, in the direction of propagation.</w:t>
      </w:r>
    </w:p>
    <w:p w14:paraId="748449D6" w14:textId="77777777" w:rsidR="00EE61CD" w:rsidRPr="00EE61CD" w:rsidRDefault="00EE61CD" w:rsidP="00EE61CD">
      <w:pPr>
        <w:pStyle w:val="Note"/>
      </w:pPr>
      <w:r w:rsidRPr="00EE61CD">
        <w:t>NOTE 2 – The effect of the local ground close to the antenna is included in computing the antenna gain, but not in the basic transmission loss.</w:t>
      </w:r>
    </w:p>
    <w:p w14:paraId="1211803F" w14:textId="77777777" w:rsidR="00EE61CD" w:rsidRPr="00405B97" w:rsidRDefault="00EE61CD" w:rsidP="00EE61CD">
      <w:pPr>
        <w:rPr>
          <w:b/>
        </w:rPr>
      </w:pPr>
      <w:r w:rsidRPr="00F25FE8">
        <w:rPr>
          <w:b/>
          <w:bCs/>
        </w:rPr>
        <w:t>System loss</w:t>
      </w:r>
      <w:r w:rsidRPr="00405B97">
        <w:t xml:space="preserve"> (symbols: </w:t>
      </w:r>
      <w:r w:rsidRPr="00405B97">
        <w:rPr>
          <w:i/>
        </w:rPr>
        <w:t>L</w:t>
      </w:r>
      <w:r w:rsidRPr="00405B97">
        <w:rPr>
          <w:i/>
          <w:position w:val="-4"/>
          <w:sz w:val="16"/>
          <w:szCs w:val="16"/>
        </w:rPr>
        <w:t>s</w:t>
      </w:r>
      <w:r w:rsidRPr="00405B97">
        <w:t xml:space="preserve"> or </w:t>
      </w:r>
      <w:proofErr w:type="gramStart"/>
      <w:r w:rsidRPr="00405B97">
        <w:rPr>
          <w:i/>
        </w:rPr>
        <w:t>A</w:t>
      </w:r>
      <w:r w:rsidRPr="00405B97">
        <w:rPr>
          <w:i/>
          <w:position w:val="-4"/>
          <w:sz w:val="16"/>
          <w:szCs w:val="16"/>
        </w:rPr>
        <w:t>s</w:t>
      </w:r>
      <w:proofErr w:type="gramEnd"/>
      <w:r w:rsidRPr="00405B97">
        <w:t>)</w:t>
      </w:r>
    </w:p>
    <w:p w14:paraId="44719AC6" w14:textId="77777777" w:rsidR="00EE61CD" w:rsidRPr="00405B97" w:rsidRDefault="00EE61CD" w:rsidP="00EE61CD">
      <w:r w:rsidRPr="00405B97">
        <w:t>The ratio, usually expressed in decibels, for a radio link of the radio-frequency power input to the terminals of the transmitting antenna and the resultant radio-frequency signal power available at the terminals of the receiving antenna.</w:t>
      </w:r>
    </w:p>
    <w:p w14:paraId="554B6602" w14:textId="77777777" w:rsidR="00EE61CD" w:rsidRPr="00405B97" w:rsidRDefault="00EE61CD" w:rsidP="00EE61CD">
      <w:pPr>
        <w:pStyle w:val="Equationlegend"/>
      </w:pPr>
      <w:r w:rsidRPr="00405B97">
        <w:tab/>
      </w:r>
      <w:r w:rsidRPr="00405B97">
        <w:tab/>
      </w:r>
      <m:oMath>
        <m:sSub>
          <m:sSubPr>
            <m:ctrlPr>
              <w:rPr>
                <w:rFonts w:ascii="Cambria Math" w:hAnsi="Cambria Math"/>
                <w:i/>
              </w:rPr>
            </m:ctrlPr>
          </m:sSubPr>
          <m:e>
            <m:r>
              <w:rPr>
                <w:rFonts w:ascii="Cambria Math" w:hAnsi="Cambria Math"/>
              </w:rPr>
              <m:t>L</m:t>
            </m:r>
          </m:e>
          <m:sub>
            <m:r>
              <w:rPr>
                <w:rFonts w:ascii="Cambria Math" w:hAnsi="Cambria Math"/>
              </w:rPr>
              <m:t>s</m:t>
            </m:r>
          </m:sub>
        </m:sSub>
        <m:r>
          <w:rPr>
            <w:rFonts w:ascii="Cambria Math" w:hAnsi="Cambria Math"/>
          </w:rPr>
          <m:t>=L+</m:t>
        </m:r>
        <m:sSub>
          <m:sSubPr>
            <m:ctrlPr>
              <w:rPr>
                <w:rFonts w:ascii="Cambria Math" w:hAnsi="Cambria Math"/>
                <w:i/>
              </w:rPr>
            </m:ctrlPr>
          </m:sSubPr>
          <m:e>
            <m:r>
              <w:rPr>
                <w:rFonts w:ascii="Cambria Math" w:hAnsi="Cambria Math"/>
              </w:rPr>
              <m:t>L</m:t>
            </m:r>
          </m:e>
          <m:sub>
            <m:r>
              <w:rPr>
                <w:rFonts w:ascii="Cambria Math" w:hAnsi="Cambria Math"/>
              </w:rPr>
              <m:t>tc</m:t>
            </m:r>
          </m:sub>
        </m:sSub>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rc</m:t>
            </m:r>
          </m:sub>
        </m:sSub>
      </m:oMath>
      <w:r w:rsidRPr="00405B97">
        <w:t>               dB</w:t>
      </w:r>
      <w:r w:rsidRPr="00405B97">
        <w:tab/>
        <w:t>(4)</w:t>
      </w:r>
    </w:p>
    <w:p w14:paraId="489550E3" w14:textId="77777777" w:rsidR="00EE61CD" w:rsidRPr="00405B97" w:rsidRDefault="00EE61CD" w:rsidP="00EE61CD">
      <w:r w:rsidRPr="00405B97">
        <w:t xml:space="preserve">where </w:t>
      </w:r>
      <w:r w:rsidRPr="00405B97">
        <w:rPr>
          <w:i/>
          <w:iCs/>
        </w:rPr>
        <w:t>L</w:t>
      </w:r>
      <w:proofErr w:type="spellStart"/>
      <w:r w:rsidRPr="00405B97">
        <w:rPr>
          <w:i/>
          <w:iCs/>
          <w:position w:val="-4"/>
          <w:sz w:val="16"/>
          <w:szCs w:val="16"/>
        </w:rPr>
        <w:t>tc</w:t>
      </w:r>
      <w:proofErr w:type="spellEnd"/>
      <w:r w:rsidRPr="00405B97">
        <w:t xml:space="preserve"> and </w:t>
      </w:r>
      <w:r w:rsidRPr="00405B97">
        <w:rPr>
          <w:i/>
          <w:iCs/>
        </w:rPr>
        <w:t>L</w:t>
      </w:r>
      <w:proofErr w:type="spellStart"/>
      <w:r w:rsidRPr="00405B97">
        <w:rPr>
          <w:i/>
          <w:iCs/>
          <w:position w:val="-4"/>
          <w:sz w:val="16"/>
          <w:szCs w:val="16"/>
        </w:rPr>
        <w:t>rc</w:t>
      </w:r>
      <w:proofErr w:type="spellEnd"/>
      <w:r w:rsidRPr="00405B97">
        <w:t xml:space="preserve"> are the losses, expressed in decibels, in the transmitting and receiving antennas circuits respectively, excluding the dissipation associated with the antennas radiation, i.e. the definitions of </w:t>
      </w:r>
      <w:r w:rsidRPr="00405B97">
        <w:rPr>
          <w:i/>
          <w:iCs/>
        </w:rPr>
        <w:t>L</w:t>
      </w:r>
      <w:proofErr w:type="spellStart"/>
      <w:r w:rsidRPr="00405B97">
        <w:rPr>
          <w:i/>
          <w:iCs/>
          <w:position w:val="-4"/>
          <w:sz w:val="16"/>
          <w:szCs w:val="16"/>
        </w:rPr>
        <w:t>tc</w:t>
      </w:r>
      <w:proofErr w:type="spellEnd"/>
      <w:r w:rsidRPr="00405B97">
        <w:t xml:space="preserve"> and </w:t>
      </w:r>
      <w:r w:rsidRPr="00405B97">
        <w:rPr>
          <w:i/>
          <w:iCs/>
        </w:rPr>
        <w:t>L</w:t>
      </w:r>
      <w:proofErr w:type="spellStart"/>
      <w:r w:rsidRPr="00405B97">
        <w:rPr>
          <w:i/>
          <w:iCs/>
          <w:position w:val="-4"/>
          <w:sz w:val="16"/>
          <w:szCs w:val="16"/>
        </w:rPr>
        <w:t>rc</w:t>
      </w:r>
      <w:proofErr w:type="spellEnd"/>
      <w:r w:rsidRPr="00405B97">
        <w:t xml:space="preserve"> are 10 log (</w:t>
      </w:r>
      <w:r w:rsidRPr="00405B97">
        <w:rPr>
          <w:i/>
          <w:iCs/>
        </w:rPr>
        <w:t>r'</w:t>
      </w:r>
      <w:r w:rsidRPr="00405B97">
        <w:t>/</w:t>
      </w:r>
      <w:r w:rsidRPr="00405B97">
        <w:rPr>
          <w:i/>
          <w:iCs/>
        </w:rPr>
        <w:t>r</w:t>
      </w:r>
      <w:r w:rsidRPr="00405B97">
        <w:t>), where </w:t>
      </w:r>
      <w:r w:rsidRPr="00405B97">
        <w:rPr>
          <w:i/>
          <w:iCs/>
        </w:rPr>
        <w:t>r'</w:t>
      </w:r>
      <w:r w:rsidRPr="00405B97">
        <w:t xml:space="preserve"> is the resistive component of the antenna circuit and </w:t>
      </w:r>
      <w:r w:rsidRPr="00405B97">
        <w:rPr>
          <w:i/>
          <w:iCs/>
        </w:rPr>
        <w:t>r</w:t>
      </w:r>
      <w:r w:rsidRPr="00405B97">
        <w:t xml:space="preserve"> is the radiation resistance.</w:t>
      </w:r>
    </w:p>
    <w:p w14:paraId="234CFF77" w14:textId="77777777" w:rsidR="00EE61CD" w:rsidRPr="00405B97" w:rsidRDefault="00EE61CD" w:rsidP="00EE61CD">
      <w:pPr>
        <w:pStyle w:val="Note"/>
      </w:pPr>
      <w:r w:rsidRPr="00405B97">
        <w:t>NOTE 1 – The available power is the maximum real power which a source can deliver to a load, i.e. the power which would be delivered to the load if the impedances were conjugately matched.</w:t>
      </w:r>
    </w:p>
    <w:p w14:paraId="5BF13A64" w14:textId="77777777" w:rsidR="00EE61CD" w:rsidRPr="00405B97" w:rsidRDefault="00EE61CD" w:rsidP="00EE61CD">
      <w:pPr>
        <w:pStyle w:val="Note"/>
      </w:pPr>
      <w:r w:rsidRPr="00405B97">
        <w:t>NOTE 2 – The system loss may be also expressed by:</w:t>
      </w:r>
    </w:p>
    <w:p w14:paraId="5059F714" w14:textId="77777777" w:rsidR="00EE61CD" w:rsidRPr="00405B97" w:rsidRDefault="00EE61CD" w:rsidP="00EE61CD">
      <w:pPr>
        <w:pStyle w:val="Equationlegend"/>
      </w:pPr>
      <w:r w:rsidRPr="00405B97">
        <w:tab/>
      </w:r>
      <w:r w:rsidRPr="00405B97">
        <w:tab/>
      </w:r>
      <w:r w:rsidRPr="00405B97">
        <w:rPr>
          <w:i/>
          <w:iCs/>
        </w:rPr>
        <w:t>L</w:t>
      </w:r>
      <w:r w:rsidRPr="00405B97">
        <w:rPr>
          <w:i/>
          <w:iCs/>
          <w:position w:val="-4"/>
          <w:sz w:val="18"/>
          <w:szCs w:val="18"/>
        </w:rPr>
        <w:t>s</w:t>
      </w:r>
      <w:r w:rsidRPr="00405B97">
        <w:t xml:space="preserve">  </w:t>
      </w:r>
      <w:r w:rsidRPr="00405B97">
        <w:rPr>
          <w:rFonts w:ascii="Symbol" w:hAnsi="Symbol"/>
        </w:rPr>
        <w:t></w:t>
      </w:r>
      <w:r w:rsidRPr="00405B97">
        <w:t xml:space="preserve">  10 </w:t>
      </w:r>
      <w:proofErr w:type="gramStart"/>
      <w:r w:rsidRPr="00405B97">
        <w:t>log</w:t>
      </w:r>
      <w:proofErr w:type="gramEnd"/>
      <w:r w:rsidRPr="00405B97">
        <w:t xml:space="preserve"> (</w:t>
      </w:r>
      <w:r w:rsidRPr="00405B97">
        <w:rPr>
          <w:rFonts w:ascii="Tms Rmn" w:hAnsi="Tms Rmn"/>
          <w:sz w:val="12"/>
          <w:szCs w:val="12"/>
        </w:rPr>
        <w:t> </w:t>
      </w:r>
      <w:r w:rsidRPr="00405B97">
        <w:rPr>
          <w:i/>
          <w:iCs/>
        </w:rPr>
        <w:t>p</w:t>
      </w:r>
      <w:r w:rsidRPr="00405B97">
        <w:rPr>
          <w:i/>
          <w:iCs/>
          <w:position w:val="-4"/>
          <w:sz w:val="18"/>
          <w:szCs w:val="18"/>
        </w:rPr>
        <w:t>t</w:t>
      </w:r>
      <w:r w:rsidRPr="00405B97">
        <w:rPr>
          <w:rFonts w:ascii="Tms Rmn" w:hAnsi="Tms Rmn"/>
          <w:i/>
          <w:iCs/>
          <w:position w:val="-4"/>
          <w:sz w:val="12"/>
          <w:szCs w:val="12"/>
        </w:rPr>
        <w:t> </w:t>
      </w:r>
      <w:r w:rsidRPr="00405B97">
        <w:t>/</w:t>
      </w:r>
      <w:r w:rsidRPr="00405B97">
        <w:rPr>
          <w:i/>
          <w:iCs/>
        </w:rPr>
        <w:t>p</w:t>
      </w:r>
      <w:r w:rsidRPr="00405B97">
        <w:rPr>
          <w:i/>
          <w:iCs/>
          <w:position w:val="-4"/>
          <w:sz w:val="18"/>
          <w:szCs w:val="18"/>
        </w:rPr>
        <w:t>a</w:t>
      </w:r>
      <w:r w:rsidRPr="00405B97">
        <w:t xml:space="preserve">)  =  </w:t>
      </w:r>
      <w:r w:rsidRPr="00405B97">
        <w:rPr>
          <w:i/>
          <w:iCs/>
        </w:rPr>
        <w:t>P</w:t>
      </w:r>
      <w:r w:rsidRPr="00405B97">
        <w:rPr>
          <w:i/>
          <w:iCs/>
          <w:position w:val="-4"/>
          <w:sz w:val="18"/>
          <w:szCs w:val="18"/>
        </w:rPr>
        <w:t>t</w:t>
      </w:r>
      <w:r w:rsidRPr="00405B97">
        <w:t xml:space="preserve">  –  </w:t>
      </w:r>
      <w:r w:rsidRPr="00405B97">
        <w:rPr>
          <w:i/>
          <w:iCs/>
        </w:rPr>
        <w:t>P</w:t>
      </w:r>
      <w:r w:rsidRPr="00405B97">
        <w:rPr>
          <w:i/>
          <w:iCs/>
          <w:position w:val="-4"/>
          <w:sz w:val="18"/>
          <w:szCs w:val="18"/>
        </w:rPr>
        <w:t>a</w:t>
      </w:r>
      <w:r w:rsidRPr="00405B97">
        <w:t>               dB</w:t>
      </w:r>
      <w:r w:rsidRPr="00405B97">
        <w:tab/>
        <w:t>(5)</w:t>
      </w:r>
    </w:p>
    <w:p w14:paraId="2668918F" w14:textId="77777777" w:rsidR="00EE61CD" w:rsidRPr="00405B97" w:rsidRDefault="00EE61CD" w:rsidP="00EE61CD">
      <w:r w:rsidRPr="00405B97">
        <w:t>where:</w:t>
      </w:r>
    </w:p>
    <w:p w14:paraId="13BCD243" w14:textId="77777777" w:rsidR="00F25FE8" w:rsidRPr="00405B97" w:rsidRDefault="00F25FE8" w:rsidP="00F25FE8">
      <w:pPr>
        <w:pStyle w:val="Note"/>
      </w:pPr>
      <w:r w:rsidRPr="00405B97">
        <w:t>where:</w:t>
      </w:r>
    </w:p>
    <w:p w14:paraId="4DDB177A" w14:textId="77777777" w:rsidR="00F25FE8" w:rsidRPr="00405B97" w:rsidRDefault="00F25FE8" w:rsidP="00F25FE8">
      <w:pPr>
        <w:pStyle w:val="Equationlegend"/>
      </w:pPr>
      <w:r w:rsidRPr="00405B97">
        <w:tab/>
      </w:r>
      <w:r w:rsidRPr="00405B97">
        <w:rPr>
          <w:i/>
          <w:iCs/>
        </w:rPr>
        <w:t>p</w:t>
      </w:r>
      <w:r w:rsidRPr="00405B97">
        <w:rPr>
          <w:i/>
          <w:iCs/>
          <w:position w:val="-4"/>
          <w:sz w:val="16"/>
          <w:szCs w:val="16"/>
        </w:rPr>
        <w:t>t</w:t>
      </w:r>
      <w:r w:rsidRPr="00405B97">
        <w:rPr>
          <w:rFonts w:ascii="Tms Rmn" w:hAnsi="Tms Rmn"/>
          <w:position w:val="-4"/>
          <w:sz w:val="12"/>
          <w:szCs w:val="12"/>
        </w:rPr>
        <w:t> </w:t>
      </w:r>
      <w:r w:rsidRPr="00405B97">
        <w:t>:</w:t>
      </w:r>
      <w:r w:rsidRPr="00405B97">
        <w:tab/>
        <w:t>radio-frequency power input to the terminals of the transmitting antenna;</w:t>
      </w:r>
    </w:p>
    <w:p w14:paraId="69207391" w14:textId="77777777" w:rsidR="00F25FE8" w:rsidRPr="00405B97" w:rsidRDefault="00F25FE8" w:rsidP="00F25FE8">
      <w:pPr>
        <w:pStyle w:val="Equationlegend"/>
      </w:pPr>
      <w:r w:rsidRPr="00405B97">
        <w:tab/>
      </w:r>
      <w:r w:rsidRPr="00405B97">
        <w:rPr>
          <w:i/>
          <w:iCs/>
        </w:rPr>
        <w:t>p</w:t>
      </w:r>
      <w:r w:rsidRPr="00405B97">
        <w:rPr>
          <w:i/>
          <w:iCs/>
          <w:position w:val="-4"/>
          <w:sz w:val="16"/>
          <w:szCs w:val="16"/>
        </w:rPr>
        <w:t>a</w:t>
      </w:r>
      <w:r w:rsidRPr="00405B97">
        <w:rPr>
          <w:rFonts w:ascii="Tms Rmn" w:hAnsi="Tms Rmn"/>
          <w:i/>
          <w:iCs/>
          <w:position w:val="-4"/>
          <w:sz w:val="12"/>
          <w:szCs w:val="12"/>
        </w:rPr>
        <w:t> </w:t>
      </w:r>
      <w:r w:rsidRPr="00405B97">
        <w:t>:</w:t>
      </w:r>
      <w:r w:rsidRPr="00405B97">
        <w:tab/>
        <w:t>resultant radio-frequency signal power available at the terminals of the receiving antenna.</w:t>
      </w:r>
    </w:p>
    <w:p w14:paraId="300B913C" w14:textId="77777777" w:rsidR="00EE61CD" w:rsidRPr="00405B97" w:rsidRDefault="00EE61CD" w:rsidP="00EE61CD">
      <w:pPr>
        <w:pStyle w:val="Note"/>
      </w:pPr>
      <w:r w:rsidRPr="00405B97">
        <w:lastRenderedPageBreak/>
        <w:t>NOTE 3 – The system loss excludes losses in feeder lines but includes all losses in radio-frequency circuits associated with the antenna, such as ground losses, dielectric losses, antenna loading coil losses, and terminating resistor losses.</w:t>
      </w:r>
    </w:p>
    <w:p w14:paraId="5188C4D4" w14:textId="77777777" w:rsidR="00F25FE8" w:rsidRPr="00405B97" w:rsidRDefault="00F25FE8" w:rsidP="00F25FE8">
      <w:pPr>
        <w:pStyle w:val="Headingb"/>
      </w:pPr>
      <w:r w:rsidRPr="00405B97">
        <w:t xml:space="preserve">Total loss (of a radio link) </w:t>
      </w:r>
      <w:r w:rsidRPr="00405B97">
        <w:rPr>
          <w:b w:val="0"/>
        </w:rPr>
        <w:t xml:space="preserve">(symbols: </w:t>
      </w:r>
      <w:r w:rsidRPr="00405B97">
        <w:rPr>
          <w:b w:val="0"/>
          <w:i/>
        </w:rPr>
        <w:t>L</w:t>
      </w:r>
      <w:proofErr w:type="spellStart"/>
      <w:r w:rsidRPr="00405B97">
        <w:rPr>
          <w:b w:val="0"/>
          <w:i/>
          <w:position w:val="-4"/>
          <w:sz w:val="16"/>
          <w:szCs w:val="16"/>
        </w:rPr>
        <w:t>l</w:t>
      </w:r>
      <w:proofErr w:type="spellEnd"/>
      <w:r w:rsidRPr="00405B97">
        <w:rPr>
          <w:b w:val="0"/>
          <w:position w:val="-4"/>
          <w:sz w:val="16"/>
          <w:szCs w:val="16"/>
        </w:rPr>
        <w:t xml:space="preserve"> </w:t>
      </w:r>
      <w:r w:rsidRPr="00405B97">
        <w:rPr>
          <w:b w:val="0"/>
        </w:rPr>
        <w:t xml:space="preserve">or </w:t>
      </w:r>
      <w:r w:rsidRPr="00405B97">
        <w:rPr>
          <w:b w:val="0"/>
          <w:i/>
        </w:rPr>
        <w:t>A</w:t>
      </w:r>
      <w:r w:rsidRPr="00405B97">
        <w:rPr>
          <w:b w:val="0"/>
          <w:i/>
          <w:position w:val="-4"/>
          <w:sz w:val="16"/>
          <w:szCs w:val="16"/>
        </w:rPr>
        <w:t>l</w:t>
      </w:r>
      <w:r w:rsidRPr="00405B97">
        <w:rPr>
          <w:b w:val="0"/>
        </w:rPr>
        <w:t>)</w:t>
      </w:r>
    </w:p>
    <w:p w14:paraId="20B6032F" w14:textId="77777777" w:rsidR="00EE61CD" w:rsidRPr="00405B97" w:rsidRDefault="00EE61CD" w:rsidP="00EE61CD">
      <w:r w:rsidRPr="00405B97">
        <w:t>The ratio, usually expressed in decibels, between the power supplied by the transmitter of a radio link and the power supplied to the corresponding receiver in real installation, propagation and operational conditions. This is determined at the input or at the output of the transmitting and receiving antenna feed lines. The feed lines may include radio-frequency filters or multiplexers.</w:t>
      </w:r>
    </w:p>
    <w:p w14:paraId="58D32C47" w14:textId="77777777" w:rsidR="00EE61CD" w:rsidRPr="000820DD" w:rsidRDefault="00EE61CD" w:rsidP="00EE61CD">
      <w:pPr>
        <w:jc w:val="center"/>
      </w:pPr>
      <w:r w:rsidRPr="00405B97">
        <w:t>______________</w:t>
      </w:r>
    </w:p>
    <w:p w14:paraId="5785274E" w14:textId="0FC7B8AD" w:rsidR="00590BC0" w:rsidRPr="00B44313" w:rsidRDefault="00590BC0" w:rsidP="00F5652F">
      <w:pPr>
        <w:spacing w:after="120"/>
        <w:jc w:val="center"/>
        <w:rPr>
          <w:bCs/>
        </w:rPr>
      </w:pPr>
    </w:p>
    <w:sectPr w:rsidR="00590BC0" w:rsidRPr="00B44313" w:rsidSect="00F86D7D">
      <w:headerReference w:type="default" r:id="rId19"/>
      <w:pgSz w:w="11907" w:h="16840" w:code="9"/>
      <w:pgMar w:top="1417" w:right="1134" w:bottom="141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879C2" w14:textId="77777777" w:rsidR="00635EF6" w:rsidRDefault="00635EF6" w:rsidP="00C42125">
      <w:pPr>
        <w:spacing w:before="0"/>
      </w:pPr>
      <w:r>
        <w:separator/>
      </w:r>
    </w:p>
  </w:endnote>
  <w:endnote w:type="continuationSeparator" w:id="0">
    <w:p w14:paraId="4615B62E" w14:textId="77777777" w:rsidR="00635EF6" w:rsidRDefault="00635EF6"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Yu Gothic UI"/>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B4014" w14:textId="77777777" w:rsidR="00635EF6" w:rsidRDefault="00635EF6" w:rsidP="00C42125">
      <w:pPr>
        <w:spacing w:before="0"/>
      </w:pPr>
      <w:r>
        <w:separator/>
      </w:r>
    </w:p>
  </w:footnote>
  <w:footnote w:type="continuationSeparator" w:id="0">
    <w:p w14:paraId="7C5CD89D" w14:textId="77777777" w:rsidR="00635EF6" w:rsidRDefault="00635EF6"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B4B64" w14:textId="78F171E3" w:rsidR="00CB6273" w:rsidRPr="00F86D7D" w:rsidRDefault="00F86D7D" w:rsidP="00F86D7D">
    <w:pPr>
      <w:pStyle w:val="Header"/>
      <w:rPr>
        <w:sz w:val="18"/>
      </w:rPr>
    </w:pPr>
    <w:r w:rsidRPr="00F86D7D">
      <w:rPr>
        <w:sz w:val="18"/>
      </w:rPr>
      <w:t xml:space="preserve">- </w:t>
    </w:r>
    <w:r w:rsidRPr="00F86D7D">
      <w:rPr>
        <w:sz w:val="18"/>
      </w:rPr>
      <w:fldChar w:fldCharType="begin"/>
    </w:r>
    <w:r w:rsidRPr="00F86D7D">
      <w:rPr>
        <w:sz w:val="18"/>
      </w:rPr>
      <w:instrText xml:space="preserve"> PAGE  \* MERGEFORMAT </w:instrText>
    </w:r>
    <w:r w:rsidRPr="00F86D7D">
      <w:rPr>
        <w:sz w:val="18"/>
      </w:rPr>
      <w:fldChar w:fldCharType="separate"/>
    </w:r>
    <w:r w:rsidRPr="00F86D7D">
      <w:rPr>
        <w:noProof/>
        <w:sz w:val="18"/>
      </w:rPr>
      <w:t>1</w:t>
    </w:r>
    <w:r w:rsidRPr="00F86D7D">
      <w:rPr>
        <w:sz w:val="18"/>
      </w:rPr>
      <w:fldChar w:fldCharType="end"/>
    </w:r>
    <w:r w:rsidRPr="00F86D7D">
      <w:rPr>
        <w:sz w:val="18"/>
      </w:rPr>
      <w:t xml:space="preserve"> -</w:t>
    </w:r>
  </w:p>
  <w:p w14:paraId="61AB0753" w14:textId="005C5015" w:rsidR="00F86D7D" w:rsidRPr="00F86D7D" w:rsidRDefault="00F86D7D" w:rsidP="00F86D7D">
    <w:pPr>
      <w:pStyle w:val="Header"/>
      <w:spacing w:after="240"/>
      <w:rPr>
        <w:sz w:val="18"/>
      </w:rPr>
    </w:pPr>
    <w:r w:rsidRPr="00F86D7D">
      <w:rPr>
        <w:sz w:val="18"/>
      </w:rPr>
      <w:fldChar w:fldCharType="begin"/>
    </w:r>
    <w:r w:rsidRPr="00F86D7D">
      <w:rPr>
        <w:sz w:val="18"/>
      </w:rPr>
      <w:instrText xml:space="preserve"> STYLEREF  Docnumber  </w:instrText>
    </w:r>
    <w:r w:rsidRPr="00F86D7D">
      <w:rPr>
        <w:sz w:val="18"/>
      </w:rPr>
      <w:fldChar w:fldCharType="separate"/>
    </w:r>
    <w:r w:rsidR="00F25FE8">
      <w:rPr>
        <w:noProof/>
        <w:sz w:val="18"/>
      </w:rPr>
      <w:t>SCV-TD137</w:t>
    </w:r>
    <w:r w:rsidRPr="00F86D7D">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377F8"/>
    <w:multiLevelType w:val="hybridMultilevel"/>
    <w:tmpl w:val="4C80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F74C17"/>
    <w:multiLevelType w:val="hybridMultilevel"/>
    <w:tmpl w:val="C1685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41C37"/>
    <w:multiLevelType w:val="hybridMultilevel"/>
    <w:tmpl w:val="2D1C0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A46A9"/>
    <w:multiLevelType w:val="hybridMultilevel"/>
    <w:tmpl w:val="06728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B1752"/>
    <w:multiLevelType w:val="multilevel"/>
    <w:tmpl w:val="D54A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E5F03"/>
    <w:multiLevelType w:val="hybridMultilevel"/>
    <w:tmpl w:val="C1EE61D6"/>
    <w:lvl w:ilvl="0" w:tplc="DD164A8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65FE7F2F"/>
    <w:multiLevelType w:val="hybridMultilevel"/>
    <w:tmpl w:val="DFAC8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546E6C"/>
    <w:multiLevelType w:val="hybridMultilevel"/>
    <w:tmpl w:val="ECB80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6"/>
  </w:num>
  <w:num w:numId="14">
    <w:abstractNumId w:val="11"/>
  </w:num>
  <w:num w:numId="15">
    <w:abstractNumId w:val="14"/>
  </w:num>
  <w:num w:numId="16">
    <w:abstractNumId w:val="15"/>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2"/>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14F69"/>
    <w:rsid w:val="00016F80"/>
    <w:rsid w:val="000171DB"/>
    <w:rsid w:val="00023D9A"/>
    <w:rsid w:val="0003582E"/>
    <w:rsid w:val="00043D75"/>
    <w:rsid w:val="00057000"/>
    <w:rsid w:val="00061268"/>
    <w:rsid w:val="000640E0"/>
    <w:rsid w:val="000720D3"/>
    <w:rsid w:val="00083325"/>
    <w:rsid w:val="00083487"/>
    <w:rsid w:val="000966A8"/>
    <w:rsid w:val="000A5CA2"/>
    <w:rsid w:val="000B5814"/>
    <w:rsid w:val="000C397B"/>
    <w:rsid w:val="000D109E"/>
    <w:rsid w:val="000E6125"/>
    <w:rsid w:val="00113DBE"/>
    <w:rsid w:val="001200A6"/>
    <w:rsid w:val="00120CD6"/>
    <w:rsid w:val="00124A40"/>
    <w:rsid w:val="001251DA"/>
    <w:rsid w:val="00125432"/>
    <w:rsid w:val="00136DDD"/>
    <w:rsid w:val="00137F40"/>
    <w:rsid w:val="00144BDF"/>
    <w:rsid w:val="00150BA4"/>
    <w:rsid w:val="00155DDC"/>
    <w:rsid w:val="00161830"/>
    <w:rsid w:val="0018003F"/>
    <w:rsid w:val="00185851"/>
    <w:rsid w:val="00186617"/>
    <w:rsid w:val="001871EC"/>
    <w:rsid w:val="00193059"/>
    <w:rsid w:val="00197DA7"/>
    <w:rsid w:val="001A20C3"/>
    <w:rsid w:val="001A5873"/>
    <w:rsid w:val="001A670F"/>
    <w:rsid w:val="001B6A45"/>
    <w:rsid w:val="001C05ED"/>
    <w:rsid w:val="001C62B8"/>
    <w:rsid w:val="001D22D8"/>
    <w:rsid w:val="001D4296"/>
    <w:rsid w:val="001D7FA2"/>
    <w:rsid w:val="001E7B0E"/>
    <w:rsid w:val="001F141D"/>
    <w:rsid w:val="001F2C47"/>
    <w:rsid w:val="00200A06"/>
    <w:rsid w:val="00200A98"/>
    <w:rsid w:val="00201AFA"/>
    <w:rsid w:val="0020491D"/>
    <w:rsid w:val="00210CE7"/>
    <w:rsid w:val="002229F1"/>
    <w:rsid w:val="00233F75"/>
    <w:rsid w:val="002511C0"/>
    <w:rsid w:val="00253DBE"/>
    <w:rsid w:val="00253DC6"/>
    <w:rsid w:val="0025489C"/>
    <w:rsid w:val="002558D0"/>
    <w:rsid w:val="002622FA"/>
    <w:rsid w:val="00263518"/>
    <w:rsid w:val="002759E7"/>
    <w:rsid w:val="00277326"/>
    <w:rsid w:val="002951CF"/>
    <w:rsid w:val="002A0C8D"/>
    <w:rsid w:val="002A11C4"/>
    <w:rsid w:val="002A399B"/>
    <w:rsid w:val="002C06A7"/>
    <w:rsid w:val="002C26C0"/>
    <w:rsid w:val="002C2BC5"/>
    <w:rsid w:val="002D0097"/>
    <w:rsid w:val="002D3F8A"/>
    <w:rsid w:val="002E0407"/>
    <w:rsid w:val="002E3C52"/>
    <w:rsid w:val="002E79CB"/>
    <w:rsid w:val="002F7F55"/>
    <w:rsid w:val="00301456"/>
    <w:rsid w:val="0030745F"/>
    <w:rsid w:val="00314630"/>
    <w:rsid w:val="003150CC"/>
    <w:rsid w:val="0032090A"/>
    <w:rsid w:val="00321CDE"/>
    <w:rsid w:val="00333E15"/>
    <w:rsid w:val="003449F4"/>
    <w:rsid w:val="003571BC"/>
    <w:rsid w:val="0036090C"/>
    <w:rsid w:val="00361116"/>
    <w:rsid w:val="00362562"/>
    <w:rsid w:val="00381745"/>
    <w:rsid w:val="00385FB5"/>
    <w:rsid w:val="0038715D"/>
    <w:rsid w:val="00394DBF"/>
    <w:rsid w:val="003957A6"/>
    <w:rsid w:val="00395DFC"/>
    <w:rsid w:val="003A43EF"/>
    <w:rsid w:val="003C7445"/>
    <w:rsid w:val="003E39A2"/>
    <w:rsid w:val="003E57AB"/>
    <w:rsid w:val="003F1AFD"/>
    <w:rsid w:val="003F2BED"/>
    <w:rsid w:val="003F72F5"/>
    <w:rsid w:val="00400B49"/>
    <w:rsid w:val="00435083"/>
    <w:rsid w:val="00443878"/>
    <w:rsid w:val="0044473F"/>
    <w:rsid w:val="00445A6D"/>
    <w:rsid w:val="004524AC"/>
    <w:rsid w:val="004539A8"/>
    <w:rsid w:val="004712CA"/>
    <w:rsid w:val="00473782"/>
    <w:rsid w:val="0047422E"/>
    <w:rsid w:val="00477D78"/>
    <w:rsid w:val="0048148C"/>
    <w:rsid w:val="0049090D"/>
    <w:rsid w:val="00495E8C"/>
    <w:rsid w:val="0049674B"/>
    <w:rsid w:val="004B1C5B"/>
    <w:rsid w:val="004B22B2"/>
    <w:rsid w:val="004C0673"/>
    <w:rsid w:val="004C4E4E"/>
    <w:rsid w:val="004C505C"/>
    <w:rsid w:val="004D4D89"/>
    <w:rsid w:val="004E2953"/>
    <w:rsid w:val="004F3816"/>
    <w:rsid w:val="00502214"/>
    <w:rsid w:val="0050586A"/>
    <w:rsid w:val="00516DDE"/>
    <w:rsid w:val="00520DBF"/>
    <w:rsid w:val="0053731C"/>
    <w:rsid w:val="00543D41"/>
    <w:rsid w:val="00550EC0"/>
    <w:rsid w:val="00556A5B"/>
    <w:rsid w:val="00566EDA"/>
    <w:rsid w:val="0057081A"/>
    <w:rsid w:val="005716CB"/>
    <w:rsid w:val="00572654"/>
    <w:rsid w:val="00590BC0"/>
    <w:rsid w:val="005976A1"/>
    <w:rsid w:val="005A2C2D"/>
    <w:rsid w:val="005A3D68"/>
    <w:rsid w:val="005A4DBC"/>
    <w:rsid w:val="005B5629"/>
    <w:rsid w:val="005C0300"/>
    <w:rsid w:val="005C27A2"/>
    <w:rsid w:val="005D4FEB"/>
    <w:rsid w:val="005D7A4B"/>
    <w:rsid w:val="005F4B6A"/>
    <w:rsid w:val="006010F3"/>
    <w:rsid w:val="006035F3"/>
    <w:rsid w:val="006054DB"/>
    <w:rsid w:val="00615A0A"/>
    <w:rsid w:val="00615F97"/>
    <w:rsid w:val="00626673"/>
    <w:rsid w:val="0063220F"/>
    <w:rsid w:val="006333D4"/>
    <w:rsid w:val="00635EF6"/>
    <w:rsid w:val="006369B2"/>
    <w:rsid w:val="0063718D"/>
    <w:rsid w:val="00647525"/>
    <w:rsid w:val="00647A71"/>
    <w:rsid w:val="006570B0"/>
    <w:rsid w:val="0066022F"/>
    <w:rsid w:val="00677E32"/>
    <w:rsid w:val="006813BC"/>
    <w:rsid w:val="006823F3"/>
    <w:rsid w:val="0068336A"/>
    <w:rsid w:val="00691A77"/>
    <w:rsid w:val="0069210B"/>
    <w:rsid w:val="00693307"/>
    <w:rsid w:val="00695DD7"/>
    <w:rsid w:val="006A4055"/>
    <w:rsid w:val="006A7C27"/>
    <w:rsid w:val="006B2FE4"/>
    <w:rsid w:val="006B37B0"/>
    <w:rsid w:val="006C5641"/>
    <w:rsid w:val="006D1089"/>
    <w:rsid w:val="006D1B86"/>
    <w:rsid w:val="006D320C"/>
    <w:rsid w:val="006D4772"/>
    <w:rsid w:val="006D7355"/>
    <w:rsid w:val="006F7DEE"/>
    <w:rsid w:val="007124F9"/>
    <w:rsid w:val="00715551"/>
    <w:rsid w:val="00715CA6"/>
    <w:rsid w:val="00722102"/>
    <w:rsid w:val="00731135"/>
    <w:rsid w:val="007324AF"/>
    <w:rsid w:val="007409B4"/>
    <w:rsid w:val="00741974"/>
    <w:rsid w:val="00750F6E"/>
    <w:rsid w:val="00753EBD"/>
    <w:rsid w:val="0075525E"/>
    <w:rsid w:val="00756D3D"/>
    <w:rsid w:val="00772978"/>
    <w:rsid w:val="007806C2"/>
    <w:rsid w:val="0078159E"/>
    <w:rsid w:val="00781FEE"/>
    <w:rsid w:val="0078316A"/>
    <w:rsid w:val="0078613B"/>
    <w:rsid w:val="007903F8"/>
    <w:rsid w:val="00791B2B"/>
    <w:rsid w:val="00794F4F"/>
    <w:rsid w:val="007974BE"/>
    <w:rsid w:val="007A0916"/>
    <w:rsid w:val="007A0DFD"/>
    <w:rsid w:val="007C7122"/>
    <w:rsid w:val="007D3F11"/>
    <w:rsid w:val="007E2C69"/>
    <w:rsid w:val="007E53E4"/>
    <w:rsid w:val="007E656A"/>
    <w:rsid w:val="007F3CAA"/>
    <w:rsid w:val="007F664D"/>
    <w:rsid w:val="00802361"/>
    <w:rsid w:val="0080324B"/>
    <w:rsid w:val="0081680F"/>
    <w:rsid w:val="00837203"/>
    <w:rsid w:val="00842137"/>
    <w:rsid w:val="00853F5F"/>
    <w:rsid w:val="008623ED"/>
    <w:rsid w:val="00866524"/>
    <w:rsid w:val="00871FA4"/>
    <w:rsid w:val="00875AA6"/>
    <w:rsid w:val="00880944"/>
    <w:rsid w:val="00887364"/>
    <w:rsid w:val="0089088E"/>
    <w:rsid w:val="00892297"/>
    <w:rsid w:val="008964D6"/>
    <w:rsid w:val="008B5123"/>
    <w:rsid w:val="008D199E"/>
    <w:rsid w:val="008E0172"/>
    <w:rsid w:val="008F0434"/>
    <w:rsid w:val="008F7B61"/>
    <w:rsid w:val="0090341C"/>
    <w:rsid w:val="009262FA"/>
    <w:rsid w:val="00936852"/>
    <w:rsid w:val="0093690B"/>
    <w:rsid w:val="0094045D"/>
    <w:rsid w:val="009406B5"/>
    <w:rsid w:val="00946166"/>
    <w:rsid w:val="00975CEE"/>
    <w:rsid w:val="009764BC"/>
    <w:rsid w:val="00983164"/>
    <w:rsid w:val="009872CF"/>
    <w:rsid w:val="009972EF"/>
    <w:rsid w:val="009B5035"/>
    <w:rsid w:val="009C3160"/>
    <w:rsid w:val="009D40C6"/>
    <w:rsid w:val="009D41B8"/>
    <w:rsid w:val="009E3AB3"/>
    <w:rsid w:val="009E766E"/>
    <w:rsid w:val="009F1960"/>
    <w:rsid w:val="009F6694"/>
    <w:rsid w:val="009F715E"/>
    <w:rsid w:val="00A0377D"/>
    <w:rsid w:val="00A10DBB"/>
    <w:rsid w:val="00A11720"/>
    <w:rsid w:val="00A21247"/>
    <w:rsid w:val="00A31D47"/>
    <w:rsid w:val="00A4013E"/>
    <w:rsid w:val="00A4045F"/>
    <w:rsid w:val="00A427CD"/>
    <w:rsid w:val="00A45533"/>
    <w:rsid w:val="00A45FEE"/>
    <w:rsid w:val="00A4600B"/>
    <w:rsid w:val="00A50506"/>
    <w:rsid w:val="00A51EF0"/>
    <w:rsid w:val="00A67A81"/>
    <w:rsid w:val="00A730A6"/>
    <w:rsid w:val="00A875BA"/>
    <w:rsid w:val="00A9343E"/>
    <w:rsid w:val="00A956E0"/>
    <w:rsid w:val="00A971A0"/>
    <w:rsid w:val="00AA1F22"/>
    <w:rsid w:val="00AD2E44"/>
    <w:rsid w:val="00B05821"/>
    <w:rsid w:val="00B100D6"/>
    <w:rsid w:val="00B151E9"/>
    <w:rsid w:val="00B164C9"/>
    <w:rsid w:val="00B26C28"/>
    <w:rsid w:val="00B4174C"/>
    <w:rsid w:val="00B41FB5"/>
    <w:rsid w:val="00B44313"/>
    <w:rsid w:val="00B453F5"/>
    <w:rsid w:val="00B544B4"/>
    <w:rsid w:val="00B61624"/>
    <w:rsid w:val="00B66481"/>
    <w:rsid w:val="00B7189C"/>
    <w:rsid w:val="00B718A5"/>
    <w:rsid w:val="00B761E5"/>
    <w:rsid w:val="00B90AD6"/>
    <w:rsid w:val="00BA1028"/>
    <w:rsid w:val="00BA788A"/>
    <w:rsid w:val="00BB2763"/>
    <w:rsid w:val="00BB4983"/>
    <w:rsid w:val="00BB7597"/>
    <w:rsid w:val="00BC0C38"/>
    <w:rsid w:val="00BC2AAB"/>
    <w:rsid w:val="00BC62E2"/>
    <w:rsid w:val="00BE46E3"/>
    <w:rsid w:val="00C15835"/>
    <w:rsid w:val="00C31F6D"/>
    <w:rsid w:val="00C37820"/>
    <w:rsid w:val="00C42125"/>
    <w:rsid w:val="00C460F3"/>
    <w:rsid w:val="00C62814"/>
    <w:rsid w:val="00C67B25"/>
    <w:rsid w:val="00C72A92"/>
    <w:rsid w:val="00C748F7"/>
    <w:rsid w:val="00C74937"/>
    <w:rsid w:val="00C817B8"/>
    <w:rsid w:val="00CB2599"/>
    <w:rsid w:val="00CB6273"/>
    <w:rsid w:val="00CD10F8"/>
    <w:rsid w:val="00CD2139"/>
    <w:rsid w:val="00CD2C43"/>
    <w:rsid w:val="00CD6848"/>
    <w:rsid w:val="00CE16AA"/>
    <w:rsid w:val="00CE5986"/>
    <w:rsid w:val="00D13CC4"/>
    <w:rsid w:val="00D647EF"/>
    <w:rsid w:val="00D73137"/>
    <w:rsid w:val="00D810FC"/>
    <w:rsid w:val="00D81EB4"/>
    <w:rsid w:val="00D9194D"/>
    <w:rsid w:val="00D95717"/>
    <w:rsid w:val="00D95922"/>
    <w:rsid w:val="00D977A2"/>
    <w:rsid w:val="00DA1D47"/>
    <w:rsid w:val="00DD50DE"/>
    <w:rsid w:val="00DD792F"/>
    <w:rsid w:val="00DE3062"/>
    <w:rsid w:val="00DF07C7"/>
    <w:rsid w:val="00E01EC8"/>
    <w:rsid w:val="00E0581D"/>
    <w:rsid w:val="00E11B34"/>
    <w:rsid w:val="00E204DD"/>
    <w:rsid w:val="00E27E0E"/>
    <w:rsid w:val="00E353EC"/>
    <w:rsid w:val="00E35619"/>
    <w:rsid w:val="00E41803"/>
    <w:rsid w:val="00E51C1A"/>
    <w:rsid w:val="00E51F61"/>
    <w:rsid w:val="00E53B96"/>
    <w:rsid w:val="00E53C24"/>
    <w:rsid w:val="00E56E77"/>
    <w:rsid w:val="00E86454"/>
    <w:rsid w:val="00E87795"/>
    <w:rsid w:val="00EA31BA"/>
    <w:rsid w:val="00EB1BEE"/>
    <w:rsid w:val="00EB444D"/>
    <w:rsid w:val="00EC2FAE"/>
    <w:rsid w:val="00ED5B66"/>
    <w:rsid w:val="00EE1F39"/>
    <w:rsid w:val="00EE5C0D"/>
    <w:rsid w:val="00EE61CD"/>
    <w:rsid w:val="00EF4792"/>
    <w:rsid w:val="00F02294"/>
    <w:rsid w:val="00F04CD0"/>
    <w:rsid w:val="00F1460B"/>
    <w:rsid w:val="00F25FE8"/>
    <w:rsid w:val="00F30DE7"/>
    <w:rsid w:val="00F35B24"/>
    <w:rsid w:val="00F35F57"/>
    <w:rsid w:val="00F50467"/>
    <w:rsid w:val="00F562A0"/>
    <w:rsid w:val="00F5652F"/>
    <w:rsid w:val="00F57FA4"/>
    <w:rsid w:val="00F663DB"/>
    <w:rsid w:val="00F86D7D"/>
    <w:rsid w:val="00F87C28"/>
    <w:rsid w:val="00FA02CB"/>
    <w:rsid w:val="00FA2177"/>
    <w:rsid w:val="00FB0783"/>
    <w:rsid w:val="00FB416B"/>
    <w:rsid w:val="00FB7A8B"/>
    <w:rsid w:val="00FC760E"/>
    <w:rsid w:val="00FD439E"/>
    <w:rsid w:val="00FD76CB"/>
    <w:rsid w:val="00FE152B"/>
    <w:rsid w:val="00FE239E"/>
    <w:rsid w:val="00FF4546"/>
    <w:rsid w:val="00FF53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B2D29"/>
  <w15:chartTrackingRefBased/>
  <w15:docId w15:val="{027C5014-683C-46AD-A6F6-447A1C5D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E15"/>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spacing w:before="240"/>
      <w:outlineLvl w:val="1"/>
    </w:pPr>
  </w:style>
  <w:style w:type="paragraph" w:styleId="Heading3">
    <w:name w:val="heading 3"/>
    <w:basedOn w:val="Heading1"/>
    <w:next w:val="Normal"/>
    <w:link w:val="Heading3Char"/>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autoSpaceDE w:val="0"/>
      <w:autoSpaceDN w:val="0"/>
      <w:adjustRightInd w:val="0"/>
      <w:jc w:val="right"/>
      <w:textAlignment w:val="baseline"/>
    </w:pPr>
    <w:rPr>
      <w:rFonts w:eastAsia="SimSun"/>
      <w:b/>
      <w:sz w:val="40"/>
      <w:szCs w:val="20"/>
      <w:lang w:eastAsia="en-US"/>
    </w:rPr>
  </w:style>
  <w:style w:type="character" w:customStyle="1" w:styleId="DocnumberChar">
    <w:name w:val="Docnumber Char"/>
    <w:link w:val="Docnumber"/>
    <w:rsid w:val="00E87795"/>
    <w:rPr>
      <w:rFonts w:ascii="Times New Roman" w:eastAsia="SimSun" w:hAnsi="Times New Roman" w:cs="Times New Roman"/>
      <w:b/>
      <w:sz w:val="40"/>
      <w:szCs w:val="20"/>
      <w:lang w:val="en-GB" w:eastAsia="en-US"/>
    </w:rPr>
  </w:style>
  <w:style w:type="paragraph" w:customStyle="1" w:styleId="AnnexNotitle">
    <w:name w:val="Annex_No &amp; title"/>
    <w:basedOn w:val="Normal"/>
    <w:next w:val="Normal"/>
    <w:rsid w:val="0049090D"/>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394DBF"/>
  </w:style>
  <w:style w:type="paragraph" w:customStyle="1" w:styleId="CorrectionSeparatorBegin">
    <w:name w:val="Correction Separator Begin"/>
    <w:basedOn w:val="Normal"/>
    <w:rsid w:val="00394DBF"/>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94DBF"/>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94DBF"/>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394DB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66EDA"/>
    <w:rPr>
      <w:rFonts w:eastAsiaTheme="minorEastAsia"/>
      <w:b/>
      <w:bCs/>
      <w:lang w:eastAsia="ja-JP"/>
    </w:rPr>
  </w:style>
  <w:style w:type="paragraph" w:customStyle="1" w:styleId="Normalbeforetable">
    <w:name w:val="Normal before table"/>
    <w:basedOn w:val="Normal"/>
    <w:rsid w:val="00394DBF"/>
    <w:pPr>
      <w:keepNext/>
      <w:spacing w:after="120"/>
    </w:pPr>
    <w:rPr>
      <w:rFonts w:eastAsia="????"/>
      <w:lang w:eastAsia="en-US"/>
    </w:rPr>
  </w:style>
  <w:style w:type="paragraph" w:customStyle="1" w:styleId="RecNo">
    <w:name w:val="Rec_No"/>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94DBF"/>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394DB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394DB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394DBF"/>
    <w:pPr>
      <w:tabs>
        <w:tab w:val="right" w:leader="dot" w:pos="9639"/>
      </w:tabs>
    </w:pPr>
    <w:rPr>
      <w:rFonts w:eastAsia="MS Mincho"/>
    </w:rPr>
  </w:style>
  <w:style w:type="paragraph" w:styleId="TOC1">
    <w:name w:val="toc 1"/>
    <w:basedOn w:val="Normal"/>
    <w:rsid w:val="00394DBF"/>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394DBF"/>
    <w:pPr>
      <w:tabs>
        <w:tab w:val="clear" w:pos="964"/>
      </w:tabs>
      <w:spacing w:before="80"/>
      <w:ind w:left="1531" w:hanging="851"/>
    </w:pPr>
  </w:style>
  <w:style w:type="paragraph" w:styleId="TOC3">
    <w:name w:val="toc 3"/>
    <w:basedOn w:val="TOC2"/>
    <w:rsid w:val="00394DBF"/>
    <w:pPr>
      <w:ind w:left="2269"/>
    </w:pPr>
  </w:style>
  <w:style w:type="character" w:styleId="Hyperlink">
    <w:name w:val="Hyperlink"/>
    <w:aliases w:val="CEO_Hyperlink,超级链接,超?级链,Style 58,超????,하이퍼링크2,超链接1,하이퍼링크21"/>
    <w:basedOn w:val="DefaultParagraphFont"/>
    <w:qFormat/>
    <w:rsid w:val="00566EDA"/>
    <w:rPr>
      <w:rFonts w:asciiTheme="majorBidi" w:hAnsiTheme="majorBidi"/>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unhideWhenUsed/>
    <w:rsid w:val="007E53E4"/>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7E53E4"/>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LSDeadline">
    <w:name w:val="LSDeadline"/>
    <w:basedOn w:val="LSForAction"/>
    <w:next w:val="Normal"/>
    <w:rsid w:val="00556A5B"/>
    <w:rPr>
      <w:bCs w:val="0"/>
    </w:rPr>
  </w:style>
  <w:style w:type="paragraph" w:customStyle="1" w:styleId="LSForAction">
    <w:name w:val="LSForAction"/>
    <w:basedOn w:val="Normal"/>
    <w:rsid w:val="00556A5B"/>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Info">
    <w:name w:val="LSForInfo"/>
    <w:basedOn w:val="LSForAction"/>
    <w:next w:val="Normal"/>
    <w:rsid w:val="00CD6848"/>
  </w:style>
  <w:style w:type="paragraph" w:customStyle="1" w:styleId="LSForComment">
    <w:name w:val="LSForComment"/>
    <w:basedOn w:val="LSForAction"/>
    <w:next w:val="Normal"/>
    <w:rsid w:val="00CD6848"/>
  </w:style>
  <w:style w:type="paragraph" w:customStyle="1" w:styleId="enumlev1">
    <w:name w:val="enumlev1"/>
    <w:basedOn w:val="Normal"/>
    <w:link w:val="enumlev1Char"/>
    <w:rsid w:val="00E8779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E87795"/>
    <w:pPr>
      <w:ind w:left="1191" w:hanging="397"/>
    </w:pPr>
  </w:style>
  <w:style w:type="paragraph" w:customStyle="1" w:styleId="enumlev3">
    <w:name w:val="enumlev3"/>
    <w:basedOn w:val="enumlev2"/>
    <w:rsid w:val="00E87795"/>
    <w:pPr>
      <w:ind w:left="1588"/>
    </w:pPr>
  </w:style>
  <w:style w:type="paragraph" w:customStyle="1" w:styleId="LSSource">
    <w:name w:val="LSSource"/>
    <w:basedOn w:val="LSForAction"/>
    <w:next w:val="Normal"/>
    <w:rsid w:val="00556A5B"/>
    <w:rPr>
      <w:rFonts w:eastAsiaTheme="minorHAnsi"/>
      <w:bCs w:val="0"/>
    </w:rPr>
  </w:style>
  <w:style w:type="paragraph" w:customStyle="1" w:styleId="LSTitle">
    <w:name w:val="LSTitle"/>
    <w:basedOn w:val="LSForAction"/>
    <w:next w:val="Normal"/>
    <w:rsid w:val="00556A5B"/>
    <w:rPr>
      <w:rFonts w:eastAsiaTheme="minorHAnsi"/>
      <w:bCs w:val="0"/>
    </w:rPr>
  </w:style>
  <w:style w:type="paragraph" w:styleId="ListParagraph">
    <w:name w:val="List Paragraph"/>
    <w:basedOn w:val="Normal"/>
    <w:uiPriority w:val="34"/>
    <w:qFormat/>
    <w:rsid w:val="00D13CC4"/>
    <w:pPr>
      <w:ind w:left="720"/>
      <w:contextualSpacing/>
    </w:pPr>
  </w:style>
  <w:style w:type="character" w:customStyle="1" w:styleId="MenoPendente1">
    <w:name w:val="Menção Pendente1"/>
    <w:basedOn w:val="DefaultParagraphFont"/>
    <w:uiPriority w:val="99"/>
    <w:semiHidden/>
    <w:unhideWhenUsed/>
    <w:rsid w:val="00F663DB"/>
    <w:rPr>
      <w:color w:val="605E5C"/>
      <w:shd w:val="clear" w:color="auto" w:fill="E1DFDD"/>
    </w:rPr>
  </w:style>
  <w:style w:type="character" w:styleId="FollowedHyperlink">
    <w:name w:val="FollowedHyperlink"/>
    <w:basedOn w:val="DefaultParagraphFont"/>
    <w:uiPriority w:val="99"/>
    <w:semiHidden/>
    <w:unhideWhenUsed/>
    <w:rsid w:val="00AD2E44"/>
    <w:rPr>
      <w:color w:val="954F72" w:themeColor="followedHyperlink"/>
      <w:u w:val="single"/>
    </w:rPr>
  </w:style>
  <w:style w:type="character" w:customStyle="1" w:styleId="UnresolvedMention1">
    <w:name w:val="Unresolved Mention1"/>
    <w:basedOn w:val="DefaultParagraphFont"/>
    <w:uiPriority w:val="99"/>
    <w:semiHidden/>
    <w:unhideWhenUsed/>
    <w:rsid w:val="00590BC0"/>
    <w:rPr>
      <w:color w:val="605E5C"/>
      <w:shd w:val="clear" w:color="auto" w:fill="E1DFDD"/>
    </w:rPr>
  </w:style>
  <w:style w:type="character" w:styleId="UnresolvedMention">
    <w:name w:val="Unresolved Mention"/>
    <w:basedOn w:val="DefaultParagraphFont"/>
    <w:uiPriority w:val="99"/>
    <w:semiHidden/>
    <w:unhideWhenUsed/>
    <w:rsid w:val="0078159E"/>
    <w:rPr>
      <w:color w:val="605E5C"/>
      <w:shd w:val="clear" w:color="auto" w:fill="E1DFDD"/>
    </w:rPr>
  </w:style>
  <w:style w:type="character" w:styleId="CommentReference">
    <w:name w:val="annotation reference"/>
    <w:basedOn w:val="DefaultParagraphFont"/>
    <w:uiPriority w:val="99"/>
    <w:semiHidden/>
    <w:unhideWhenUsed/>
    <w:rsid w:val="00866524"/>
    <w:rPr>
      <w:sz w:val="16"/>
      <w:szCs w:val="16"/>
    </w:rPr>
  </w:style>
  <w:style w:type="paragraph" w:styleId="CommentText">
    <w:name w:val="annotation text"/>
    <w:basedOn w:val="Normal"/>
    <w:link w:val="CommentTextChar"/>
    <w:uiPriority w:val="99"/>
    <w:semiHidden/>
    <w:unhideWhenUsed/>
    <w:rsid w:val="00866524"/>
    <w:rPr>
      <w:sz w:val="20"/>
      <w:szCs w:val="20"/>
    </w:rPr>
  </w:style>
  <w:style w:type="character" w:customStyle="1" w:styleId="CommentTextChar">
    <w:name w:val="Comment Text Char"/>
    <w:basedOn w:val="DefaultParagraphFont"/>
    <w:link w:val="CommentText"/>
    <w:uiPriority w:val="99"/>
    <w:semiHidden/>
    <w:rsid w:val="0086652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866524"/>
    <w:rPr>
      <w:b/>
      <w:bCs/>
    </w:rPr>
  </w:style>
  <w:style w:type="character" w:customStyle="1" w:styleId="CommentSubjectChar">
    <w:name w:val="Comment Subject Char"/>
    <w:basedOn w:val="CommentTextChar"/>
    <w:link w:val="CommentSubject"/>
    <w:uiPriority w:val="99"/>
    <w:semiHidden/>
    <w:rsid w:val="00866524"/>
    <w:rPr>
      <w:rFonts w:ascii="Times New Roman" w:hAnsi="Times New Roman" w:cs="Times New Roman"/>
      <w:b/>
      <w:bCs/>
      <w:sz w:val="20"/>
      <w:szCs w:val="20"/>
      <w:lang w:val="en-GB" w:eastAsia="ja-JP"/>
    </w:rPr>
  </w:style>
  <w:style w:type="paragraph" w:styleId="Revision">
    <w:name w:val="Revision"/>
    <w:hidden/>
    <w:uiPriority w:val="99"/>
    <w:semiHidden/>
    <w:rsid w:val="00866524"/>
    <w:pPr>
      <w:spacing w:after="0" w:line="240" w:lineRule="auto"/>
    </w:pPr>
    <w:rPr>
      <w:rFonts w:ascii="Times New Roman" w:hAnsi="Times New Roman" w:cs="Times New Roman"/>
      <w:sz w:val="24"/>
      <w:szCs w:val="24"/>
      <w:lang w:val="en-GB" w:eastAsia="ja-JP"/>
    </w:rPr>
  </w:style>
  <w:style w:type="paragraph" w:customStyle="1" w:styleId="Normalaftertitle">
    <w:name w:val="Normal_after_title"/>
    <w:basedOn w:val="Normal"/>
    <w:next w:val="Normal"/>
    <w:rsid w:val="00EE61CD"/>
    <w:pPr>
      <w:tabs>
        <w:tab w:val="left" w:pos="1134"/>
        <w:tab w:val="left" w:pos="1871"/>
        <w:tab w:val="left" w:pos="2268"/>
      </w:tabs>
      <w:overflowPunct w:val="0"/>
      <w:autoSpaceDE w:val="0"/>
      <w:autoSpaceDN w:val="0"/>
      <w:adjustRightInd w:val="0"/>
      <w:spacing w:before="360"/>
      <w:textAlignment w:val="baseline"/>
    </w:pPr>
    <w:rPr>
      <w:rFonts w:eastAsia="Times New Roman"/>
      <w:szCs w:val="20"/>
      <w:lang w:eastAsia="en-US"/>
    </w:rPr>
  </w:style>
  <w:style w:type="paragraph" w:customStyle="1" w:styleId="Equation">
    <w:name w:val="Equation"/>
    <w:basedOn w:val="Normal"/>
    <w:rsid w:val="00EE61CD"/>
    <w:pPr>
      <w:tabs>
        <w:tab w:val="left" w:pos="1134"/>
        <w:tab w:val="center" w:pos="4820"/>
        <w:tab w:val="right" w:pos="9639"/>
      </w:tabs>
      <w:overflowPunct w:val="0"/>
      <w:autoSpaceDE w:val="0"/>
      <w:autoSpaceDN w:val="0"/>
      <w:adjustRightInd w:val="0"/>
      <w:textAlignment w:val="baseline"/>
    </w:pPr>
    <w:rPr>
      <w:rFonts w:eastAsia="Times New Roman"/>
      <w:szCs w:val="20"/>
      <w:lang w:eastAsia="en-US"/>
    </w:rPr>
  </w:style>
  <w:style w:type="paragraph" w:customStyle="1" w:styleId="Equationlegend">
    <w:name w:val="Equation_legend"/>
    <w:basedOn w:val="NormalIndent"/>
    <w:link w:val="EquationlegendChar"/>
    <w:rsid w:val="00EE61CD"/>
    <w:pPr>
      <w:tabs>
        <w:tab w:val="right" w:pos="1871"/>
        <w:tab w:val="left" w:pos="2041"/>
      </w:tabs>
      <w:overflowPunct w:val="0"/>
      <w:autoSpaceDE w:val="0"/>
      <w:autoSpaceDN w:val="0"/>
      <w:adjustRightInd w:val="0"/>
      <w:spacing w:before="80"/>
      <w:ind w:left="2041" w:hanging="2041"/>
      <w:textAlignment w:val="baseline"/>
    </w:pPr>
    <w:rPr>
      <w:rFonts w:eastAsia="Times New Roman"/>
      <w:szCs w:val="20"/>
      <w:lang w:eastAsia="en-US"/>
    </w:rPr>
  </w:style>
  <w:style w:type="paragraph" w:customStyle="1" w:styleId="Note">
    <w:name w:val="Note"/>
    <w:basedOn w:val="Normal"/>
    <w:next w:val="Normal"/>
    <w:rsid w:val="00EE61CD"/>
    <w:pPr>
      <w:tabs>
        <w:tab w:val="left" w:pos="284"/>
        <w:tab w:val="left" w:pos="1134"/>
        <w:tab w:val="left" w:pos="1871"/>
        <w:tab w:val="left" w:pos="2268"/>
      </w:tabs>
      <w:overflowPunct w:val="0"/>
      <w:autoSpaceDE w:val="0"/>
      <w:autoSpaceDN w:val="0"/>
      <w:adjustRightInd w:val="0"/>
      <w:spacing w:before="80"/>
      <w:textAlignment w:val="baseline"/>
    </w:pPr>
    <w:rPr>
      <w:rFonts w:eastAsia="Times New Roman"/>
      <w:szCs w:val="20"/>
      <w:lang w:eastAsia="en-US"/>
    </w:rPr>
  </w:style>
  <w:style w:type="paragraph" w:customStyle="1" w:styleId="Figuretitle">
    <w:name w:val="Figure_title"/>
    <w:basedOn w:val="Normal"/>
    <w:next w:val="Normal"/>
    <w:rsid w:val="00EE61CD"/>
    <w:pPr>
      <w:keepNext/>
      <w:keepLines/>
      <w:tabs>
        <w:tab w:val="left" w:pos="1134"/>
        <w:tab w:val="left" w:pos="1871"/>
        <w:tab w:val="left" w:pos="2268"/>
      </w:tabs>
      <w:overflowPunct w:val="0"/>
      <w:autoSpaceDE w:val="0"/>
      <w:autoSpaceDN w:val="0"/>
      <w:adjustRightInd w:val="0"/>
      <w:spacing w:before="0" w:after="120"/>
      <w:jc w:val="center"/>
      <w:textAlignment w:val="baseline"/>
    </w:pPr>
    <w:rPr>
      <w:rFonts w:ascii="Times New Roman Bold" w:eastAsia="Times New Roman" w:hAnsi="Times New Roman Bold"/>
      <w:b/>
      <w:sz w:val="20"/>
      <w:szCs w:val="20"/>
      <w:lang w:eastAsia="en-US"/>
    </w:rPr>
  </w:style>
  <w:style w:type="paragraph" w:customStyle="1" w:styleId="FigureNo">
    <w:name w:val="Figure_No"/>
    <w:basedOn w:val="Normal"/>
    <w:next w:val="Normal"/>
    <w:rsid w:val="00EE61CD"/>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imes New Roman"/>
      <w:caps/>
      <w:sz w:val="20"/>
      <w:szCs w:val="20"/>
      <w:lang w:eastAsia="en-US"/>
    </w:rPr>
  </w:style>
  <w:style w:type="paragraph" w:customStyle="1" w:styleId="AnnexNo">
    <w:name w:val="Annex_No"/>
    <w:basedOn w:val="Normal"/>
    <w:next w:val="Normal"/>
    <w:rsid w:val="00EE61CD"/>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imes New Roman"/>
      <w:caps/>
      <w:sz w:val="28"/>
      <w:szCs w:val="20"/>
      <w:lang w:eastAsia="en-US"/>
    </w:rPr>
  </w:style>
  <w:style w:type="paragraph" w:customStyle="1" w:styleId="Normalaftertitle0">
    <w:name w:val="Normal after title"/>
    <w:basedOn w:val="Normal"/>
    <w:next w:val="Normal"/>
    <w:rsid w:val="00EE61CD"/>
    <w:pPr>
      <w:tabs>
        <w:tab w:val="left" w:pos="1134"/>
        <w:tab w:val="left" w:pos="1871"/>
        <w:tab w:val="left" w:pos="2268"/>
      </w:tabs>
      <w:overflowPunct w:val="0"/>
      <w:autoSpaceDE w:val="0"/>
      <w:autoSpaceDN w:val="0"/>
      <w:adjustRightInd w:val="0"/>
      <w:spacing w:before="280"/>
      <w:textAlignment w:val="baseline"/>
    </w:pPr>
    <w:rPr>
      <w:rFonts w:eastAsia="Times New Roman"/>
      <w:szCs w:val="20"/>
      <w:lang w:eastAsia="en-US"/>
    </w:rPr>
  </w:style>
  <w:style w:type="paragraph" w:customStyle="1" w:styleId="Reasons">
    <w:name w:val="Reasons"/>
    <w:basedOn w:val="Normal"/>
    <w:qFormat/>
    <w:rsid w:val="00EE61CD"/>
    <w:pPr>
      <w:tabs>
        <w:tab w:val="left" w:pos="1134"/>
        <w:tab w:val="left" w:pos="1588"/>
        <w:tab w:val="left" w:pos="1985"/>
      </w:tabs>
      <w:overflowPunct w:val="0"/>
      <w:autoSpaceDE w:val="0"/>
      <w:autoSpaceDN w:val="0"/>
      <w:adjustRightInd w:val="0"/>
      <w:textAlignment w:val="baseline"/>
    </w:pPr>
    <w:rPr>
      <w:rFonts w:eastAsia="Times New Roman"/>
      <w:szCs w:val="20"/>
      <w:lang w:eastAsia="en-US"/>
    </w:rPr>
  </w:style>
  <w:style w:type="character" w:customStyle="1" w:styleId="enumlev1Char">
    <w:name w:val="enumlev1 Char"/>
    <w:link w:val="enumlev1"/>
    <w:locked/>
    <w:rsid w:val="00EE61CD"/>
    <w:rPr>
      <w:rFonts w:ascii="Times New Roman" w:eastAsia="Times New Roman" w:hAnsi="Times New Roman" w:cs="Times New Roman"/>
      <w:sz w:val="24"/>
      <w:szCs w:val="20"/>
      <w:lang w:val="en-GB" w:eastAsia="en-US"/>
    </w:rPr>
  </w:style>
  <w:style w:type="character" w:customStyle="1" w:styleId="EquationlegendChar">
    <w:name w:val="Equation_legend Char"/>
    <w:link w:val="Equationlegend"/>
    <w:locked/>
    <w:rsid w:val="00EE61CD"/>
    <w:rPr>
      <w:rFonts w:ascii="Times New Roman" w:eastAsia="Times New Roman" w:hAnsi="Times New Roman" w:cs="Times New Roman"/>
      <w:sz w:val="24"/>
      <w:szCs w:val="20"/>
      <w:lang w:val="en-GB" w:eastAsia="en-US"/>
    </w:rPr>
  </w:style>
  <w:style w:type="table" w:styleId="TableGrid">
    <w:name w:val="Table Grid"/>
    <w:basedOn w:val="TableNormal"/>
    <w:rsid w:val="00EE61CD"/>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E61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66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19-SG03-C-0008/en"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itu.int/md/R19-WP3j-C-0056/en" TargetMode="External"/><Relationship Id="rId17" Type="http://schemas.openxmlformats.org/officeDocument/2006/relationships/hyperlink" Target="https://www.itu.int/md/R15-CCV-C-0062/en" TargetMode="External"/><Relationship Id="rId2" Type="http://schemas.openxmlformats.org/officeDocument/2006/relationships/customXml" Target="../customXml/item2.xml"/><Relationship Id="rId16" Type="http://schemas.openxmlformats.org/officeDocument/2006/relationships/hyperlink" Target="https://www.itu.int/md/R19-CCV-C-0001/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mailto:clare.allen@ofcom.org.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19-WP3m-C-0022/en"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541115410F544D186C6F9DC3CD888AB"/>
        <w:category>
          <w:name w:val="General"/>
          <w:gallery w:val="placeholder"/>
        </w:category>
        <w:types>
          <w:type w:val="bbPlcHdr"/>
        </w:types>
        <w:behaviors>
          <w:behavior w:val="content"/>
        </w:behaviors>
        <w:guid w:val="{6DFCA155-1AE1-4D60-B871-446733F61878}"/>
      </w:docPartPr>
      <w:docPartBody>
        <w:p w:rsidR="0057277B" w:rsidRDefault="00225422" w:rsidP="00225422">
          <w:pPr>
            <w:pStyle w:val="D541115410F544D186C6F9DC3CD888AB"/>
          </w:pPr>
          <w:r>
            <w:rPr>
              <w:rStyle w:val="PlaceholderText"/>
            </w:rPr>
            <w:t>Click here to enter text.</w:t>
          </w:r>
        </w:p>
      </w:docPartBody>
    </w:docPart>
    <w:docPart>
      <w:docPartPr>
        <w:name w:val="C0D503797A5943B2B23FC735DBFA8E2B"/>
        <w:category>
          <w:name w:val="General"/>
          <w:gallery w:val="placeholder"/>
        </w:category>
        <w:types>
          <w:type w:val="bbPlcHdr"/>
        </w:types>
        <w:behaviors>
          <w:behavior w:val="content"/>
        </w:behaviors>
        <w:guid w:val="{ED71B799-63D6-4DD7-A237-F81AE77213AB}"/>
      </w:docPartPr>
      <w:docPartBody>
        <w:p w:rsidR="0057277B" w:rsidRDefault="00225422" w:rsidP="00225422">
          <w:pPr>
            <w:pStyle w:val="C0D503797A5943B2B23FC735DBFA8E2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Yu Gothic UI"/>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01ECF"/>
    <w:rsid w:val="000277EB"/>
    <w:rsid w:val="00037F0A"/>
    <w:rsid w:val="00050609"/>
    <w:rsid w:val="00061607"/>
    <w:rsid w:val="000E25BB"/>
    <w:rsid w:val="000F4836"/>
    <w:rsid w:val="001102E5"/>
    <w:rsid w:val="001A1C4C"/>
    <w:rsid w:val="00207F4C"/>
    <w:rsid w:val="00212FC3"/>
    <w:rsid w:val="00225422"/>
    <w:rsid w:val="002325C0"/>
    <w:rsid w:val="002507CD"/>
    <w:rsid w:val="00256D54"/>
    <w:rsid w:val="002A0AE4"/>
    <w:rsid w:val="002D6447"/>
    <w:rsid w:val="00300983"/>
    <w:rsid w:val="0030431C"/>
    <w:rsid w:val="00325284"/>
    <w:rsid w:val="00325869"/>
    <w:rsid w:val="0032700B"/>
    <w:rsid w:val="003962CD"/>
    <w:rsid w:val="003B491B"/>
    <w:rsid w:val="003C5040"/>
    <w:rsid w:val="003F520B"/>
    <w:rsid w:val="00400FFE"/>
    <w:rsid w:val="00402B48"/>
    <w:rsid w:val="00403A9C"/>
    <w:rsid w:val="0042061E"/>
    <w:rsid w:val="00464382"/>
    <w:rsid w:val="004D3A5B"/>
    <w:rsid w:val="004E2252"/>
    <w:rsid w:val="004F124B"/>
    <w:rsid w:val="00521197"/>
    <w:rsid w:val="0057277B"/>
    <w:rsid w:val="005B0AEB"/>
    <w:rsid w:val="005B38F3"/>
    <w:rsid w:val="005F6CD5"/>
    <w:rsid w:val="0061653B"/>
    <w:rsid w:val="006274D8"/>
    <w:rsid w:val="006431B1"/>
    <w:rsid w:val="00682A03"/>
    <w:rsid w:val="00696A71"/>
    <w:rsid w:val="006D2486"/>
    <w:rsid w:val="006E5752"/>
    <w:rsid w:val="006F6568"/>
    <w:rsid w:val="00726DDE"/>
    <w:rsid w:val="00731377"/>
    <w:rsid w:val="00747A76"/>
    <w:rsid w:val="00760477"/>
    <w:rsid w:val="00760FB7"/>
    <w:rsid w:val="007D67E1"/>
    <w:rsid w:val="007F7C0D"/>
    <w:rsid w:val="00841C9F"/>
    <w:rsid w:val="008548B9"/>
    <w:rsid w:val="008D554D"/>
    <w:rsid w:val="009260AD"/>
    <w:rsid w:val="00947D8D"/>
    <w:rsid w:val="0095720E"/>
    <w:rsid w:val="00992675"/>
    <w:rsid w:val="009A4B03"/>
    <w:rsid w:val="009F2F69"/>
    <w:rsid w:val="00A272B1"/>
    <w:rsid w:val="00A3586C"/>
    <w:rsid w:val="00A65845"/>
    <w:rsid w:val="00A8359E"/>
    <w:rsid w:val="00A9475A"/>
    <w:rsid w:val="00AB0F92"/>
    <w:rsid w:val="00AB345F"/>
    <w:rsid w:val="00AC75A8"/>
    <w:rsid w:val="00AC7718"/>
    <w:rsid w:val="00AD49AA"/>
    <w:rsid w:val="00AE6340"/>
    <w:rsid w:val="00AF3CAC"/>
    <w:rsid w:val="00AF7AFE"/>
    <w:rsid w:val="00B0255C"/>
    <w:rsid w:val="00B603E6"/>
    <w:rsid w:val="00B623FA"/>
    <w:rsid w:val="00B85FA6"/>
    <w:rsid w:val="00BF10DB"/>
    <w:rsid w:val="00BF3BC1"/>
    <w:rsid w:val="00C02C21"/>
    <w:rsid w:val="00C30979"/>
    <w:rsid w:val="00C574F8"/>
    <w:rsid w:val="00C7519D"/>
    <w:rsid w:val="00CB1189"/>
    <w:rsid w:val="00D13A99"/>
    <w:rsid w:val="00D352FB"/>
    <w:rsid w:val="00D40096"/>
    <w:rsid w:val="00D677E6"/>
    <w:rsid w:val="00DA6C04"/>
    <w:rsid w:val="00DB30D0"/>
    <w:rsid w:val="00DB774F"/>
    <w:rsid w:val="00DD7F58"/>
    <w:rsid w:val="00E24248"/>
    <w:rsid w:val="00E41309"/>
    <w:rsid w:val="00E66F7A"/>
    <w:rsid w:val="00E8408F"/>
    <w:rsid w:val="00EE281E"/>
    <w:rsid w:val="00EF5456"/>
    <w:rsid w:val="00F176CB"/>
    <w:rsid w:val="00F83C65"/>
    <w:rsid w:val="00F869EF"/>
    <w:rsid w:val="00F940EE"/>
    <w:rsid w:val="00F96566"/>
    <w:rsid w:val="00FA37AF"/>
    <w:rsid w:val="00FE01B7"/>
    <w:rsid w:val="00FF71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422"/>
  </w:style>
  <w:style w:type="paragraph" w:customStyle="1" w:styleId="D541115410F544D186C6F9DC3CD888AB">
    <w:name w:val="D541115410F544D186C6F9DC3CD888AB"/>
    <w:rsid w:val="00225422"/>
    <w:rPr>
      <w:lang w:val="en-GB" w:eastAsia="en-GB"/>
    </w:rPr>
  </w:style>
  <w:style w:type="paragraph" w:customStyle="1" w:styleId="C0D503797A5943B2B23FC735DBFA8E2B">
    <w:name w:val="C0D503797A5943B2B23FC735DBFA8E2B"/>
    <w:rsid w:val="00225422"/>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487812B7DF734F899F9E259C366837" ma:contentTypeVersion="4" ma:contentTypeDescription="Create a new document." ma:contentTypeScope="" ma:versionID="0be65b79ed8ee8f3c4734464d812cf59">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523CC-DEB2-463D-9A27-DF0B8D2CAEC3}"/>
</file>

<file path=customXml/itemProps2.xml><?xml version="1.0" encoding="utf-8"?>
<ds:datastoreItem xmlns:ds="http://schemas.openxmlformats.org/officeDocument/2006/customXml" ds:itemID="{33751D69-C054-4D4D-81C3-C6AE3340C6F4}"/>
</file>

<file path=customXml/itemProps3.xml><?xml version="1.0" encoding="utf-8"?>
<ds:datastoreItem xmlns:ds="http://schemas.openxmlformats.org/officeDocument/2006/customXml" ds:itemID="{455DAAD8-6355-4ADC-A037-AE936AB855FA}"/>
</file>

<file path=customXml/itemProps4.xml><?xml version="1.0" encoding="utf-8"?>
<ds:datastoreItem xmlns:ds="http://schemas.openxmlformats.org/officeDocument/2006/customXml" ds:itemID="{B34662EA-A75D-473A-AE27-32028E0AD4B3}"/>
</file>

<file path=docProps/app.xml><?xml version="1.0" encoding="utf-8"?>
<Properties xmlns="http://schemas.openxmlformats.org/officeDocument/2006/extended-properties" xmlns:vt="http://schemas.openxmlformats.org/officeDocument/2006/docPropsVTypes">
  <Template>Normal.dotm</Template>
  <TotalTime>3</TotalTime>
  <Pages>4</Pages>
  <Words>1013</Words>
  <Characters>5471</Characters>
  <Application>Microsoft Office Word</Application>
  <DocSecurity>0</DocSecurity>
  <Lines>140</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LS/o on hot topic [to TSAG] LS/o/r on hot topics (TSAG-LS32) [to TSAG]</vt:lpstr>
      <vt:lpstr>LS/o in advances on the combat of counterfeit and stolen ICT devices. [to APT, ATU, CEPT, CITEL, LAS, RCC]</vt:lpstr>
    </vt:vector>
  </TitlesOfParts>
  <Manager>ITU-T</Manager>
  <Company>International Telecommunication Union (ITU)</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of terms used in the transmission loss concept</dc:title>
  <dc:subject/>
  <dc:creator>ITU-R SG 3 Rapporteur for Vocabulary</dc:creator>
  <cp:keywords>Standardization strategy; Hot topics; Status; CTO meeting; CxO meeting</cp:keywords>
  <dc:description>SCV-TD137  For: Virtual, 7 December 2020_x000d_Document date: _x000d_Saved by ITU51015586 at 10:39:00 on 27/11/2020</dc:description>
  <cp:lastModifiedBy>TSB-AC</cp:lastModifiedBy>
  <cp:revision>5</cp:revision>
  <cp:lastPrinted>2016-12-23T12:52:00Z</cp:lastPrinted>
  <dcterms:created xsi:type="dcterms:W3CDTF">2020-11-27T09:38:00Z</dcterms:created>
  <dcterms:modified xsi:type="dcterms:W3CDTF">2020-11-27T09:43:00Z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SCV-TD137</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Virtual, 7 December 2020</vt:lpwstr>
  </property>
  <property fmtid="{D5CDD505-2E9C-101B-9397-08002B2CF9AE}" pid="7" name="Docauthor">
    <vt:lpwstr>ITU-R SG 3 Rapporteur for Vocabulary</vt:lpwstr>
  </property>
  <property fmtid="{D5CDD505-2E9C-101B-9397-08002B2CF9AE}" pid="8" name="ContentTypeId">
    <vt:lpwstr>0x01010017487812B7DF734F899F9E259C366837</vt:lpwstr>
  </property>
</Properties>
</file>