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510"/>
        <w:gridCol w:w="3115"/>
        <w:gridCol w:w="4681"/>
      </w:tblGrid>
      <w:tr w:rsidR="000A0313" w:rsidRPr="000A0313" w14:paraId="10F31810" w14:textId="77777777" w:rsidTr="003F6975">
        <w:trPr>
          <w:cantSplit/>
        </w:trPr>
        <w:tc>
          <w:tcPr>
            <w:tcW w:w="1191" w:type="dxa"/>
            <w:vMerge w:val="restart"/>
          </w:tcPr>
          <w:p w14:paraId="1316BB5E" w14:textId="77777777" w:rsidR="000A0313" w:rsidRPr="000A0313" w:rsidRDefault="000A0313" w:rsidP="000A0313">
            <w:pPr>
              <w:rPr>
                <w:sz w:val="20"/>
              </w:rPr>
            </w:pPr>
            <w:bookmarkStart w:id="0" w:name="_GoBack"/>
            <w:bookmarkStart w:id="1" w:name="dtableau"/>
            <w:bookmarkStart w:id="2" w:name="dsg" w:colFirst="1" w:colLast="1"/>
            <w:bookmarkStart w:id="3" w:name="dnum" w:colFirst="2" w:colLast="2"/>
            <w:bookmarkEnd w:id="0"/>
            <w:r w:rsidRPr="000A0313">
              <w:rPr>
                <w:noProof/>
                <w:sz w:val="20"/>
                <w:lang w:eastAsia="zh-CN"/>
              </w:rPr>
              <w:drawing>
                <wp:inline distT="0" distB="0" distL="0" distR="0" wp14:anchorId="4459DE55" wp14:editId="46B34DA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A1EB8C6" w14:textId="77777777" w:rsidR="000A0313" w:rsidRPr="000A0313" w:rsidRDefault="000A0313" w:rsidP="000A0313">
            <w:pPr>
              <w:rPr>
                <w:sz w:val="16"/>
                <w:szCs w:val="16"/>
              </w:rPr>
            </w:pPr>
            <w:r w:rsidRPr="000A0313">
              <w:rPr>
                <w:sz w:val="16"/>
                <w:szCs w:val="16"/>
              </w:rPr>
              <w:t>INTERNATIONAL TELECOMMUNICATION UNION</w:t>
            </w:r>
          </w:p>
          <w:p w14:paraId="37A3638A" w14:textId="77777777" w:rsidR="000A0313" w:rsidRPr="000A0313" w:rsidRDefault="000A0313" w:rsidP="000A0313">
            <w:pPr>
              <w:rPr>
                <w:b/>
                <w:bCs/>
                <w:sz w:val="26"/>
                <w:szCs w:val="26"/>
              </w:rPr>
            </w:pPr>
            <w:r w:rsidRPr="000A0313">
              <w:rPr>
                <w:b/>
                <w:bCs/>
                <w:sz w:val="26"/>
                <w:szCs w:val="26"/>
              </w:rPr>
              <w:t>TELECOMMUNICATION</w:t>
            </w:r>
            <w:r w:rsidRPr="000A0313">
              <w:rPr>
                <w:b/>
                <w:bCs/>
                <w:sz w:val="26"/>
                <w:szCs w:val="26"/>
              </w:rPr>
              <w:br/>
              <w:t>STANDARDIZATION SECTOR</w:t>
            </w:r>
          </w:p>
          <w:p w14:paraId="122E7649" w14:textId="77777777" w:rsidR="000A0313" w:rsidRPr="000A0313" w:rsidRDefault="000A0313" w:rsidP="000A0313">
            <w:pPr>
              <w:rPr>
                <w:sz w:val="20"/>
              </w:rPr>
            </w:pPr>
            <w:r w:rsidRPr="000A0313">
              <w:rPr>
                <w:sz w:val="20"/>
              </w:rPr>
              <w:t xml:space="preserve">STUDY PERIOD </w:t>
            </w:r>
            <w:bookmarkStart w:id="4" w:name="dstudyperiod"/>
            <w:r w:rsidRPr="000A0313">
              <w:rPr>
                <w:sz w:val="20"/>
              </w:rPr>
              <w:t>2017-2020</w:t>
            </w:r>
            <w:bookmarkEnd w:id="4"/>
          </w:p>
        </w:tc>
        <w:tc>
          <w:tcPr>
            <w:tcW w:w="4681" w:type="dxa"/>
            <w:vAlign w:val="center"/>
          </w:tcPr>
          <w:p w14:paraId="1B7C7722" w14:textId="0D7965FF" w:rsidR="000A0313" w:rsidRPr="000A0313" w:rsidRDefault="000A0313" w:rsidP="000A0313">
            <w:pPr>
              <w:pStyle w:val="Docnumber"/>
              <w:rPr>
                <w:sz w:val="32"/>
              </w:rPr>
            </w:pPr>
            <w:r>
              <w:rPr>
                <w:sz w:val="32"/>
              </w:rPr>
              <w:t>SCV-TD136</w:t>
            </w:r>
          </w:p>
        </w:tc>
      </w:tr>
      <w:bookmarkEnd w:id="3"/>
      <w:tr w:rsidR="000A0313" w:rsidRPr="000A0313" w14:paraId="577DACA5" w14:textId="77777777" w:rsidTr="003F6975">
        <w:trPr>
          <w:cantSplit/>
        </w:trPr>
        <w:tc>
          <w:tcPr>
            <w:tcW w:w="1191" w:type="dxa"/>
            <w:vMerge/>
          </w:tcPr>
          <w:p w14:paraId="58EEE6F1" w14:textId="77777777" w:rsidR="000A0313" w:rsidRPr="000A0313" w:rsidRDefault="000A0313" w:rsidP="000A0313">
            <w:pPr>
              <w:rPr>
                <w:smallCaps/>
                <w:sz w:val="20"/>
              </w:rPr>
            </w:pPr>
          </w:p>
        </w:tc>
        <w:tc>
          <w:tcPr>
            <w:tcW w:w="4051" w:type="dxa"/>
            <w:gridSpan w:val="3"/>
            <w:vMerge/>
          </w:tcPr>
          <w:p w14:paraId="601E902E" w14:textId="77777777" w:rsidR="000A0313" w:rsidRPr="000A0313" w:rsidRDefault="000A0313" w:rsidP="000A0313">
            <w:pPr>
              <w:rPr>
                <w:smallCaps/>
                <w:sz w:val="20"/>
              </w:rPr>
            </w:pPr>
          </w:p>
        </w:tc>
        <w:tc>
          <w:tcPr>
            <w:tcW w:w="4681" w:type="dxa"/>
          </w:tcPr>
          <w:p w14:paraId="0F8E0C61" w14:textId="1CB91558" w:rsidR="000A0313" w:rsidRPr="000A0313" w:rsidRDefault="000A0313" w:rsidP="000A0313">
            <w:pPr>
              <w:jc w:val="right"/>
              <w:rPr>
                <w:b/>
                <w:bCs/>
                <w:smallCaps/>
                <w:sz w:val="28"/>
                <w:szCs w:val="28"/>
              </w:rPr>
            </w:pPr>
            <w:r>
              <w:rPr>
                <w:b/>
                <w:bCs/>
                <w:smallCaps/>
                <w:sz w:val="28"/>
                <w:szCs w:val="28"/>
              </w:rPr>
              <w:t>SCV</w:t>
            </w:r>
          </w:p>
        </w:tc>
      </w:tr>
      <w:tr w:rsidR="000A0313" w:rsidRPr="000A0313" w14:paraId="13CF6542" w14:textId="77777777" w:rsidTr="003F6975">
        <w:trPr>
          <w:cantSplit/>
        </w:trPr>
        <w:tc>
          <w:tcPr>
            <w:tcW w:w="1191" w:type="dxa"/>
            <w:vMerge/>
            <w:tcBorders>
              <w:bottom w:val="single" w:sz="12" w:space="0" w:color="auto"/>
            </w:tcBorders>
          </w:tcPr>
          <w:p w14:paraId="0B5513C1" w14:textId="77777777" w:rsidR="000A0313" w:rsidRPr="000A0313" w:rsidRDefault="000A0313" w:rsidP="000A0313">
            <w:pPr>
              <w:rPr>
                <w:b/>
                <w:bCs/>
                <w:sz w:val="26"/>
              </w:rPr>
            </w:pPr>
          </w:p>
        </w:tc>
        <w:tc>
          <w:tcPr>
            <w:tcW w:w="4051" w:type="dxa"/>
            <w:gridSpan w:val="3"/>
            <w:vMerge/>
            <w:tcBorders>
              <w:bottom w:val="single" w:sz="12" w:space="0" w:color="auto"/>
            </w:tcBorders>
          </w:tcPr>
          <w:p w14:paraId="59E39679" w14:textId="77777777" w:rsidR="000A0313" w:rsidRPr="000A0313" w:rsidRDefault="000A0313" w:rsidP="000A0313">
            <w:pPr>
              <w:rPr>
                <w:b/>
                <w:bCs/>
                <w:sz w:val="26"/>
              </w:rPr>
            </w:pPr>
          </w:p>
        </w:tc>
        <w:tc>
          <w:tcPr>
            <w:tcW w:w="4681" w:type="dxa"/>
            <w:tcBorders>
              <w:bottom w:val="single" w:sz="12" w:space="0" w:color="auto"/>
            </w:tcBorders>
            <w:vAlign w:val="center"/>
          </w:tcPr>
          <w:p w14:paraId="0B10851D" w14:textId="77777777" w:rsidR="000A0313" w:rsidRPr="000A0313" w:rsidRDefault="000A0313" w:rsidP="000A0313">
            <w:pPr>
              <w:jc w:val="right"/>
              <w:rPr>
                <w:b/>
                <w:bCs/>
                <w:sz w:val="28"/>
                <w:szCs w:val="28"/>
              </w:rPr>
            </w:pPr>
            <w:r w:rsidRPr="000A0313">
              <w:rPr>
                <w:b/>
                <w:bCs/>
                <w:sz w:val="28"/>
                <w:szCs w:val="28"/>
              </w:rPr>
              <w:t>Original: English</w:t>
            </w:r>
          </w:p>
        </w:tc>
      </w:tr>
      <w:tr w:rsidR="000A0313" w:rsidRPr="000A0313" w14:paraId="7E07FDBC" w14:textId="77777777" w:rsidTr="003F6975">
        <w:trPr>
          <w:cantSplit/>
        </w:trPr>
        <w:tc>
          <w:tcPr>
            <w:tcW w:w="1617" w:type="dxa"/>
            <w:gridSpan w:val="2"/>
          </w:tcPr>
          <w:p w14:paraId="166C3F8A" w14:textId="77777777" w:rsidR="000A0313" w:rsidRPr="000A0313" w:rsidRDefault="000A0313" w:rsidP="000A0313">
            <w:pPr>
              <w:rPr>
                <w:b/>
                <w:bCs/>
                <w:szCs w:val="24"/>
              </w:rPr>
            </w:pPr>
            <w:bookmarkStart w:id="5" w:name="dbluepink" w:colFirst="1" w:colLast="1"/>
            <w:bookmarkStart w:id="6" w:name="dmeeting" w:colFirst="2" w:colLast="2"/>
            <w:bookmarkEnd w:id="2"/>
            <w:r w:rsidRPr="000A0313">
              <w:rPr>
                <w:b/>
                <w:bCs/>
                <w:szCs w:val="24"/>
              </w:rPr>
              <w:t>Question(s):</w:t>
            </w:r>
          </w:p>
        </w:tc>
        <w:tc>
          <w:tcPr>
            <w:tcW w:w="3625" w:type="dxa"/>
            <w:gridSpan w:val="2"/>
          </w:tcPr>
          <w:p w14:paraId="51CE4B34" w14:textId="77777777" w:rsidR="000A0313" w:rsidRPr="000A0313" w:rsidRDefault="000A0313" w:rsidP="000A0313">
            <w:pPr>
              <w:rPr>
                <w:szCs w:val="24"/>
              </w:rPr>
            </w:pPr>
          </w:p>
        </w:tc>
        <w:tc>
          <w:tcPr>
            <w:tcW w:w="4681" w:type="dxa"/>
          </w:tcPr>
          <w:p w14:paraId="7227DAF6" w14:textId="51BCB201" w:rsidR="000A0313" w:rsidRPr="000A0313" w:rsidRDefault="000A0313" w:rsidP="000A0313">
            <w:pPr>
              <w:jc w:val="right"/>
              <w:rPr>
                <w:szCs w:val="24"/>
              </w:rPr>
            </w:pPr>
            <w:r w:rsidRPr="000A0313">
              <w:rPr>
                <w:szCs w:val="24"/>
              </w:rPr>
              <w:t>Virtual, 7 December 2020</w:t>
            </w:r>
          </w:p>
        </w:tc>
      </w:tr>
      <w:tr w:rsidR="000A0313" w:rsidRPr="000A0313" w14:paraId="3021FE7A" w14:textId="77777777" w:rsidTr="003F6975">
        <w:trPr>
          <w:cantSplit/>
        </w:trPr>
        <w:tc>
          <w:tcPr>
            <w:tcW w:w="9923" w:type="dxa"/>
            <w:gridSpan w:val="5"/>
          </w:tcPr>
          <w:p w14:paraId="217005A6" w14:textId="77777777" w:rsidR="000A0313" w:rsidRDefault="000A0313" w:rsidP="000A0313">
            <w:pPr>
              <w:jc w:val="center"/>
              <w:rPr>
                <w:b/>
                <w:bCs/>
                <w:szCs w:val="24"/>
              </w:rPr>
            </w:pPr>
            <w:bookmarkStart w:id="7" w:name="ddoctype" w:colFirst="0" w:colLast="0"/>
            <w:bookmarkStart w:id="8" w:name="dtitle" w:colFirst="0" w:colLast="0"/>
            <w:bookmarkEnd w:id="5"/>
            <w:bookmarkEnd w:id="6"/>
            <w:r w:rsidRPr="000A0313">
              <w:rPr>
                <w:b/>
                <w:bCs/>
                <w:szCs w:val="24"/>
              </w:rPr>
              <w:t>TD</w:t>
            </w:r>
          </w:p>
          <w:p w14:paraId="139E0492" w14:textId="1643DC8F" w:rsidR="000A0313" w:rsidRPr="000A0313" w:rsidRDefault="000A0313" w:rsidP="000A0313">
            <w:pPr>
              <w:jc w:val="center"/>
              <w:rPr>
                <w:b/>
                <w:bCs/>
                <w:szCs w:val="24"/>
                <w:lang w:val="fr-CH"/>
              </w:rPr>
            </w:pPr>
            <w:r w:rsidRPr="000A0313">
              <w:rPr>
                <w:b/>
                <w:bCs/>
                <w:szCs w:val="24"/>
                <w:lang w:val="fr-CH"/>
              </w:rPr>
              <w:t xml:space="preserve">(Ref.: </w:t>
            </w:r>
            <w:r w:rsidRPr="000A0313">
              <w:rPr>
                <w:rFonts w:ascii="Verdana" w:hAnsi="Verdana"/>
                <w:b/>
                <w:bCs/>
                <w:sz w:val="20"/>
                <w:lang w:val="fr-CH" w:eastAsia="zh-CN"/>
              </w:rPr>
              <w:t>Document 5A/TEMP/44(Rev.1)</w:t>
            </w:r>
            <w:r w:rsidRPr="000A0313">
              <w:rPr>
                <w:rFonts w:ascii="Verdana" w:hAnsi="Verdana"/>
                <w:b/>
                <w:bCs/>
                <w:sz w:val="20"/>
                <w:lang w:val="fr-CH" w:eastAsia="zh-CN"/>
              </w:rPr>
              <w:t>)</w:t>
            </w:r>
          </w:p>
        </w:tc>
      </w:tr>
      <w:tr w:rsidR="000A0313" w:rsidRPr="000A0313" w14:paraId="58588B02" w14:textId="77777777" w:rsidTr="003F6975">
        <w:trPr>
          <w:cantSplit/>
        </w:trPr>
        <w:tc>
          <w:tcPr>
            <w:tcW w:w="1617" w:type="dxa"/>
            <w:gridSpan w:val="2"/>
          </w:tcPr>
          <w:p w14:paraId="232C52F5" w14:textId="77777777" w:rsidR="000A0313" w:rsidRPr="000A0313" w:rsidRDefault="000A0313" w:rsidP="000A0313">
            <w:pPr>
              <w:rPr>
                <w:b/>
                <w:bCs/>
                <w:szCs w:val="24"/>
              </w:rPr>
            </w:pPr>
            <w:bookmarkStart w:id="9" w:name="dsource" w:colFirst="1" w:colLast="1"/>
            <w:bookmarkEnd w:id="7"/>
            <w:bookmarkEnd w:id="8"/>
            <w:r w:rsidRPr="000A0313">
              <w:rPr>
                <w:b/>
                <w:bCs/>
                <w:szCs w:val="24"/>
              </w:rPr>
              <w:t>Source:</w:t>
            </w:r>
          </w:p>
        </w:tc>
        <w:tc>
          <w:tcPr>
            <w:tcW w:w="8306" w:type="dxa"/>
            <w:gridSpan w:val="3"/>
          </w:tcPr>
          <w:p w14:paraId="7677432A" w14:textId="4F05B451" w:rsidR="000A0313" w:rsidRPr="000A0313" w:rsidRDefault="000A0313" w:rsidP="000A0313">
            <w:pPr>
              <w:rPr>
                <w:szCs w:val="24"/>
              </w:rPr>
            </w:pPr>
            <w:r w:rsidRPr="000A0313">
              <w:rPr>
                <w:szCs w:val="24"/>
              </w:rPr>
              <w:t>ITU-R Working Party 5A</w:t>
            </w:r>
          </w:p>
        </w:tc>
      </w:tr>
      <w:tr w:rsidR="000A0313" w:rsidRPr="000A0313" w14:paraId="12555C39" w14:textId="77777777" w:rsidTr="003F6975">
        <w:trPr>
          <w:cantSplit/>
        </w:trPr>
        <w:tc>
          <w:tcPr>
            <w:tcW w:w="1617" w:type="dxa"/>
            <w:gridSpan w:val="2"/>
          </w:tcPr>
          <w:p w14:paraId="57D9A32B" w14:textId="77777777" w:rsidR="000A0313" w:rsidRPr="000A0313" w:rsidRDefault="000A0313" w:rsidP="000A0313">
            <w:pPr>
              <w:rPr>
                <w:szCs w:val="24"/>
              </w:rPr>
            </w:pPr>
            <w:bookmarkStart w:id="10" w:name="dtitle1" w:colFirst="1" w:colLast="1"/>
            <w:bookmarkEnd w:id="9"/>
            <w:r w:rsidRPr="000A0313">
              <w:rPr>
                <w:b/>
                <w:bCs/>
                <w:szCs w:val="24"/>
              </w:rPr>
              <w:t>Title:</w:t>
            </w:r>
          </w:p>
        </w:tc>
        <w:tc>
          <w:tcPr>
            <w:tcW w:w="8306" w:type="dxa"/>
            <w:gridSpan w:val="3"/>
          </w:tcPr>
          <w:p w14:paraId="5355817C" w14:textId="28E36D1B" w:rsidR="000A0313" w:rsidRPr="000A0313" w:rsidRDefault="000A0313" w:rsidP="000A0313">
            <w:pPr>
              <w:rPr>
                <w:szCs w:val="24"/>
              </w:rPr>
            </w:pPr>
            <w:r w:rsidRPr="000A0313">
              <w:rPr>
                <w:szCs w:val="24"/>
              </w:rPr>
              <w:t>“ITU-T SG 20 terms and definitions”</w:t>
            </w:r>
          </w:p>
        </w:tc>
      </w:tr>
      <w:tr w:rsidR="000A0313" w:rsidRPr="000A0313" w14:paraId="54365B50" w14:textId="77777777" w:rsidTr="003F6975">
        <w:trPr>
          <w:cantSplit/>
        </w:trPr>
        <w:tc>
          <w:tcPr>
            <w:tcW w:w="1617" w:type="dxa"/>
            <w:gridSpan w:val="2"/>
            <w:tcBorders>
              <w:bottom w:val="single" w:sz="8" w:space="0" w:color="auto"/>
            </w:tcBorders>
          </w:tcPr>
          <w:p w14:paraId="6FBFB8F1" w14:textId="77777777" w:rsidR="000A0313" w:rsidRPr="000A0313" w:rsidRDefault="000A0313" w:rsidP="000A0313">
            <w:pPr>
              <w:rPr>
                <w:b/>
                <w:bCs/>
                <w:szCs w:val="24"/>
              </w:rPr>
            </w:pPr>
            <w:bookmarkStart w:id="11" w:name="dpurpose" w:colFirst="1" w:colLast="1"/>
            <w:bookmarkEnd w:id="10"/>
            <w:r w:rsidRPr="000A0313">
              <w:rPr>
                <w:b/>
                <w:bCs/>
                <w:szCs w:val="24"/>
              </w:rPr>
              <w:t>Purpose:</w:t>
            </w:r>
          </w:p>
        </w:tc>
        <w:tc>
          <w:tcPr>
            <w:tcW w:w="8306" w:type="dxa"/>
            <w:gridSpan w:val="3"/>
            <w:tcBorders>
              <w:bottom w:val="single" w:sz="8" w:space="0" w:color="auto"/>
            </w:tcBorders>
          </w:tcPr>
          <w:p w14:paraId="2926E545" w14:textId="77777777" w:rsidR="000A0313" w:rsidRPr="000A0313" w:rsidRDefault="000A0313" w:rsidP="000A0313">
            <w:pPr>
              <w:rPr>
                <w:szCs w:val="24"/>
              </w:rPr>
            </w:pPr>
          </w:p>
        </w:tc>
      </w:tr>
      <w:tr w:rsidR="000A0313" w14:paraId="0A4C8F48" w14:textId="77777777" w:rsidTr="00BE4E5C">
        <w:trPr>
          <w:cantSplit/>
          <w:trHeight w:val="357"/>
        </w:trPr>
        <w:tc>
          <w:tcPr>
            <w:tcW w:w="9923" w:type="dxa"/>
            <w:gridSpan w:val="5"/>
            <w:tcBorders>
              <w:top w:val="single" w:sz="12" w:space="0" w:color="auto"/>
            </w:tcBorders>
          </w:tcPr>
          <w:p w14:paraId="1D3B62DE" w14:textId="77777777" w:rsidR="000A0313" w:rsidRDefault="000A0313" w:rsidP="00BE4E5C">
            <w:pPr>
              <w:jc w:val="center"/>
              <w:rPr>
                <w:b/>
              </w:rPr>
            </w:pPr>
            <w:bookmarkStart w:id="12" w:name="dbreak"/>
            <w:bookmarkEnd w:id="12"/>
            <w:bookmarkEnd w:id="1"/>
            <w:bookmarkEnd w:id="11"/>
            <w:r>
              <w:rPr>
                <w:b/>
              </w:rPr>
              <w:t>LIAISON STATEMENT</w:t>
            </w:r>
          </w:p>
        </w:tc>
      </w:tr>
      <w:tr w:rsidR="000A0313" w14:paraId="4EE12E85" w14:textId="77777777" w:rsidTr="00BE4E5C">
        <w:trPr>
          <w:cantSplit/>
          <w:trHeight w:val="357"/>
        </w:trPr>
        <w:tc>
          <w:tcPr>
            <w:tcW w:w="2127" w:type="dxa"/>
            <w:gridSpan w:val="3"/>
          </w:tcPr>
          <w:p w14:paraId="36216C36" w14:textId="77777777" w:rsidR="000A0313" w:rsidRPr="003869CD" w:rsidRDefault="000A0313" w:rsidP="00BE4E5C">
            <w:pPr>
              <w:rPr>
                <w:b/>
                <w:bCs/>
              </w:rPr>
            </w:pPr>
            <w:r w:rsidRPr="003869CD">
              <w:rPr>
                <w:b/>
                <w:bCs/>
              </w:rPr>
              <w:t>For action to:</w:t>
            </w:r>
          </w:p>
        </w:tc>
        <w:tc>
          <w:tcPr>
            <w:tcW w:w="7796" w:type="dxa"/>
            <w:gridSpan w:val="2"/>
          </w:tcPr>
          <w:p w14:paraId="3B413027" w14:textId="7CA9801C" w:rsidR="000A0313" w:rsidRDefault="009321B8" w:rsidP="00BE4E5C">
            <w:pPr>
              <w:pStyle w:val="LSForAction"/>
            </w:pPr>
            <w:r>
              <w:t>SCV; ITU-T SG20</w:t>
            </w:r>
          </w:p>
        </w:tc>
      </w:tr>
      <w:tr w:rsidR="000A0313" w14:paraId="0992C781" w14:textId="77777777" w:rsidTr="00BE4E5C">
        <w:trPr>
          <w:cantSplit/>
          <w:trHeight w:val="357"/>
        </w:trPr>
        <w:tc>
          <w:tcPr>
            <w:tcW w:w="2127" w:type="dxa"/>
            <w:gridSpan w:val="3"/>
          </w:tcPr>
          <w:p w14:paraId="2FC282CD" w14:textId="77777777" w:rsidR="000A0313" w:rsidRPr="003869CD" w:rsidRDefault="000A0313" w:rsidP="00BE4E5C">
            <w:pPr>
              <w:rPr>
                <w:b/>
                <w:bCs/>
              </w:rPr>
            </w:pPr>
            <w:r w:rsidRPr="003869CD">
              <w:rPr>
                <w:b/>
                <w:bCs/>
              </w:rPr>
              <w:t>For comment to:</w:t>
            </w:r>
          </w:p>
        </w:tc>
        <w:tc>
          <w:tcPr>
            <w:tcW w:w="7796" w:type="dxa"/>
            <w:gridSpan w:val="2"/>
          </w:tcPr>
          <w:p w14:paraId="5420CE2F" w14:textId="77777777" w:rsidR="000A0313" w:rsidRDefault="000A0313" w:rsidP="00BE4E5C">
            <w:pPr>
              <w:pStyle w:val="LSForComment"/>
            </w:pPr>
            <w:r>
              <w:t>-</w:t>
            </w:r>
          </w:p>
        </w:tc>
      </w:tr>
      <w:tr w:rsidR="000A0313" w:rsidRPr="009321B8" w14:paraId="5904543C" w14:textId="77777777" w:rsidTr="00BE4E5C">
        <w:trPr>
          <w:cantSplit/>
          <w:trHeight w:val="357"/>
        </w:trPr>
        <w:tc>
          <w:tcPr>
            <w:tcW w:w="2127" w:type="dxa"/>
            <w:gridSpan w:val="3"/>
          </w:tcPr>
          <w:p w14:paraId="5EFC5EF4" w14:textId="77777777" w:rsidR="000A0313" w:rsidRPr="003869CD" w:rsidRDefault="000A0313" w:rsidP="00BE4E5C">
            <w:pPr>
              <w:rPr>
                <w:b/>
                <w:bCs/>
              </w:rPr>
            </w:pPr>
            <w:r w:rsidRPr="003869CD">
              <w:rPr>
                <w:b/>
                <w:bCs/>
              </w:rPr>
              <w:t>For information to:</w:t>
            </w:r>
          </w:p>
        </w:tc>
        <w:tc>
          <w:tcPr>
            <w:tcW w:w="7796" w:type="dxa"/>
            <w:gridSpan w:val="2"/>
          </w:tcPr>
          <w:p w14:paraId="12D38E3C" w14:textId="3AFB5C3A" w:rsidR="000A0313" w:rsidRPr="009321B8" w:rsidRDefault="009321B8" w:rsidP="00BE4E5C">
            <w:pPr>
              <w:pStyle w:val="LSForInfo"/>
              <w:rPr>
                <w:lang w:val="fr-CH"/>
              </w:rPr>
            </w:pPr>
            <w:r w:rsidRPr="009321B8">
              <w:rPr>
                <w:lang w:val="fr-CH"/>
              </w:rPr>
              <w:t>ITU-T WP 5D; ITU</w:t>
            </w:r>
            <w:r>
              <w:rPr>
                <w:lang w:val="fr-CH"/>
              </w:rPr>
              <w:t>-T SG2 ; CCV</w:t>
            </w:r>
          </w:p>
        </w:tc>
      </w:tr>
      <w:tr w:rsidR="000A0313" w14:paraId="2C35830C" w14:textId="77777777" w:rsidTr="00BE4E5C">
        <w:trPr>
          <w:cantSplit/>
          <w:trHeight w:val="357"/>
        </w:trPr>
        <w:tc>
          <w:tcPr>
            <w:tcW w:w="2127" w:type="dxa"/>
            <w:gridSpan w:val="3"/>
          </w:tcPr>
          <w:p w14:paraId="162063BB" w14:textId="77777777" w:rsidR="000A0313" w:rsidRDefault="000A0313" w:rsidP="00BE4E5C">
            <w:pPr>
              <w:rPr>
                <w:b/>
                <w:bCs/>
              </w:rPr>
            </w:pPr>
            <w:r>
              <w:rPr>
                <w:b/>
                <w:bCs/>
              </w:rPr>
              <w:t xml:space="preserve">Approval: </w:t>
            </w:r>
          </w:p>
        </w:tc>
        <w:tc>
          <w:tcPr>
            <w:tcW w:w="7796" w:type="dxa"/>
            <w:gridSpan w:val="2"/>
          </w:tcPr>
          <w:p w14:paraId="739EBFEB" w14:textId="4DF82302" w:rsidR="000A0313" w:rsidRPr="00415DB5" w:rsidRDefault="000A0313" w:rsidP="00BE4E5C"/>
        </w:tc>
      </w:tr>
      <w:tr w:rsidR="000A0313" w14:paraId="41D122B2" w14:textId="77777777" w:rsidTr="00BE4E5C">
        <w:trPr>
          <w:cantSplit/>
          <w:trHeight w:val="357"/>
        </w:trPr>
        <w:tc>
          <w:tcPr>
            <w:tcW w:w="2127" w:type="dxa"/>
            <w:gridSpan w:val="3"/>
            <w:tcBorders>
              <w:bottom w:val="single" w:sz="12" w:space="0" w:color="auto"/>
            </w:tcBorders>
          </w:tcPr>
          <w:p w14:paraId="1BF133C3" w14:textId="77777777" w:rsidR="000A0313" w:rsidRDefault="000A0313" w:rsidP="00BE4E5C">
            <w:pPr>
              <w:rPr>
                <w:b/>
                <w:bCs/>
              </w:rPr>
            </w:pPr>
            <w:r>
              <w:rPr>
                <w:b/>
                <w:bCs/>
              </w:rPr>
              <w:t>Deadline:</w:t>
            </w:r>
          </w:p>
        </w:tc>
        <w:tc>
          <w:tcPr>
            <w:tcW w:w="7796" w:type="dxa"/>
            <w:gridSpan w:val="2"/>
            <w:tcBorders>
              <w:bottom w:val="single" w:sz="12" w:space="0" w:color="auto"/>
            </w:tcBorders>
          </w:tcPr>
          <w:p w14:paraId="0F5B6F7F" w14:textId="77777777" w:rsidR="000A0313" w:rsidRDefault="000A0313" w:rsidP="00BE4E5C">
            <w:pPr>
              <w:pStyle w:val="LSDeadline"/>
            </w:pPr>
            <w: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3728"/>
        <w:gridCol w:w="4801"/>
      </w:tblGrid>
      <w:tr w:rsidR="000A0313" w:rsidRPr="00153DB4" w14:paraId="1AF6B5D2" w14:textId="77777777" w:rsidTr="000A0313">
        <w:tc>
          <w:tcPr>
            <w:tcW w:w="1110" w:type="dxa"/>
            <w:tcBorders>
              <w:right w:val="single" w:sz="4" w:space="0" w:color="auto"/>
            </w:tcBorders>
          </w:tcPr>
          <w:p w14:paraId="6FB00313" w14:textId="77777777" w:rsidR="000A0313" w:rsidRDefault="000A0313" w:rsidP="00BE4E5C">
            <w:pPr>
              <w:tabs>
                <w:tab w:val="clear" w:pos="1134"/>
                <w:tab w:val="left" w:pos="1027"/>
              </w:tabs>
              <w:ind w:left="1027" w:hanging="1027"/>
              <w:rPr>
                <w:rFonts w:eastAsia="MS Mincho"/>
                <w:b/>
              </w:rPr>
            </w:pPr>
            <w:r w:rsidRPr="00153DB4">
              <w:rPr>
                <w:rFonts w:eastAsia="MS Mincho"/>
                <w:b/>
              </w:rPr>
              <w:t>Contact:</w:t>
            </w:r>
          </w:p>
          <w:p w14:paraId="4F313E5B" w14:textId="77777777" w:rsidR="000A0313" w:rsidRDefault="000A0313" w:rsidP="00BE4E5C">
            <w:pPr>
              <w:tabs>
                <w:tab w:val="clear" w:pos="1134"/>
                <w:tab w:val="left" w:pos="1027"/>
              </w:tabs>
              <w:ind w:left="1027" w:hanging="1027"/>
              <w:rPr>
                <w:lang w:val="en-US" w:eastAsia="zh-CN"/>
              </w:rPr>
            </w:pPr>
          </w:p>
          <w:p w14:paraId="0E1596D9" w14:textId="62311BEC" w:rsidR="000A0313" w:rsidRPr="00153DB4" w:rsidRDefault="000A0313" w:rsidP="000A0313">
            <w:pPr>
              <w:tabs>
                <w:tab w:val="clear" w:pos="1134"/>
                <w:tab w:val="left" w:pos="1027"/>
              </w:tabs>
              <w:rPr>
                <w:lang w:eastAsia="zh-CN"/>
              </w:rPr>
            </w:pPr>
          </w:p>
        </w:tc>
        <w:tc>
          <w:tcPr>
            <w:tcW w:w="3728" w:type="dxa"/>
            <w:tcBorders>
              <w:left w:val="single" w:sz="4" w:space="0" w:color="auto"/>
            </w:tcBorders>
          </w:tcPr>
          <w:p w14:paraId="5D87462E" w14:textId="77777777" w:rsidR="000A0313" w:rsidRDefault="000A0313" w:rsidP="000A0313">
            <w:pPr>
              <w:tabs>
                <w:tab w:val="clear" w:pos="1134"/>
                <w:tab w:val="left" w:pos="1027"/>
              </w:tabs>
              <w:rPr>
                <w:lang w:val="en-US" w:eastAsia="zh-CN"/>
              </w:rPr>
            </w:pPr>
            <w:r w:rsidRPr="00F42A13">
              <w:rPr>
                <w:rFonts w:eastAsiaTheme="minorEastAsia"/>
                <w:szCs w:val="24"/>
              </w:rPr>
              <w:t>Brian Patten</w:t>
            </w:r>
            <w:r>
              <w:rPr>
                <w:rFonts w:eastAsiaTheme="minorEastAsia"/>
                <w:szCs w:val="24"/>
              </w:rPr>
              <w:br/>
            </w:r>
            <w:r w:rsidRPr="00F42A13">
              <w:rPr>
                <w:lang w:val="en-US" w:eastAsia="zh-CN"/>
              </w:rPr>
              <w:t xml:space="preserve">ITU-R WP 5A Vocabulary </w:t>
            </w:r>
          </w:p>
          <w:p w14:paraId="38387B4B" w14:textId="67772E1E" w:rsidR="000A0313" w:rsidRPr="00153DB4" w:rsidRDefault="000A0313" w:rsidP="000A0313">
            <w:pPr>
              <w:tabs>
                <w:tab w:val="left" w:pos="1027"/>
              </w:tabs>
              <w:rPr>
                <w:lang w:eastAsia="zh-CN"/>
              </w:rPr>
            </w:pPr>
            <w:r w:rsidRPr="00F42A13">
              <w:rPr>
                <w:lang w:val="en-US" w:eastAsia="zh-CN"/>
              </w:rPr>
              <w:t>Rapporteur</w:t>
            </w:r>
          </w:p>
        </w:tc>
        <w:tc>
          <w:tcPr>
            <w:tcW w:w="4801" w:type="dxa"/>
          </w:tcPr>
          <w:p w14:paraId="6D48BFE5" w14:textId="7943C70F" w:rsidR="000A0313" w:rsidRPr="00153DB4" w:rsidRDefault="000A0313" w:rsidP="00BE4E5C">
            <w:pPr>
              <w:rPr>
                <w:lang w:eastAsia="zh-CN"/>
              </w:rPr>
            </w:pPr>
            <w:r w:rsidRPr="00153DB4">
              <w:rPr>
                <w:b/>
                <w:bCs/>
                <w:lang w:eastAsia="zh-CN"/>
              </w:rPr>
              <w:t>E-mail:</w:t>
            </w:r>
            <w:r w:rsidRPr="00153DB4">
              <w:rPr>
                <w:lang w:eastAsia="zh-CN"/>
              </w:rPr>
              <w:tab/>
            </w:r>
            <w:hyperlink r:id="rId10" w:history="1">
              <w:r w:rsidRPr="00F42A13">
                <w:rPr>
                  <w:rFonts w:eastAsiaTheme="minorEastAsia"/>
                  <w:bCs/>
                  <w:color w:val="0000FF" w:themeColor="hyperlink"/>
                  <w:szCs w:val="24"/>
                  <w:u w:val="single"/>
                  <w:lang w:val="en-US"/>
                </w:rPr>
                <w:t>bpatten@ntia.gov</w:t>
              </w:r>
            </w:hyperlink>
          </w:p>
        </w:tc>
      </w:tr>
    </w:tbl>
    <w:p w14:paraId="1CA9AFCD" w14:textId="62DC497F" w:rsidR="00F42A13" w:rsidRPr="00F42A13" w:rsidRDefault="00F42A13" w:rsidP="000C184A">
      <w:pPr>
        <w:spacing w:before="240" w:after="120"/>
        <w:rPr>
          <w:rFonts w:eastAsiaTheme="minorEastAsia"/>
          <w:szCs w:val="24"/>
        </w:rPr>
      </w:pPr>
      <w:r w:rsidRPr="00F42A13">
        <w:rPr>
          <w:rFonts w:eastAsiaTheme="minorEastAsia"/>
          <w:szCs w:val="24"/>
        </w:rPr>
        <w:t xml:space="preserve">Working Party </w:t>
      </w:r>
      <w:r w:rsidR="00ED0F28">
        <w:rPr>
          <w:rFonts w:eastAsiaTheme="minorEastAsia"/>
          <w:szCs w:val="24"/>
        </w:rPr>
        <w:t xml:space="preserve">(WP) </w:t>
      </w:r>
      <w:r w:rsidRPr="00F42A13">
        <w:rPr>
          <w:rFonts w:eastAsiaTheme="minorEastAsia"/>
          <w:szCs w:val="24"/>
        </w:rPr>
        <w:t xml:space="preserve">5A thanks ITU-T Study Group </w:t>
      </w:r>
      <w:r w:rsidR="00ED0F28">
        <w:rPr>
          <w:rFonts w:eastAsiaTheme="minorEastAsia"/>
          <w:szCs w:val="24"/>
        </w:rPr>
        <w:t xml:space="preserve">(SG) </w:t>
      </w:r>
      <w:r w:rsidRPr="00F42A13">
        <w:rPr>
          <w:rFonts w:eastAsiaTheme="minorEastAsia"/>
          <w:szCs w:val="24"/>
        </w:rPr>
        <w:t xml:space="preserve">20 and the SCV for the opportunity to comment on the terms and definitions which appear in </w:t>
      </w:r>
      <w:hyperlink r:id="rId11" w:history="1">
        <w:r w:rsidRPr="00F42A13">
          <w:rPr>
            <w:rFonts w:eastAsia="SimSun"/>
            <w:noProof/>
            <w:color w:val="0000FF" w:themeColor="hyperlink"/>
            <w:szCs w:val="24"/>
            <w:u w:val="single"/>
            <w:lang w:eastAsia="ja-JP"/>
          </w:rPr>
          <w:t>Doc. 5A/1091</w:t>
        </w:r>
      </w:hyperlink>
      <w:r w:rsidRPr="00F42A13">
        <w:rPr>
          <w:rFonts w:eastAsia="SimSun"/>
          <w:noProof/>
          <w:szCs w:val="24"/>
          <w:lang w:eastAsia="ja-JP"/>
        </w:rPr>
        <w:t xml:space="preserve">.  </w:t>
      </w:r>
    </w:p>
    <w:p w14:paraId="34CA0325" w14:textId="4C4C9C05" w:rsidR="00F42A13" w:rsidRPr="00F42A13" w:rsidRDefault="00F42A13" w:rsidP="00F42A13">
      <w:pPr>
        <w:rPr>
          <w:rFonts w:eastAsiaTheme="minorEastAsia"/>
        </w:rPr>
      </w:pPr>
      <w:r w:rsidRPr="00F42A13">
        <w:rPr>
          <w:rFonts w:eastAsiaTheme="minorEastAsia"/>
        </w:rPr>
        <w:t xml:space="preserve">WP 5A notices that generic terms, of applicability in many fields, are defined for a specific area of study. This could be a bit confusing when very known terms, such as ‘application layer’, are defined in a manner specific to M2M, for example, with reference to the terms listed for Recommendation </w:t>
      </w:r>
      <w:hyperlink r:id="rId12" w:tooltip="See more details" w:history="1">
        <w:r w:rsidRPr="00F42A13">
          <w:rPr>
            <w:rFonts w:eastAsiaTheme="minorEastAsia"/>
            <w:color w:val="0000FF" w:themeColor="hyperlink"/>
            <w:u w:val="single"/>
          </w:rPr>
          <w:t xml:space="preserve">ITU-T </w:t>
        </w:r>
        <w:r w:rsidRPr="00F42A13">
          <w:rPr>
            <w:color w:val="0000FF" w:themeColor="hyperlink"/>
            <w:u w:val="single"/>
          </w:rPr>
          <w:t>Y.4500.1</w:t>
        </w:r>
      </w:hyperlink>
      <w:r w:rsidRPr="00F42A13">
        <w:rPr>
          <w:rFonts w:eastAsiaTheme="minorEastAsia"/>
          <w:color w:val="000000" w:themeColor="text1"/>
        </w:rPr>
        <w:t xml:space="preserve">: </w:t>
      </w:r>
    </w:p>
    <w:p w14:paraId="44E77AB5" w14:textId="77777777" w:rsidR="00F42A13" w:rsidRPr="00F42A13" w:rsidRDefault="00F42A13" w:rsidP="00F42A13">
      <w:pPr>
        <w:rPr>
          <w:rFonts w:eastAsiaTheme="minorEastAsia"/>
        </w:rPr>
      </w:pPr>
      <w:r w:rsidRPr="00F42A13">
        <w:rPr>
          <w:rFonts w:eastAsiaTheme="minorEastAsia"/>
        </w:rPr>
        <w:t>“3.2.3 application layer: Layer comprising oneM2M applications and related business and operational logic”</w:t>
      </w:r>
    </w:p>
    <w:p w14:paraId="7F5B4A8A" w14:textId="76EC3633" w:rsidR="00F42A13" w:rsidRPr="00F42A13" w:rsidRDefault="00F42A13" w:rsidP="00F42A13">
      <w:pPr>
        <w:rPr>
          <w:rFonts w:eastAsiaTheme="minorEastAsia"/>
        </w:rPr>
      </w:pPr>
      <w:r w:rsidRPr="00F42A13">
        <w:rPr>
          <w:rFonts w:eastAsiaTheme="minorEastAsia"/>
        </w:rPr>
        <w:t xml:space="preserve">WP 5A does not believe that it is the case that every application layer is comprising oneM2M applications, hence the suggested fix would be to define the term “M2M application layer”, rather than the broad term “application layer”, which is already defined in Recommendation </w:t>
      </w:r>
      <w:hyperlink r:id="rId13" w:tgtFrame="_blank" w:history="1">
        <w:r w:rsidRPr="00F42A13">
          <w:rPr>
            <w:color w:val="0099FF"/>
            <w:u w:val="single"/>
          </w:rPr>
          <w:t>ITU-T X.519</w:t>
        </w:r>
      </w:hyperlink>
      <w:r w:rsidRPr="00F42A13">
        <w:t xml:space="preserve"> as “The top layer of the OSI seven layer model representing the semantics of the communication.”</w:t>
      </w:r>
    </w:p>
    <w:p w14:paraId="6C4799B3" w14:textId="1B16FC36" w:rsidR="00F42A13" w:rsidRPr="005D0EE9" w:rsidRDefault="00F42A13" w:rsidP="00F42A13">
      <w:pPr>
        <w:rPr>
          <w:rFonts w:eastAsiaTheme="minorEastAsia"/>
        </w:rPr>
      </w:pPr>
      <w:r w:rsidRPr="005D0EE9">
        <w:rPr>
          <w:rFonts w:eastAsiaTheme="minorEastAsia"/>
        </w:rPr>
        <w:t xml:space="preserve">There are a few cases like that that should be fixed.  </w:t>
      </w:r>
    </w:p>
    <w:p w14:paraId="5BD6681A" w14:textId="5AA99148" w:rsidR="00356EFE" w:rsidRPr="005D0EE9" w:rsidRDefault="00356EFE" w:rsidP="00F42A13">
      <w:pPr>
        <w:rPr>
          <w:rFonts w:eastAsiaTheme="minorEastAsia"/>
        </w:rPr>
      </w:pPr>
      <w:r w:rsidRPr="005D0EE9">
        <w:rPr>
          <w:rFonts w:eastAsiaTheme="minorEastAsia"/>
        </w:rPr>
        <w:t xml:space="preserve">WP 5A also would like to </w:t>
      </w:r>
      <w:r w:rsidR="008854F8" w:rsidRPr="005D0EE9">
        <w:rPr>
          <w:rFonts w:eastAsiaTheme="minorEastAsia"/>
        </w:rPr>
        <w:t>point out</w:t>
      </w:r>
      <w:r w:rsidRPr="005D0EE9">
        <w:rPr>
          <w:rFonts w:eastAsiaTheme="minorEastAsia"/>
        </w:rPr>
        <w:t xml:space="preserve"> </w:t>
      </w:r>
      <w:hyperlink r:id="rId14" w:history="1">
        <w:r w:rsidRPr="005D0EE9">
          <w:rPr>
            <w:rStyle w:val="Hyperlink"/>
            <w:rFonts w:eastAsiaTheme="minorEastAsia"/>
          </w:rPr>
          <w:t>Recommendation ITU-R M.1224</w:t>
        </w:r>
      </w:hyperlink>
      <w:r w:rsidRPr="005D0EE9">
        <w:rPr>
          <w:rFonts w:eastAsiaTheme="minorEastAsia"/>
        </w:rPr>
        <w:t xml:space="preserve"> “Vocabulary of terms for International Mobile Telecommunications (IMT)” which defines ‘interworking’ and related terms.</w:t>
      </w:r>
    </w:p>
    <w:p w14:paraId="11E054C0" w14:textId="7DF763F8" w:rsidR="00F42A13" w:rsidRDefault="00F42A13" w:rsidP="00F42A13">
      <w:pPr>
        <w:rPr>
          <w:rFonts w:eastAsiaTheme="minorEastAsia"/>
        </w:rPr>
      </w:pPr>
      <w:r w:rsidRPr="005D0EE9">
        <w:rPr>
          <w:rFonts w:eastAsiaTheme="minorEastAsia"/>
        </w:rPr>
        <w:t>WP 5A look</w:t>
      </w:r>
      <w:r w:rsidRPr="00F42A13">
        <w:rPr>
          <w:rFonts w:eastAsiaTheme="minorEastAsia"/>
        </w:rPr>
        <w:t>s forward to cooperating with ITU-T SG20 on this and related matters of common interest.</w:t>
      </w:r>
    </w:p>
    <w:p w14:paraId="35A91995" w14:textId="33474A89" w:rsidR="00ED0F28" w:rsidRDefault="00ED0F28" w:rsidP="00F42A13">
      <w:pPr>
        <w:rPr>
          <w:rFonts w:eastAsiaTheme="minorEastAsia"/>
        </w:rPr>
      </w:pPr>
    </w:p>
    <w:p w14:paraId="3689EF5F" w14:textId="3F741C18" w:rsidR="000069D4" w:rsidRPr="00F42A13" w:rsidRDefault="00F42A13" w:rsidP="00F42A13">
      <w:pPr>
        <w:jc w:val="center"/>
        <w:rPr>
          <w:lang w:eastAsia="zh-CN"/>
        </w:rPr>
      </w:pPr>
      <w:r>
        <w:rPr>
          <w:lang w:eastAsia="zh-CN"/>
        </w:rPr>
        <w:t>________________</w:t>
      </w:r>
    </w:p>
    <w:sectPr w:rsidR="000069D4" w:rsidRPr="00F42A13" w:rsidSect="000A0313">
      <w:headerReference w:type="default" r:id="rId15"/>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5AF66" w14:textId="77777777" w:rsidR="00975FBD" w:rsidRDefault="00975FBD">
      <w:r>
        <w:separator/>
      </w:r>
    </w:p>
  </w:endnote>
  <w:endnote w:type="continuationSeparator" w:id="0">
    <w:p w14:paraId="33D12411" w14:textId="77777777" w:rsidR="00975FBD" w:rsidRDefault="0097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4BB1E" w14:textId="77777777" w:rsidR="00975FBD" w:rsidRDefault="00975FBD">
      <w:r>
        <w:t>____________________</w:t>
      </w:r>
    </w:p>
  </w:footnote>
  <w:footnote w:type="continuationSeparator" w:id="0">
    <w:p w14:paraId="499AE7EC" w14:textId="77777777" w:rsidR="00975FBD" w:rsidRDefault="0097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5D55B" w14:textId="438903AD" w:rsidR="00FA124A" w:rsidRPr="000A0313" w:rsidRDefault="000A0313" w:rsidP="000A0313">
    <w:pPr>
      <w:pStyle w:val="Header"/>
    </w:pPr>
    <w:r w:rsidRPr="000A0313">
      <w:t xml:space="preserve">- </w:t>
    </w:r>
    <w:r w:rsidRPr="000A0313">
      <w:fldChar w:fldCharType="begin"/>
    </w:r>
    <w:r w:rsidRPr="000A0313">
      <w:instrText xml:space="preserve"> PAGE  \* MERGEFORMAT </w:instrText>
    </w:r>
    <w:r w:rsidRPr="000A0313">
      <w:fldChar w:fldCharType="separate"/>
    </w:r>
    <w:r w:rsidRPr="000A0313">
      <w:rPr>
        <w:noProof/>
      </w:rPr>
      <w:t>1</w:t>
    </w:r>
    <w:r w:rsidRPr="000A0313">
      <w:fldChar w:fldCharType="end"/>
    </w:r>
    <w:r w:rsidRPr="000A0313">
      <w:t xml:space="preserve"> -</w:t>
    </w:r>
  </w:p>
  <w:p w14:paraId="7A5EE63A" w14:textId="0FCB7AA8" w:rsidR="000A0313" w:rsidRPr="000A0313" w:rsidRDefault="000A0313" w:rsidP="000A0313">
    <w:pPr>
      <w:pStyle w:val="Header"/>
      <w:spacing w:after="240"/>
    </w:pPr>
    <w:r w:rsidRPr="000A0313">
      <w:fldChar w:fldCharType="begin"/>
    </w:r>
    <w:r w:rsidRPr="000A0313">
      <w:instrText xml:space="preserve"> STYLEREF  Docnumber  </w:instrText>
    </w:r>
    <w:r>
      <w:fldChar w:fldCharType="separate"/>
    </w:r>
    <w:r>
      <w:rPr>
        <w:noProof/>
      </w:rPr>
      <w:t>SCV-TD136</w:t>
    </w:r>
    <w:r w:rsidRPr="000A0313">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CH"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9A"/>
    <w:rsid w:val="000069D4"/>
    <w:rsid w:val="000174AD"/>
    <w:rsid w:val="00047A1D"/>
    <w:rsid w:val="000604B9"/>
    <w:rsid w:val="000A0313"/>
    <w:rsid w:val="000A7D55"/>
    <w:rsid w:val="000C12C8"/>
    <w:rsid w:val="000C184A"/>
    <w:rsid w:val="000C2E8E"/>
    <w:rsid w:val="000E0E7C"/>
    <w:rsid w:val="000F1B4B"/>
    <w:rsid w:val="0012744F"/>
    <w:rsid w:val="00131178"/>
    <w:rsid w:val="00156F66"/>
    <w:rsid w:val="00163271"/>
    <w:rsid w:val="00172122"/>
    <w:rsid w:val="00182528"/>
    <w:rsid w:val="0018500B"/>
    <w:rsid w:val="00196A19"/>
    <w:rsid w:val="001F1335"/>
    <w:rsid w:val="00202DC1"/>
    <w:rsid w:val="002116EE"/>
    <w:rsid w:val="002309D8"/>
    <w:rsid w:val="00232F96"/>
    <w:rsid w:val="002A7FE2"/>
    <w:rsid w:val="002E1B4F"/>
    <w:rsid w:val="002E6732"/>
    <w:rsid w:val="002F2E67"/>
    <w:rsid w:val="002F7CB3"/>
    <w:rsid w:val="00315546"/>
    <w:rsid w:val="00330567"/>
    <w:rsid w:val="00356EFE"/>
    <w:rsid w:val="00386A9D"/>
    <w:rsid w:val="00391081"/>
    <w:rsid w:val="003B2789"/>
    <w:rsid w:val="003C13CE"/>
    <w:rsid w:val="003C697E"/>
    <w:rsid w:val="003E2518"/>
    <w:rsid w:val="003E7CEF"/>
    <w:rsid w:val="004B1EF7"/>
    <w:rsid w:val="004B3FAD"/>
    <w:rsid w:val="004C5749"/>
    <w:rsid w:val="00501DCA"/>
    <w:rsid w:val="00513A47"/>
    <w:rsid w:val="005408DF"/>
    <w:rsid w:val="005602BB"/>
    <w:rsid w:val="00573344"/>
    <w:rsid w:val="00583F9B"/>
    <w:rsid w:val="005B0D29"/>
    <w:rsid w:val="005C5E39"/>
    <w:rsid w:val="005D0EE9"/>
    <w:rsid w:val="005E5C10"/>
    <w:rsid w:val="005F2C78"/>
    <w:rsid w:val="006144E4"/>
    <w:rsid w:val="00650299"/>
    <w:rsid w:val="00655FC5"/>
    <w:rsid w:val="00785E58"/>
    <w:rsid w:val="0080538C"/>
    <w:rsid w:val="00814E0A"/>
    <w:rsid w:val="00822581"/>
    <w:rsid w:val="008309DD"/>
    <w:rsid w:val="0083227A"/>
    <w:rsid w:val="0085311C"/>
    <w:rsid w:val="00866900"/>
    <w:rsid w:val="00876A8A"/>
    <w:rsid w:val="00881BA1"/>
    <w:rsid w:val="008854F8"/>
    <w:rsid w:val="008C2302"/>
    <w:rsid w:val="008C26B8"/>
    <w:rsid w:val="008F208F"/>
    <w:rsid w:val="00923BE0"/>
    <w:rsid w:val="009321B8"/>
    <w:rsid w:val="009536AB"/>
    <w:rsid w:val="00975FBD"/>
    <w:rsid w:val="00982084"/>
    <w:rsid w:val="00995963"/>
    <w:rsid w:val="009B61EB"/>
    <w:rsid w:val="009C2064"/>
    <w:rsid w:val="009D1697"/>
    <w:rsid w:val="009F3A46"/>
    <w:rsid w:val="009F6520"/>
    <w:rsid w:val="00A014F8"/>
    <w:rsid w:val="00A5173C"/>
    <w:rsid w:val="00A61AEF"/>
    <w:rsid w:val="00AD2345"/>
    <w:rsid w:val="00AF173A"/>
    <w:rsid w:val="00B03C34"/>
    <w:rsid w:val="00B066A4"/>
    <w:rsid w:val="00B07A13"/>
    <w:rsid w:val="00B4279B"/>
    <w:rsid w:val="00B45FC9"/>
    <w:rsid w:val="00B57099"/>
    <w:rsid w:val="00B76F35"/>
    <w:rsid w:val="00B81138"/>
    <w:rsid w:val="00B95CBB"/>
    <w:rsid w:val="00BC7CCF"/>
    <w:rsid w:val="00BE470B"/>
    <w:rsid w:val="00C4179A"/>
    <w:rsid w:val="00C57A91"/>
    <w:rsid w:val="00CC01C2"/>
    <w:rsid w:val="00CF21F2"/>
    <w:rsid w:val="00D02712"/>
    <w:rsid w:val="00D046A7"/>
    <w:rsid w:val="00D214D0"/>
    <w:rsid w:val="00D6546B"/>
    <w:rsid w:val="00DB178B"/>
    <w:rsid w:val="00DC17D3"/>
    <w:rsid w:val="00DD3858"/>
    <w:rsid w:val="00DD4BED"/>
    <w:rsid w:val="00DE39F0"/>
    <w:rsid w:val="00DF0AF3"/>
    <w:rsid w:val="00DF7E9F"/>
    <w:rsid w:val="00E27D7E"/>
    <w:rsid w:val="00E42DEB"/>
    <w:rsid w:val="00E42E13"/>
    <w:rsid w:val="00E5268F"/>
    <w:rsid w:val="00E56D5C"/>
    <w:rsid w:val="00E6257C"/>
    <w:rsid w:val="00E63C59"/>
    <w:rsid w:val="00ED0F28"/>
    <w:rsid w:val="00F25662"/>
    <w:rsid w:val="00F42A13"/>
    <w:rsid w:val="00F912EC"/>
    <w:rsid w:val="00F9389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D08106"/>
  <w15:docId w15:val="{6EA083EE-4470-46A9-A269-EA4511F3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超?级链,Style 58,超????,하이퍼링크2,超链接1,超?级链?,Style?,S"/>
    <w:basedOn w:val="DefaultParagraphFont"/>
    <w:unhideWhenUsed/>
    <w:qFormat/>
    <w:rsid w:val="00F42A13"/>
    <w:rPr>
      <w:color w:val="0000FF" w:themeColor="hyperlink"/>
      <w:u w:val="single"/>
    </w:rPr>
  </w:style>
  <w:style w:type="character" w:styleId="UnresolvedMention">
    <w:name w:val="Unresolved Mention"/>
    <w:basedOn w:val="DefaultParagraphFont"/>
    <w:uiPriority w:val="99"/>
    <w:semiHidden/>
    <w:unhideWhenUsed/>
    <w:rsid w:val="00356EFE"/>
    <w:rPr>
      <w:color w:val="605E5C"/>
      <w:shd w:val="clear" w:color="auto" w:fill="E1DFDD"/>
    </w:rPr>
  </w:style>
  <w:style w:type="paragraph" w:styleId="BalloonText">
    <w:name w:val="Balloon Text"/>
    <w:basedOn w:val="Normal"/>
    <w:link w:val="BalloonTextChar"/>
    <w:semiHidden/>
    <w:unhideWhenUsed/>
    <w:rsid w:val="00232F9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232F96"/>
    <w:rPr>
      <w:rFonts w:asciiTheme="majorHAnsi" w:eastAsiaTheme="majorEastAsia" w:hAnsiTheme="majorHAnsi" w:cstheme="majorBidi"/>
      <w:sz w:val="18"/>
      <w:szCs w:val="18"/>
      <w:lang w:val="en-GB" w:eastAsia="en-US"/>
    </w:rPr>
  </w:style>
  <w:style w:type="table" w:styleId="TableGrid">
    <w:name w:val="Table Grid"/>
    <w:basedOn w:val="TableNormal"/>
    <w:rsid w:val="00ED0F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C5E39"/>
    <w:rPr>
      <w:color w:val="800080" w:themeColor="followedHyperlink"/>
      <w:u w:val="single"/>
    </w:rPr>
  </w:style>
  <w:style w:type="paragraph" w:customStyle="1" w:styleId="Docnumber">
    <w:name w:val="Docnumber"/>
    <w:basedOn w:val="Normal"/>
    <w:link w:val="DocnumberChar"/>
    <w:qFormat/>
    <w:rsid w:val="000A0313"/>
    <w:pPr>
      <w:tabs>
        <w:tab w:val="clear" w:pos="1134"/>
        <w:tab w:val="clear" w:pos="1871"/>
        <w:tab w:val="clear" w:pos="2268"/>
        <w:tab w:val="left" w:pos="794"/>
        <w:tab w:val="left" w:pos="1191"/>
        <w:tab w:val="left" w:pos="1588"/>
        <w:tab w:val="left" w:pos="1985"/>
      </w:tabs>
      <w:jc w:val="right"/>
    </w:pPr>
    <w:rPr>
      <w:rFonts w:eastAsia="Times New Roman"/>
      <w:b/>
      <w:bCs/>
      <w:sz w:val="40"/>
    </w:rPr>
  </w:style>
  <w:style w:type="character" w:customStyle="1" w:styleId="DocnumberChar">
    <w:name w:val="Docnumber Char"/>
    <w:basedOn w:val="DefaultParagraphFont"/>
    <w:link w:val="Docnumber"/>
    <w:rsid w:val="000A0313"/>
    <w:rPr>
      <w:rFonts w:ascii="Times New Roman" w:eastAsia="Times New Roman" w:hAnsi="Times New Roman"/>
      <w:b/>
      <w:bCs/>
      <w:sz w:val="40"/>
      <w:lang w:val="en-GB" w:eastAsia="en-US"/>
    </w:rPr>
  </w:style>
  <w:style w:type="paragraph" w:customStyle="1" w:styleId="LSDeadline">
    <w:name w:val="LSDeadline"/>
    <w:basedOn w:val="LSForAction"/>
    <w:next w:val="Normal"/>
    <w:rsid w:val="000A0313"/>
    <w:rPr>
      <w:bCs w:val="0"/>
    </w:rPr>
  </w:style>
  <w:style w:type="paragraph" w:customStyle="1" w:styleId="LSForAction">
    <w:name w:val="LSForAction"/>
    <w:basedOn w:val="Normal"/>
    <w:rsid w:val="000A0313"/>
    <w:pPr>
      <w:tabs>
        <w:tab w:val="clear" w:pos="1134"/>
        <w:tab w:val="clear" w:pos="1871"/>
        <w:tab w:val="clear" w:pos="2268"/>
        <w:tab w:val="left" w:pos="794"/>
        <w:tab w:val="left" w:pos="1191"/>
        <w:tab w:val="left" w:pos="1588"/>
        <w:tab w:val="left" w:pos="1985"/>
      </w:tabs>
    </w:pPr>
    <w:rPr>
      <w:rFonts w:eastAsia="Times New Roman"/>
      <w:bCs/>
    </w:rPr>
  </w:style>
  <w:style w:type="paragraph" w:customStyle="1" w:styleId="LSForInfo">
    <w:name w:val="LSForInfo"/>
    <w:basedOn w:val="LSForAction"/>
    <w:next w:val="Normal"/>
    <w:rsid w:val="000A0313"/>
  </w:style>
  <w:style w:type="paragraph" w:customStyle="1" w:styleId="LSForComment">
    <w:name w:val="LSForComment"/>
    <w:basedOn w:val="LSForAction"/>
    <w:next w:val="Normal"/>
    <w:rsid w:val="000A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rec/T-REC-X.519/e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tu.int/itu-t/workprog/wp_item.aspx?isn=143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R15-WP5A-C-1091/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patten@ntia.gov"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itu.int/rec/R-REC-M.122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A0C428-F3B2-4B9A-8014-DF03E0A899FA}"/>
</file>

<file path=customXml/itemProps2.xml><?xml version="1.0" encoding="utf-8"?>
<ds:datastoreItem xmlns:ds="http://schemas.openxmlformats.org/officeDocument/2006/customXml" ds:itemID="{4938A1AD-07E7-435E-9076-22DDC808E5BE}"/>
</file>

<file path=customXml/itemProps3.xml><?xml version="1.0" encoding="utf-8"?>
<ds:datastoreItem xmlns:ds="http://schemas.openxmlformats.org/officeDocument/2006/customXml" ds:itemID="{81E14FD5-741F-4389-B649-DD85712D4FC0}"/>
</file>

<file path=docProps/app.xml><?xml version="1.0" encoding="utf-8"?>
<Properties xmlns="http://schemas.openxmlformats.org/officeDocument/2006/extended-properties" xmlns:vt="http://schemas.openxmlformats.org/officeDocument/2006/docPropsVTypes">
  <Template>PE_BR.dotm</Template>
  <TotalTime>2</TotalTime>
  <Pages>1</Pages>
  <Words>280</Words>
  <Characters>1550</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 20 terms and definitions”</dc:title>
  <dc:creator>ITU-R Working Party 5A</dc:creator>
  <dc:description>SCV-TD136  For: Virtual, 7 December 2020_x000d_Document date: _x000d_Saved by ITU51015586 at 10:26:44 on 27/11/2020</dc:description>
  <cp:lastModifiedBy>TSB-AC</cp:lastModifiedBy>
  <cp:revision>4</cp:revision>
  <cp:lastPrinted>2008-02-21T14:04:00Z</cp:lastPrinted>
  <dcterms:created xsi:type="dcterms:W3CDTF">2020-11-27T09:24:00Z</dcterms:created>
  <dcterms:modified xsi:type="dcterms:W3CDTF">2020-11-27T09:26:00Z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SCV-TD136</vt:lpwstr>
  </property>
  <property fmtid="{D5CDD505-2E9C-101B-9397-08002B2CF9AE}" pid="3" name="Docdate">
    <vt:lpwstr/>
  </property>
  <property fmtid="{D5CDD505-2E9C-101B-9397-08002B2CF9AE}" pid="4" name="Docorlang">
    <vt:lpwstr/>
  </property>
  <property fmtid="{D5CDD505-2E9C-101B-9397-08002B2CF9AE}" pid="5" name="ContentTypeId">
    <vt:lpwstr>0x01010017487812B7DF734F899F9E259C366837</vt:lpwstr>
  </property>
  <property fmtid="{D5CDD505-2E9C-101B-9397-08002B2CF9AE}" pid="6" name="Docbluepink">
    <vt:lpwstr/>
  </property>
  <property fmtid="{D5CDD505-2E9C-101B-9397-08002B2CF9AE}" pid="7" name="Docdest">
    <vt:lpwstr>Virtual, 7 December 2020</vt:lpwstr>
  </property>
  <property fmtid="{D5CDD505-2E9C-101B-9397-08002B2CF9AE}" pid="8" name="Docauthor">
    <vt:lpwstr>ITU-R Working Party 5A</vt:lpwstr>
  </property>
</Properties>
</file>