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7"/>
        <w:gridCol w:w="4534"/>
      </w:tblGrid>
      <w:tr w:rsidR="00A850F0" w:rsidRPr="00A850F0" w14:paraId="0DF6C7AE" w14:textId="77777777" w:rsidTr="003F6975">
        <w:trPr>
          <w:cantSplit/>
        </w:trPr>
        <w:tc>
          <w:tcPr>
            <w:tcW w:w="1191" w:type="dxa"/>
            <w:vMerge w:val="restart"/>
          </w:tcPr>
          <w:p w14:paraId="192D7E4D" w14:textId="77777777" w:rsidR="00A850F0" w:rsidRPr="00A850F0" w:rsidRDefault="00A850F0" w:rsidP="00A850F0">
            <w:pPr>
              <w:rPr>
                <w:sz w:val="20"/>
                <w:szCs w:val="20"/>
              </w:rPr>
            </w:pPr>
            <w:bookmarkStart w:id="0" w:name="_GoBack"/>
            <w:bookmarkStart w:id="1" w:name="dnum" w:colFirst="2" w:colLast="2"/>
            <w:bookmarkStart w:id="2" w:name="dtableau"/>
            <w:bookmarkEnd w:id="0"/>
            <w:r w:rsidRPr="00A850F0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623B63F" wp14:editId="031382F4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01530C25" w14:textId="77777777" w:rsidR="00A850F0" w:rsidRPr="00A850F0" w:rsidRDefault="00A850F0" w:rsidP="00A850F0">
            <w:pPr>
              <w:rPr>
                <w:sz w:val="16"/>
                <w:szCs w:val="16"/>
              </w:rPr>
            </w:pPr>
            <w:r w:rsidRPr="00A850F0">
              <w:rPr>
                <w:sz w:val="16"/>
                <w:szCs w:val="16"/>
              </w:rPr>
              <w:t>INTERNATIONAL TELECOMMUNICATION UNION</w:t>
            </w:r>
          </w:p>
          <w:p w14:paraId="6A059572" w14:textId="77777777" w:rsidR="00A850F0" w:rsidRPr="00A850F0" w:rsidRDefault="00A850F0" w:rsidP="00A850F0">
            <w:pPr>
              <w:rPr>
                <w:b/>
                <w:bCs/>
                <w:sz w:val="26"/>
                <w:szCs w:val="26"/>
              </w:rPr>
            </w:pPr>
            <w:r w:rsidRPr="00A850F0">
              <w:rPr>
                <w:b/>
                <w:bCs/>
                <w:sz w:val="26"/>
                <w:szCs w:val="26"/>
              </w:rPr>
              <w:t>TELECOMMUNICATION</w:t>
            </w:r>
            <w:r w:rsidRPr="00A850F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343247B" w14:textId="77777777" w:rsidR="00A850F0" w:rsidRPr="00A850F0" w:rsidRDefault="00A850F0" w:rsidP="00A850F0">
            <w:pPr>
              <w:rPr>
                <w:sz w:val="20"/>
                <w:szCs w:val="20"/>
              </w:rPr>
            </w:pPr>
            <w:r w:rsidRPr="00A850F0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A850F0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71DB87D4" w14:textId="585ECC93" w:rsidR="00A850F0" w:rsidRPr="00A850F0" w:rsidRDefault="00A850F0" w:rsidP="00A850F0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SCV-TD127</w:t>
            </w:r>
          </w:p>
        </w:tc>
      </w:tr>
      <w:tr w:rsidR="00A850F0" w:rsidRPr="00A850F0" w14:paraId="47473C8E" w14:textId="77777777" w:rsidTr="003F6975">
        <w:trPr>
          <w:cantSplit/>
        </w:trPr>
        <w:tc>
          <w:tcPr>
            <w:tcW w:w="1191" w:type="dxa"/>
            <w:vMerge/>
          </w:tcPr>
          <w:p w14:paraId="4F5714D5" w14:textId="77777777" w:rsidR="00A850F0" w:rsidRPr="00A850F0" w:rsidRDefault="00A850F0" w:rsidP="00A850F0">
            <w:pPr>
              <w:rPr>
                <w:smallCaps/>
                <w:sz w:val="20"/>
              </w:rPr>
            </w:pPr>
            <w:bookmarkStart w:id="4" w:name="dsg" w:colFirst="2" w:colLast="2"/>
            <w:bookmarkEnd w:id="1"/>
          </w:p>
        </w:tc>
        <w:tc>
          <w:tcPr>
            <w:tcW w:w="4051" w:type="dxa"/>
            <w:gridSpan w:val="4"/>
            <w:vMerge/>
          </w:tcPr>
          <w:p w14:paraId="5AC7192D" w14:textId="77777777" w:rsidR="00A850F0" w:rsidRPr="00A850F0" w:rsidRDefault="00A850F0" w:rsidP="00A850F0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231DBF79" w14:textId="6DD7542B" w:rsidR="00A850F0" w:rsidRPr="00A850F0" w:rsidRDefault="00A850F0" w:rsidP="00A850F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4"/>
      <w:tr w:rsidR="00A850F0" w:rsidRPr="00A850F0" w14:paraId="131C4F9E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2EAE4E3" w14:textId="77777777" w:rsidR="00A850F0" w:rsidRPr="00A850F0" w:rsidRDefault="00A850F0" w:rsidP="00A850F0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585B8F03" w14:textId="77777777" w:rsidR="00A850F0" w:rsidRPr="00A850F0" w:rsidRDefault="00A850F0" w:rsidP="00A850F0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B8A48EB" w14:textId="77777777" w:rsidR="00A850F0" w:rsidRPr="00A850F0" w:rsidRDefault="00A850F0" w:rsidP="00A850F0">
            <w:pPr>
              <w:jc w:val="right"/>
              <w:rPr>
                <w:b/>
                <w:bCs/>
                <w:sz w:val="28"/>
                <w:szCs w:val="28"/>
              </w:rPr>
            </w:pPr>
            <w:r w:rsidRPr="00A850F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850F0" w:rsidRPr="00A850F0" w14:paraId="24FF491E" w14:textId="77777777" w:rsidTr="003F6975">
        <w:trPr>
          <w:cantSplit/>
        </w:trPr>
        <w:tc>
          <w:tcPr>
            <w:tcW w:w="1617" w:type="dxa"/>
            <w:gridSpan w:val="3"/>
          </w:tcPr>
          <w:p w14:paraId="4027179F" w14:textId="77777777" w:rsidR="00A850F0" w:rsidRPr="00A850F0" w:rsidRDefault="00A850F0" w:rsidP="00A850F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A850F0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36C20395" w14:textId="78C4ED5A" w:rsidR="00A850F0" w:rsidRPr="00A850F0" w:rsidRDefault="00A850F0" w:rsidP="00A850F0"/>
        </w:tc>
        <w:tc>
          <w:tcPr>
            <w:tcW w:w="4681" w:type="dxa"/>
            <w:gridSpan w:val="2"/>
          </w:tcPr>
          <w:p w14:paraId="4C103648" w14:textId="008A4FF0" w:rsidR="00A850F0" w:rsidRPr="00A850F0" w:rsidRDefault="00A850F0" w:rsidP="00A850F0">
            <w:pPr>
              <w:jc w:val="right"/>
            </w:pPr>
            <w:r w:rsidRPr="00A850F0">
              <w:t>Virtual, 7 December2020</w:t>
            </w:r>
          </w:p>
        </w:tc>
      </w:tr>
      <w:tr w:rsidR="00A850F0" w:rsidRPr="00A850F0" w14:paraId="7A5AECB3" w14:textId="77777777" w:rsidTr="003F6975">
        <w:trPr>
          <w:cantSplit/>
        </w:trPr>
        <w:tc>
          <w:tcPr>
            <w:tcW w:w="9923" w:type="dxa"/>
            <w:gridSpan w:val="7"/>
          </w:tcPr>
          <w:p w14:paraId="028637F4" w14:textId="77777777" w:rsidR="00A850F0" w:rsidRPr="00A850F0" w:rsidRDefault="00A850F0" w:rsidP="00A850F0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A850F0">
              <w:rPr>
                <w:b/>
                <w:bCs/>
              </w:rPr>
              <w:t>TD</w:t>
            </w:r>
          </w:p>
          <w:p w14:paraId="70A4B905" w14:textId="721D35E6" w:rsidR="00A850F0" w:rsidRPr="00A850F0" w:rsidRDefault="00A850F0" w:rsidP="00A850F0">
            <w:pPr>
              <w:jc w:val="center"/>
              <w:rPr>
                <w:b/>
                <w:bCs/>
              </w:rPr>
            </w:pPr>
            <w:r w:rsidRPr="00A850F0">
              <w:rPr>
                <w:b/>
                <w:bCs/>
              </w:rPr>
              <w:t>(Ref.: SG2-LS150)</w:t>
            </w:r>
          </w:p>
        </w:tc>
      </w:tr>
      <w:tr w:rsidR="00A850F0" w:rsidRPr="00A850F0" w14:paraId="0A6B0611" w14:textId="77777777" w:rsidTr="003F6975">
        <w:trPr>
          <w:cantSplit/>
        </w:trPr>
        <w:tc>
          <w:tcPr>
            <w:tcW w:w="1617" w:type="dxa"/>
            <w:gridSpan w:val="3"/>
          </w:tcPr>
          <w:p w14:paraId="0D3780D9" w14:textId="77777777" w:rsidR="00A850F0" w:rsidRPr="00A850F0" w:rsidRDefault="00A850F0" w:rsidP="00A850F0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A850F0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2556B503" w14:textId="55294D41" w:rsidR="00A850F0" w:rsidRPr="00A850F0" w:rsidRDefault="00A850F0" w:rsidP="00A850F0">
            <w:r w:rsidRPr="00A850F0">
              <w:t>ITU-T Study Group 2</w:t>
            </w:r>
          </w:p>
        </w:tc>
      </w:tr>
      <w:tr w:rsidR="00A850F0" w:rsidRPr="00A850F0" w14:paraId="76038BF5" w14:textId="77777777" w:rsidTr="003F6975">
        <w:trPr>
          <w:cantSplit/>
        </w:trPr>
        <w:tc>
          <w:tcPr>
            <w:tcW w:w="1617" w:type="dxa"/>
            <w:gridSpan w:val="3"/>
          </w:tcPr>
          <w:p w14:paraId="46D462B6" w14:textId="77777777" w:rsidR="00A850F0" w:rsidRPr="00A850F0" w:rsidRDefault="00A850F0" w:rsidP="00A850F0">
            <w:bookmarkStart w:id="9" w:name="dtitle1" w:colFirst="1" w:colLast="1"/>
            <w:bookmarkEnd w:id="8"/>
            <w:r w:rsidRPr="00A850F0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5CDBC438" w14:textId="2C8590C1" w:rsidR="00A850F0" w:rsidRPr="00A850F0" w:rsidRDefault="00A850F0" w:rsidP="00A850F0">
            <w:r w:rsidRPr="00A850F0">
              <w:t>LS on SCV activity in SG2</w:t>
            </w:r>
          </w:p>
        </w:tc>
      </w:tr>
      <w:tr w:rsidR="00A850F0" w:rsidRPr="00A850F0" w14:paraId="14C1B404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011D1A43" w14:textId="77777777" w:rsidR="00A850F0" w:rsidRPr="00A850F0" w:rsidRDefault="00A850F0" w:rsidP="00A850F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A850F0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54853150" w14:textId="1B0F0EC3" w:rsidR="00A850F0" w:rsidRPr="00A850F0" w:rsidRDefault="00A850F0" w:rsidP="00A850F0">
            <w:r w:rsidRPr="00A850F0">
              <w:t>Action</w:t>
            </w:r>
          </w:p>
        </w:tc>
      </w:tr>
      <w:bookmarkEnd w:id="2"/>
      <w:bookmarkEnd w:id="10"/>
      <w:tr w:rsidR="00FE3BB1" w14:paraId="44B65A58" w14:textId="77777777" w:rsidTr="004E557A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F93D099" w14:textId="77777777" w:rsidR="00FE3BB1" w:rsidRDefault="001C32D0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E3BB1" w14:paraId="40AD889E" w14:textId="77777777"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</w:tcPr>
          <w:p w14:paraId="22B4B6DD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09D80E69" w14:textId="77777777" w:rsidR="00FE3BB1" w:rsidRDefault="001C32D0" w:rsidP="003B61C7">
            <w:pPr>
              <w:pStyle w:val="LSForAction"/>
              <w:rPr>
                <w:rFonts w:eastAsiaTheme="minorEastAsia"/>
                <w:lang w:eastAsia="zh-CN"/>
              </w:rPr>
            </w:pPr>
            <w:r>
              <w:t>SCV/CCV</w:t>
            </w:r>
            <w:r w:rsidR="00FE2F53">
              <w:t xml:space="preserve">, </w:t>
            </w:r>
            <w:r w:rsidR="003B61C7" w:rsidRPr="004E557A">
              <w:t>ITU-T SG9, SG12, SG13, SG15, SG16, SG17, SG20</w:t>
            </w:r>
          </w:p>
        </w:tc>
      </w:tr>
      <w:tr w:rsidR="00FE3BB1" w14:paraId="43EE97D1" w14:textId="77777777"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</w:tcPr>
          <w:p w14:paraId="5C5EF142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15A6557" w14:textId="77777777" w:rsidR="00FE3BB1" w:rsidRDefault="001C32D0">
            <w:pPr>
              <w:pStyle w:val="LSForComment"/>
            </w:pPr>
            <w:r>
              <w:t>-</w:t>
            </w:r>
          </w:p>
        </w:tc>
      </w:tr>
      <w:tr w:rsidR="00FE3BB1" w:rsidRPr="001C32D0" w14:paraId="542F4AF3" w14:textId="77777777" w:rsidTr="00E37586"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</w:tcPr>
          <w:p w14:paraId="33430544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D2DE177" w14:textId="5AE3AC4E" w:rsidR="00FE3BB1" w:rsidRDefault="00AF61FD">
            <w:pPr>
              <w:rPr>
                <w:lang w:val="fr-CH" w:eastAsia="zh-CN"/>
              </w:rPr>
            </w:pPr>
            <w:r>
              <w:rPr>
                <w:lang w:val="fr-CH" w:eastAsia="zh-CN"/>
              </w:rPr>
              <w:t>-</w:t>
            </w:r>
          </w:p>
        </w:tc>
      </w:tr>
      <w:tr w:rsidR="00FE3BB1" w14:paraId="409BEE54" w14:textId="77777777" w:rsidTr="00E37586"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</w:tcPr>
          <w:p w14:paraId="355B3960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07B4DD56" w14:textId="7B603D09" w:rsidR="00FE3BB1" w:rsidRDefault="001C32D0">
            <w:r>
              <w:t xml:space="preserve">ITU-T </w:t>
            </w:r>
            <w:r>
              <w:rPr>
                <w:lang w:eastAsia="zh-CN"/>
              </w:rPr>
              <w:t>S</w:t>
            </w:r>
            <w:r w:rsidR="00E37586">
              <w:rPr>
                <w:lang w:eastAsia="zh-CN"/>
              </w:rPr>
              <w:t xml:space="preserve">tudy </w:t>
            </w:r>
            <w:r>
              <w:rPr>
                <w:lang w:eastAsia="zh-CN"/>
              </w:rPr>
              <w:t>G</w:t>
            </w:r>
            <w:r w:rsidR="00E37586">
              <w:rPr>
                <w:lang w:eastAsia="zh-CN"/>
              </w:rPr>
              <w:t xml:space="preserve">roup </w:t>
            </w:r>
            <w:r>
              <w:rPr>
                <w:lang w:eastAsia="zh-CN"/>
              </w:rPr>
              <w:t>2</w:t>
            </w:r>
            <w:r>
              <w:t xml:space="preserve"> meeting (</w:t>
            </w:r>
            <w:r w:rsidR="008C6570">
              <w:t>Virtual, 5 June 2020</w:t>
            </w:r>
            <w:r>
              <w:t>)</w:t>
            </w:r>
          </w:p>
        </w:tc>
      </w:tr>
      <w:tr w:rsidR="00FE3BB1" w14:paraId="67C971BB" w14:textId="77777777" w:rsidTr="00E37586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12EE4C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4CB506" w14:textId="77777777" w:rsidR="00FE3BB1" w:rsidRDefault="001C32D0">
            <w:pPr>
              <w:pStyle w:val="LSDeadline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-</w:t>
            </w:r>
          </w:p>
        </w:tc>
      </w:tr>
      <w:tr w:rsidR="00FE3BB1" w:rsidRPr="00B8710A" w14:paraId="41B40781" w14:textId="77777777" w:rsidTr="00E37586">
        <w:trPr>
          <w:cantSplit/>
        </w:trPr>
        <w:tc>
          <w:tcPr>
            <w:tcW w:w="1607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61D08DF" w14:textId="77777777" w:rsidR="00FE3BB1" w:rsidRPr="004E557A" w:rsidRDefault="001C32D0">
            <w:pPr>
              <w:rPr>
                <w:b/>
                <w:bCs/>
              </w:rPr>
            </w:pPr>
            <w:r w:rsidRPr="004E557A">
              <w:rPr>
                <w:b/>
                <w:bCs/>
              </w:rPr>
              <w:t>Contact: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12EA291B" w14:textId="77777777" w:rsidR="00FE3BB1" w:rsidRPr="004E557A" w:rsidRDefault="00F77780">
            <w:sdt>
              <w:sdtPr>
                <w:alias w:val="ContactNameOrgCountry"/>
                <w:id w:val="1240128638"/>
                <w:text/>
              </w:sdtPr>
              <w:sdtEndPr/>
              <w:sdtContent>
                <w:r w:rsidR="001C32D0" w:rsidRPr="004E557A">
                  <w:t>Dmitry Cherkesov</w:t>
                </w:r>
                <w:r w:rsidR="001C32D0" w:rsidRPr="004E557A">
                  <w:br/>
                  <w:t>Russian Federation</w:t>
                </w:r>
              </w:sdtContent>
            </w:sdt>
          </w:p>
        </w:tc>
        <w:tc>
          <w:tcPr>
            <w:tcW w:w="453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C37BF56" w14:textId="77777777" w:rsidR="00FE3BB1" w:rsidRPr="004E557A" w:rsidRDefault="001C32D0">
            <w:pPr>
              <w:rPr>
                <w:lang w:val="fr-CH"/>
              </w:rPr>
            </w:pPr>
            <w:r w:rsidRPr="004E557A">
              <w:rPr>
                <w:lang w:val="pt-BR"/>
              </w:rPr>
              <w:t xml:space="preserve">Tel: </w:t>
            </w:r>
            <w:r w:rsidRPr="004E557A">
              <w:rPr>
                <w:lang w:val="pt-BR"/>
              </w:rPr>
              <w:tab/>
            </w:r>
            <w:r w:rsidRPr="004E557A">
              <w:rPr>
                <w:lang w:val="fr-CH"/>
              </w:rPr>
              <w:t>+7 985 239 06 00</w:t>
            </w:r>
            <w:r w:rsidRPr="004E557A">
              <w:rPr>
                <w:lang w:val="pt-BR"/>
              </w:rPr>
              <w:br/>
              <w:t xml:space="preserve">E-mail: </w:t>
            </w:r>
            <w:hyperlink r:id="rId12">
              <w:r w:rsidRPr="004E557A">
                <w:rPr>
                  <w:rStyle w:val="-"/>
                  <w:rFonts w:ascii="Times New Roman" w:hAnsi="Times New Roman"/>
                  <w:lang w:val="pt-BR"/>
                </w:rPr>
                <w:t>dcherkesov@</w:t>
              </w:r>
              <w:r w:rsidRPr="004E557A">
                <w:rPr>
                  <w:rStyle w:val="-"/>
                  <w:rFonts w:ascii="Times New Roman" w:hAnsi="Times New Roman"/>
                  <w:lang w:val="fr-CH"/>
                </w:rPr>
                <w:t>gmail.com</w:t>
              </w:r>
            </w:hyperlink>
            <w:r w:rsidRPr="004E557A">
              <w:rPr>
                <w:lang w:val="fr-CH"/>
              </w:rPr>
              <w:t xml:space="preserve"> </w:t>
            </w:r>
            <w:r w:rsidRPr="004E557A">
              <w:rPr>
                <w:lang w:val="pt-BR"/>
              </w:rPr>
              <w:t xml:space="preserve"> </w:t>
            </w:r>
          </w:p>
        </w:tc>
      </w:tr>
    </w:tbl>
    <w:p w14:paraId="3290C1B9" w14:textId="77777777" w:rsidR="00FE3BB1" w:rsidRPr="001C32D0" w:rsidRDefault="00FE3BB1">
      <w:pPr>
        <w:rPr>
          <w:lang w:val="fr-CH"/>
        </w:rPr>
      </w:pPr>
    </w:p>
    <w:tbl>
      <w:tblPr>
        <w:tblW w:w="97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146"/>
      </w:tblGrid>
      <w:tr w:rsidR="00FE3BB1" w14:paraId="445701D0" w14:textId="77777777">
        <w:trPr>
          <w:cantSplit/>
          <w:trHeight w:val="257"/>
        </w:trPr>
        <w:tc>
          <w:tcPr>
            <w:tcW w:w="1611" w:type="dxa"/>
            <w:shd w:val="clear" w:color="auto" w:fill="auto"/>
          </w:tcPr>
          <w:p w14:paraId="76649239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145" w:type="dxa"/>
            <w:shd w:val="clear" w:color="auto" w:fill="auto"/>
          </w:tcPr>
          <w:p w14:paraId="0B4A8182" w14:textId="3363C885" w:rsidR="00FE3BB1" w:rsidRDefault="00F77780">
            <w:sdt>
              <w:sdtPr>
                <w:alias w:val="Keywords"/>
                <w:id w:val="1183481452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C32D0">
                  <w:t>SCV</w:t>
                </w:r>
                <w:r w:rsidR="00AF61FD">
                  <w:t>,</w:t>
                </w:r>
                <w:r w:rsidR="001C32D0">
                  <w:t xml:space="preserve"> terms</w:t>
                </w:r>
                <w:r w:rsidR="00AF61FD">
                  <w:t>,</w:t>
                </w:r>
                <w:r w:rsidR="001C32D0">
                  <w:t xml:space="preserve"> definitions</w:t>
                </w:r>
                <w:r w:rsidR="00AF61FD">
                  <w:t>.</w:t>
                </w:r>
              </w:sdtContent>
            </w:sdt>
          </w:p>
        </w:tc>
      </w:tr>
      <w:tr w:rsidR="00FE3BB1" w14:paraId="0F07BB5B" w14:textId="77777777">
        <w:trPr>
          <w:cantSplit/>
          <w:trHeight w:val="467"/>
        </w:trPr>
        <w:tc>
          <w:tcPr>
            <w:tcW w:w="1611" w:type="dxa"/>
            <w:shd w:val="clear" w:color="auto" w:fill="auto"/>
          </w:tcPr>
          <w:p w14:paraId="58ED5B22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145" w:type="dxa"/>
            <w:shd w:val="clear" w:color="auto" w:fill="auto"/>
          </w:tcPr>
          <w:sdt>
            <w:sdtPr>
              <w:alias w:val="ContactTelFaxEmail"/>
              <w:id w:val="1752757923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EndPr/>
            <w:sdtContent>
              <w:p w14:paraId="24CE07A3" w14:textId="77777777" w:rsidR="00FE3BB1" w:rsidRDefault="001C32D0">
                <w:r>
                  <w:rPr>
                    <w:lang w:val="en-US"/>
                  </w:rPr>
                  <w:t>Liaison to SCV regarding current terms and definition activities within SG2.</w:t>
                </w:r>
              </w:p>
            </w:sdtContent>
          </w:sdt>
        </w:tc>
      </w:tr>
    </w:tbl>
    <w:p w14:paraId="36AB3BF2" w14:textId="6C89974F" w:rsidR="00FE3BB1" w:rsidRDefault="001C32D0" w:rsidP="00AF61FD">
      <w:r>
        <w:t xml:space="preserve">ITU-T </w:t>
      </w:r>
      <w:r w:rsidR="00AF61FD">
        <w:t>Study Group 2</w:t>
      </w:r>
      <w:r>
        <w:t xml:space="preserve"> thanks SCV/CCV and </w:t>
      </w:r>
      <w:r w:rsidR="00AF61FD">
        <w:t xml:space="preserve">the study groups </w:t>
      </w:r>
      <w:r>
        <w:t xml:space="preserve">for the alignment </w:t>
      </w:r>
      <w:r w:rsidR="00AF61FD">
        <w:t xml:space="preserve">of </w:t>
      </w:r>
      <w:r>
        <w:t>terms and definitions work.</w:t>
      </w:r>
    </w:p>
    <w:p w14:paraId="62277AFE" w14:textId="3E67DA56" w:rsidR="00FE3BB1" w:rsidRDefault="001C32D0">
      <w:pPr>
        <w:pStyle w:val="ListParagraph"/>
        <w:numPr>
          <w:ilvl w:val="0"/>
          <w:numId w:val="1"/>
        </w:numPr>
        <w:contextualSpacing/>
        <w:rPr>
          <w:lang w:val="en-US" w:eastAsia="zh-CN"/>
        </w:rPr>
      </w:pPr>
      <w:r>
        <w:rPr>
          <w:lang w:val="en-US" w:eastAsia="zh-CN"/>
        </w:rPr>
        <w:t xml:space="preserve">At </w:t>
      </w:r>
      <w:r w:rsidR="00AF61FD">
        <w:rPr>
          <w:lang w:val="en-US" w:eastAsia="zh-CN"/>
        </w:rPr>
        <w:t xml:space="preserve">the recent </w:t>
      </w:r>
      <w:r>
        <w:rPr>
          <w:lang w:val="en-US" w:eastAsia="zh-CN"/>
        </w:rPr>
        <w:t>ITU-T Study Group 2 meeting (</w:t>
      </w:r>
      <w:r w:rsidR="00AF61FD">
        <w:t>virtual</w:t>
      </w:r>
      <w:r w:rsidR="008C6570">
        <w:t>, 27 May - 5 June 2020</w:t>
      </w:r>
      <w:r>
        <w:rPr>
          <w:lang w:val="en-US" w:eastAsia="zh-CN"/>
        </w:rPr>
        <w:t xml:space="preserve">) we </w:t>
      </w:r>
      <w:r w:rsidR="008C6570">
        <w:rPr>
          <w:lang w:val="en-US" w:eastAsia="zh-CN"/>
        </w:rPr>
        <w:t xml:space="preserve">did not </w:t>
      </w:r>
      <w:r w:rsidR="00AF61FD">
        <w:rPr>
          <w:lang w:val="en-US" w:eastAsia="zh-CN"/>
        </w:rPr>
        <w:t>discuss</w:t>
      </w:r>
      <w:r>
        <w:rPr>
          <w:lang w:val="en-US" w:eastAsia="zh-CN"/>
        </w:rPr>
        <w:t xml:space="preserve"> the results of the last SCV/CCV meeting </w:t>
      </w:r>
      <w:r w:rsidR="008C6570">
        <w:rPr>
          <w:lang w:val="en-US" w:eastAsia="zh-CN"/>
        </w:rPr>
        <w:t>due to the late incoming liaisons from SCV</w:t>
      </w:r>
      <w:r>
        <w:rPr>
          <w:lang w:val="en-US" w:eastAsia="zh-CN"/>
        </w:rPr>
        <w:t>.</w:t>
      </w:r>
      <w:r w:rsidR="008C6570">
        <w:rPr>
          <w:lang w:val="en-US" w:eastAsia="zh-CN"/>
        </w:rPr>
        <w:t xml:space="preserve"> </w:t>
      </w:r>
      <w:r w:rsidR="00AF61FD">
        <w:rPr>
          <w:lang w:val="en-US" w:eastAsia="zh-CN"/>
        </w:rPr>
        <w:t>These matters</w:t>
      </w:r>
      <w:r w:rsidR="008C6570">
        <w:rPr>
          <w:lang w:val="en-US" w:eastAsia="zh-CN"/>
        </w:rPr>
        <w:t xml:space="preserve"> will be discussed by correspondence.</w:t>
      </w:r>
      <w:r>
        <w:rPr>
          <w:lang w:val="en-US" w:eastAsia="zh-CN"/>
        </w:rPr>
        <w:t xml:space="preserve"> </w:t>
      </w:r>
    </w:p>
    <w:p w14:paraId="1FA65870" w14:textId="77777777" w:rsidR="00FE3BB1" w:rsidRDefault="001C32D0">
      <w:pPr>
        <w:pStyle w:val="ListParagraph"/>
        <w:numPr>
          <w:ilvl w:val="0"/>
          <w:numId w:val="1"/>
        </w:numPr>
        <w:contextualSpacing/>
      </w:pPr>
      <w:r>
        <w:t xml:space="preserve">At this SG2 meeting, following SCV and SGs recommendations, we </w:t>
      </w:r>
      <w:r w:rsidR="00C21C0C">
        <w:t xml:space="preserve">are developing new </w:t>
      </w:r>
      <w:r>
        <w:t>definitions for following terms:</w:t>
      </w:r>
    </w:p>
    <w:p w14:paraId="4B9B8552" w14:textId="77777777" w:rsidR="008C6570" w:rsidRPr="008C6570" w:rsidRDefault="008C6570" w:rsidP="008C6570">
      <w:pPr>
        <w:pStyle w:val="ListParagraph"/>
        <w:numPr>
          <w:ilvl w:val="1"/>
          <w:numId w:val="1"/>
        </w:numPr>
        <w:contextualSpacing/>
        <w:rPr>
          <w:rFonts w:eastAsia="MS Mincho" w:cs="Arial"/>
          <w:szCs w:val="20"/>
          <w:lang w:eastAsia="en-US"/>
        </w:rPr>
      </w:pPr>
      <w:r w:rsidRPr="008C6570">
        <w:rPr>
          <w:rFonts w:eastAsia="MS Mincho" w:cs="Arial"/>
          <w:b/>
          <w:bCs/>
          <w:szCs w:val="20"/>
          <w:lang w:eastAsia="en-US"/>
        </w:rPr>
        <w:t>artificial intelligence model library</w:t>
      </w:r>
      <w:r w:rsidRPr="008C6570">
        <w:rPr>
          <w:rFonts w:eastAsia="MS Mincho" w:cs="Arial"/>
          <w:szCs w:val="20"/>
          <w:lang w:eastAsia="en-US"/>
        </w:rPr>
        <w:t xml:space="preserve">: The part of the archive that contains and manages the artificial intelligence models and is thus responsible for the storage and preservation of the </w:t>
      </w:r>
      <w:bookmarkStart w:id="11" w:name="_Hlk41913254"/>
      <w:r w:rsidRPr="008C6570">
        <w:rPr>
          <w:rFonts w:eastAsia="MS Mincho" w:cs="Arial"/>
          <w:szCs w:val="20"/>
          <w:lang w:eastAsia="en-US"/>
        </w:rPr>
        <w:t>artificial intelligence</w:t>
      </w:r>
      <w:bookmarkEnd w:id="11"/>
      <w:r w:rsidRPr="008C6570">
        <w:rPr>
          <w:rFonts w:eastAsia="MS Mincho" w:cs="Arial"/>
          <w:szCs w:val="20"/>
          <w:lang w:eastAsia="en-US"/>
        </w:rPr>
        <w:t xml:space="preserve"> models.</w:t>
      </w:r>
    </w:p>
    <w:p w14:paraId="28568351" w14:textId="77777777" w:rsidR="008C6570" w:rsidRPr="008C6570" w:rsidRDefault="008C6570" w:rsidP="008C6570">
      <w:pPr>
        <w:pStyle w:val="ListParagraph"/>
        <w:numPr>
          <w:ilvl w:val="1"/>
          <w:numId w:val="1"/>
        </w:numPr>
        <w:contextualSpacing/>
        <w:rPr>
          <w:rFonts w:eastAsia="MS Mincho" w:cs="Arial"/>
          <w:szCs w:val="20"/>
          <w:lang w:eastAsia="en-US"/>
        </w:rPr>
      </w:pPr>
      <w:r w:rsidRPr="008C6570">
        <w:rPr>
          <w:rFonts w:eastAsia="MS Mincho" w:cs="Arial"/>
          <w:b/>
          <w:bCs/>
          <w:szCs w:val="20"/>
          <w:lang w:eastAsia="en-US"/>
        </w:rPr>
        <w:t>artificial intelligence pipeline</w:t>
      </w:r>
      <w:r w:rsidRPr="008C6570">
        <w:rPr>
          <w:rFonts w:eastAsia="MS Mincho" w:cs="Arial"/>
          <w:szCs w:val="20"/>
          <w:lang w:eastAsia="en-US"/>
        </w:rPr>
        <w:t>: A set of logical nodes, each with specific functionalities, that can be combined to form an artificial intelligence application in a telecommunication network.</w:t>
      </w:r>
    </w:p>
    <w:p w14:paraId="19F87CD1" w14:textId="77777777" w:rsidR="008C6570" w:rsidRPr="008C6570" w:rsidRDefault="008C6570" w:rsidP="008C6570">
      <w:pPr>
        <w:pStyle w:val="ListParagraph"/>
        <w:numPr>
          <w:ilvl w:val="1"/>
          <w:numId w:val="1"/>
        </w:numPr>
        <w:contextualSpacing/>
        <w:rPr>
          <w:rFonts w:eastAsia="MS Mincho" w:cs="Arial"/>
          <w:szCs w:val="20"/>
          <w:lang w:eastAsia="en-US"/>
        </w:rPr>
      </w:pPr>
      <w:r w:rsidRPr="008C6570">
        <w:rPr>
          <w:rFonts w:eastAsia="MS Mincho" w:cs="Arial"/>
          <w:b/>
          <w:bCs/>
          <w:szCs w:val="20"/>
          <w:lang w:eastAsia="en-US"/>
        </w:rPr>
        <w:t>application Gateway</w:t>
      </w:r>
      <w:r w:rsidRPr="008C6570">
        <w:rPr>
          <w:rFonts w:eastAsia="MS Mincho" w:cs="Arial"/>
          <w:szCs w:val="20"/>
          <w:lang w:eastAsia="en-US"/>
        </w:rPr>
        <w:t>: A function or device that manages the access of different applications.</w:t>
      </w:r>
    </w:p>
    <w:p w14:paraId="6CD90EDA" w14:textId="77777777" w:rsidR="008C6570" w:rsidRPr="008C6570" w:rsidRDefault="008C6570" w:rsidP="008C6570">
      <w:pPr>
        <w:pStyle w:val="ListParagraph"/>
        <w:numPr>
          <w:ilvl w:val="1"/>
          <w:numId w:val="1"/>
        </w:numPr>
        <w:contextualSpacing/>
        <w:rPr>
          <w:rFonts w:eastAsia="MS Mincho" w:cs="Arial"/>
          <w:szCs w:val="20"/>
          <w:lang w:eastAsia="en-US"/>
        </w:rPr>
      </w:pPr>
      <w:r w:rsidRPr="008C6570">
        <w:rPr>
          <w:rFonts w:eastAsia="MS Mincho" w:cs="Arial"/>
          <w:b/>
          <w:bCs/>
          <w:szCs w:val="20"/>
          <w:lang w:eastAsia="en-US"/>
        </w:rPr>
        <w:t>compute Engine</w:t>
      </w:r>
      <w:r w:rsidRPr="008C6570">
        <w:rPr>
          <w:rFonts w:eastAsia="MS Mincho" w:cs="Arial"/>
          <w:szCs w:val="20"/>
          <w:lang w:eastAsia="en-US"/>
        </w:rPr>
        <w:t>: A framework which provides running environment or coding resources in the context of artificial intelligence based applications or developments.</w:t>
      </w:r>
    </w:p>
    <w:p w14:paraId="5E1BB27C" w14:textId="536116E2" w:rsidR="008C6570" w:rsidRPr="008C6570" w:rsidRDefault="008C6570" w:rsidP="008C6570">
      <w:pPr>
        <w:pStyle w:val="ListParagraph"/>
        <w:numPr>
          <w:ilvl w:val="1"/>
          <w:numId w:val="1"/>
        </w:numPr>
        <w:contextualSpacing/>
        <w:rPr>
          <w:rFonts w:eastAsia="MS Mincho" w:cs="Arial"/>
          <w:szCs w:val="20"/>
          <w:lang w:eastAsia="en-US"/>
        </w:rPr>
      </w:pPr>
      <w:r w:rsidRPr="008C6570">
        <w:rPr>
          <w:rFonts w:eastAsia="MS Mincho" w:cs="Arial"/>
          <w:b/>
          <w:bCs/>
          <w:szCs w:val="20"/>
          <w:lang w:eastAsia="en-US"/>
        </w:rPr>
        <w:t>data lake</w:t>
      </w:r>
      <w:r w:rsidR="00AF61FD">
        <w:rPr>
          <w:rFonts w:eastAsia="MS Mincho" w:cs="Arial"/>
          <w:szCs w:val="20"/>
          <w:lang w:eastAsia="en-US"/>
        </w:rPr>
        <w:t>: A</w:t>
      </w:r>
      <w:r w:rsidRPr="008C6570">
        <w:rPr>
          <w:rFonts w:eastAsia="MS Mincho" w:cs="Arial"/>
          <w:szCs w:val="20"/>
          <w:lang w:eastAsia="en-US"/>
        </w:rPr>
        <w:t xml:space="preserve"> system or library which provides the capability of processing data including storage, cleaning, filtering</w:t>
      </w:r>
      <w:r w:rsidR="00AF61FD">
        <w:rPr>
          <w:rFonts w:eastAsia="MS Mincho" w:cs="Arial"/>
          <w:szCs w:val="20"/>
          <w:lang w:eastAsia="en-US"/>
        </w:rPr>
        <w:t>,</w:t>
      </w:r>
      <w:r w:rsidRPr="008C6570">
        <w:rPr>
          <w:rFonts w:eastAsia="MS Mincho" w:cs="Arial"/>
          <w:szCs w:val="20"/>
          <w:lang w:eastAsia="en-US"/>
        </w:rPr>
        <w:t xml:space="preserve"> and so on.</w:t>
      </w:r>
    </w:p>
    <w:p w14:paraId="679B3176" w14:textId="194FE192" w:rsidR="008C6570" w:rsidRPr="008C6570" w:rsidRDefault="008C6570" w:rsidP="008C6570">
      <w:pPr>
        <w:pStyle w:val="ListParagraph"/>
        <w:numPr>
          <w:ilvl w:val="1"/>
          <w:numId w:val="1"/>
        </w:numPr>
        <w:contextualSpacing/>
        <w:rPr>
          <w:rFonts w:eastAsia="MS Mincho" w:cs="Arial"/>
          <w:szCs w:val="20"/>
          <w:lang w:eastAsia="en-US"/>
        </w:rPr>
      </w:pPr>
      <w:r w:rsidRPr="008C6570">
        <w:rPr>
          <w:rFonts w:eastAsia="MS Mincho" w:cs="Arial"/>
          <w:b/>
          <w:bCs/>
          <w:szCs w:val="20"/>
          <w:lang w:eastAsia="en-US"/>
        </w:rPr>
        <w:t>distributor</w:t>
      </w:r>
      <w:r w:rsidRPr="008C6570">
        <w:rPr>
          <w:rFonts w:eastAsia="MS Mincho" w:cs="Arial"/>
          <w:szCs w:val="20"/>
          <w:lang w:eastAsia="en-US"/>
        </w:rPr>
        <w:t xml:space="preserve">: The entity </w:t>
      </w:r>
      <w:r w:rsidR="00AF61FD">
        <w:rPr>
          <w:rFonts w:eastAsia="MS Mincho" w:cs="Arial"/>
          <w:szCs w:val="20"/>
          <w:lang w:eastAsia="en-US"/>
        </w:rPr>
        <w:t>that</w:t>
      </w:r>
      <w:r w:rsidRPr="008C6570">
        <w:rPr>
          <w:rFonts w:eastAsia="MS Mincho" w:cs="Arial"/>
          <w:szCs w:val="20"/>
          <w:lang w:eastAsia="en-US"/>
        </w:rPr>
        <w:t xml:space="preserve"> distributes the policy results to </w:t>
      </w:r>
      <w:r w:rsidR="00AF61FD">
        <w:rPr>
          <w:rFonts w:eastAsia="MS Mincho" w:cs="Arial"/>
          <w:szCs w:val="20"/>
          <w:lang w:eastAsia="en-US"/>
        </w:rPr>
        <w:t xml:space="preserve">a </w:t>
      </w:r>
      <w:r w:rsidRPr="008C6570">
        <w:rPr>
          <w:rFonts w:eastAsia="MS Mincho" w:cs="Arial"/>
          <w:szCs w:val="20"/>
          <w:lang w:eastAsia="en-US"/>
        </w:rPr>
        <w:t>targeted object.</w:t>
      </w:r>
    </w:p>
    <w:p w14:paraId="47C563B8" w14:textId="77777777" w:rsidR="00163E8D" w:rsidRPr="008C6570" w:rsidRDefault="00163E8D" w:rsidP="00163E8D">
      <w:pPr>
        <w:pStyle w:val="ListParagraph"/>
        <w:ind w:left="1440" w:firstLine="0"/>
        <w:contextualSpacing/>
      </w:pPr>
    </w:p>
    <w:p w14:paraId="7A8F5A3D" w14:textId="77777777" w:rsidR="002B1912" w:rsidRPr="00C21C0C" w:rsidRDefault="002B1912" w:rsidP="002B1912">
      <w:pPr>
        <w:pStyle w:val="ListParagraph"/>
        <w:ind w:left="1440" w:firstLine="0"/>
        <w:contextualSpacing/>
        <w:rPr>
          <w:lang w:val="en-US"/>
        </w:rPr>
      </w:pPr>
    </w:p>
    <w:p w14:paraId="6885D28A" w14:textId="77777777" w:rsidR="008C6570" w:rsidRPr="008C6570" w:rsidRDefault="001C32D0">
      <w:pPr>
        <w:numPr>
          <w:ilvl w:val="0"/>
          <w:numId w:val="1"/>
        </w:numPr>
        <w:tabs>
          <w:tab w:val="left" w:pos="1560"/>
          <w:tab w:val="left" w:pos="1588"/>
          <w:tab w:val="left" w:pos="1985"/>
        </w:tabs>
        <w:overflowPunct w:val="0"/>
        <w:jc w:val="both"/>
      </w:pPr>
      <w:r>
        <w:rPr>
          <w:color w:val="000000"/>
        </w:rPr>
        <w:t xml:space="preserve">SG2 </w:t>
      </w:r>
      <w:r w:rsidR="00C21C0C">
        <w:rPr>
          <w:color w:val="000000"/>
        </w:rPr>
        <w:t xml:space="preserve">considered </w:t>
      </w:r>
      <w:r w:rsidR="00F67ACB">
        <w:rPr>
          <w:color w:val="000000"/>
        </w:rPr>
        <w:t xml:space="preserve">terms and </w:t>
      </w:r>
      <w:r w:rsidR="00C21C0C">
        <w:rPr>
          <w:color w:val="000000"/>
        </w:rPr>
        <w:t xml:space="preserve">definitions from </w:t>
      </w:r>
      <w:r w:rsidR="00C21C0C" w:rsidRPr="00C21C0C">
        <w:rPr>
          <w:b/>
          <w:bCs/>
          <w:color w:val="000000"/>
        </w:rPr>
        <w:t>SG</w:t>
      </w:r>
      <w:r w:rsidR="008C6570">
        <w:rPr>
          <w:b/>
          <w:bCs/>
          <w:color w:val="000000"/>
        </w:rPr>
        <w:t>9</w:t>
      </w:r>
      <w:r w:rsidR="00C21C0C" w:rsidRPr="00F67ACB">
        <w:rPr>
          <w:color w:val="000000"/>
        </w:rPr>
        <w:t xml:space="preserve">. Some of them </w:t>
      </w:r>
      <w:r w:rsidR="00F67ACB">
        <w:rPr>
          <w:color w:val="000000"/>
        </w:rPr>
        <w:t>are</w:t>
      </w:r>
      <w:r w:rsidR="00C21C0C" w:rsidRPr="00F67ACB">
        <w:rPr>
          <w:color w:val="000000"/>
        </w:rPr>
        <w:t xml:space="preserve"> useful and </w:t>
      </w:r>
      <w:r w:rsidR="008C6570">
        <w:rPr>
          <w:color w:val="000000"/>
        </w:rPr>
        <w:t>can</w:t>
      </w:r>
      <w:r w:rsidR="00C21C0C" w:rsidRPr="00F67ACB">
        <w:rPr>
          <w:color w:val="000000"/>
        </w:rPr>
        <w:t xml:space="preserve"> be used in the future SG2 Recommendations</w:t>
      </w:r>
      <w:r w:rsidR="008C6570">
        <w:rPr>
          <w:color w:val="000000"/>
        </w:rPr>
        <w:t xml:space="preserve">. </w:t>
      </w:r>
    </w:p>
    <w:p w14:paraId="70EAE60D" w14:textId="77777777" w:rsidR="008C6570" w:rsidRDefault="008C6570" w:rsidP="008C6570">
      <w:pPr>
        <w:pStyle w:val="ListParagraph"/>
        <w:numPr>
          <w:ilvl w:val="0"/>
          <w:numId w:val="1"/>
        </w:numPr>
      </w:pPr>
      <w:r>
        <w:t xml:space="preserve">We have some concerns about the following terms that </w:t>
      </w:r>
      <w:r w:rsidRPr="00B4539D">
        <w:rPr>
          <w:b/>
          <w:bCs/>
        </w:rPr>
        <w:t>SG9</w:t>
      </w:r>
      <w:r>
        <w:t xml:space="preserve"> provided in </w:t>
      </w:r>
      <w:r w:rsidRPr="00B4539D">
        <w:rPr>
          <w:b/>
          <w:bCs/>
        </w:rPr>
        <w:t>J.1012</w:t>
      </w:r>
      <w:r>
        <w:t>:</w:t>
      </w:r>
    </w:p>
    <w:p w14:paraId="7E886C77" w14:textId="5ED6A73A" w:rsidR="008C6570" w:rsidRPr="00AF61FD" w:rsidRDefault="008C6570" w:rsidP="00AF61FD">
      <w:pPr>
        <w:pStyle w:val="ListParagraph"/>
        <w:numPr>
          <w:ilvl w:val="1"/>
          <w:numId w:val="1"/>
        </w:numPr>
        <w:contextualSpacing/>
      </w:pPr>
      <w:r w:rsidRPr="00AF61FD">
        <w:rPr>
          <w:b/>
          <w:bCs/>
        </w:rPr>
        <w:t>Service</w:t>
      </w:r>
      <w:r w:rsidR="00AF61FD" w:rsidRPr="00AF61FD">
        <w:rPr>
          <w:b/>
          <w:bCs/>
        </w:rPr>
        <w:t xml:space="preserve"> </w:t>
      </w:r>
      <w:r w:rsidRPr="00AF61FD">
        <w:rPr>
          <w:b/>
          <w:bCs/>
        </w:rPr>
        <w:t>(J.1211)</w:t>
      </w:r>
      <w:r w:rsidRPr="00AF61FD">
        <w:t>: Service is a series of programs which is broadcasted in stages according to a time schedule under the control of the broadcaster.</w:t>
      </w:r>
    </w:p>
    <w:p w14:paraId="52B61939" w14:textId="4D604C29" w:rsidR="008C6570" w:rsidRPr="00AF61FD" w:rsidRDefault="008C6570" w:rsidP="00AF61FD">
      <w:pPr>
        <w:pStyle w:val="ListParagraph"/>
        <w:numPr>
          <w:ilvl w:val="1"/>
          <w:numId w:val="1"/>
        </w:numPr>
        <w:contextualSpacing/>
      </w:pPr>
      <w:r w:rsidRPr="00AF61FD">
        <w:rPr>
          <w:b/>
          <w:bCs/>
        </w:rPr>
        <w:t>Service Information (J.1211)</w:t>
      </w:r>
      <w:r w:rsidRPr="00AF61FD">
        <w:t>: Service information in this Recommendation describes the data information such as delivery systems, contents and plans/schedules of broadcast data streams, etc., including PSI information of MPEG-2 and independently defined extensions</w:t>
      </w:r>
      <w:r w:rsidR="00AF61FD" w:rsidRPr="00AF61FD">
        <w:t>.</w:t>
      </w:r>
    </w:p>
    <w:p w14:paraId="2EF2939F" w14:textId="77777777" w:rsidR="008C6570" w:rsidRPr="00AF61FD" w:rsidRDefault="008C6570" w:rsidP="00AF61FD">
      <w:pPr>
        <w:pStyle w:val="ListParagraph"/>
        <w:numPr>
          <w:ilvl w:val="1"/>
          <w:numId w:val="1"/>
        </w:numPr>
        <w:contextualSpacing/>
      </w:pPr>
      <w:r w:rsidRPr="00AF61FD">
        <w:rPr>
          <w:b/>
          <w:bCs/>
        </w:rPr>
        <w:t>Entity</w:t>
      </w:r>
      <w:r w:rsidRPr="00AF61FD">
        <w:rPr>
          <w:rFonts w:eastAsia="MS Mincho"/>
          <w:b/>
          <w:bCs/>
        </w:rPr>
        <w:t>（</w:t>
      </w:r>
      <w:r w:rsidRPr="00AF61FD">
        <w:rPr>
          <w:b/>
          <w:bCs/>
        </w:rPr>
        <w:t>J.1012</w:t>
      </w:r>
      <w:r w:rsidRPr="00AF61FD">
        <w:rPr>
          <w:rFonts w:eastAsia="MS Mincho"/>
          <w:b/>
          <w:bCs/>
        </w:rPr>
        <w:t>）</w:t>
      </w:r>
      <w:r w:rsidRPr="00AF61FD">
        <w:rPr>
          <w:b/>
          <w:bCs/>
        </w:rPr>
        <w:t xml:space="preserve">: </w:t>
      </w:r>
      <w:r w:rsidRPr="00AF61FD">
        <w:t>organization (e.g., manufacturer, operator or security vendor) or real world item (e.g., ECI Host, Platform Operation or ECI Client) identified by a unique ID in an ECI Ecosystem.</w:t>
      </w:r>
    </w:p>
    <w:p w14:paraId="2B161487" w14:textId="77777777" w:rsidR="008C6570" w:rsidRPr="00AF61FD" w:rsidRDefault="008C6570" w:rsidP="00AF61FD">
      <w:pPr>
        <w:pStyle w:val="ListParagraph"/>
        <w:numPr>
          <w:ilvl w:val="1"/>
          <w:numId w:val="1"/>
        </w:numPr>
        <w:contextualSpacing/>
        <w:rPr>
          <w:lang w:val="en-US"/>
        </w:rPr>
      </w:pPr>
      <w:r w:rsidRPr="00AF61FD">
        <w:rPr>
          <w:b/>
          <w:bCs/>
          <w:lang w:val="en-US"/>
        </w:rPr>
        <w:t xml:space="preserve">Operator（J.1012）: </w:t>
      </w:r>
      <w:r w:rsidRPr="00AF61FD">
        <w:rPr>
          <w:lang w:val="en-US"/>
        </w:rPr>
        <w:t xml:space="preserve">Organization </w:t>
      </w:r>
      <w:r w:rsidRPr="00AF61FD">
        <w:t>that</w:t>
      </w:r>
      <w:r w:rsidRPr="00AF61FD">
        <w:rPr>
          <w:lang w:val="en-US"/>
        </w:rPr>
        <w:t xml:space="preserve"> provides Platform Operations that is enlisted with the ECI TA for signing the ECI Ecosystem.</w:t>
      </w:r>
    </w:p>
    <w:p w14:paraId="091E49C0" w14:textId="77777777" w:rsidR="008C6570" w:rsidRPr="00AF61FD" w:rsidRDefault="008C6570" w:rsidP="00AF61FD">
      <w:pPr>
        <w:pStyle w:val="ListParagraph"/>
        <w:ind w:left="792" w:firstLine="0"/>
        <w:contextualSpacing/>
        <w:rPr>
          <w:lang w:val="en-US"/>
        </w:rPr>
      </w:pPr>
      <w:r w:rsidRPr="00AF61FD">
        <w:rPr>
          <w:lang w:val="en-US"/>
        </w:rPr>
        <w:t xml:space="preserve">NOTE – An Operator may operate </w:t>
      </w:r>
      <w:r w:rsidRPr="00AF61FD">
        <w:t>multiple</w:t>
      </w:r>
      <w:r w:rsidRPr="00AF61FD">
        <w:rPr>
          <w:lang w:val="en-US"/>
        </w:rPr>
        <w:t xml:space="preserve"> Platform Operations.</w:t>
      </w:r>
    </w:p>
    <w:p w14:paraId="6A0001E5" w14:textId="77777777" w:rsidR="008C6570" w:rsidRPr="00AF61FD" w:rsidRDefault="008C6570" w:rsidP="00AF61FD">
      <w:pPr>
        <w:pStyle w:val="ListParagraph"/>
        <w:numPr>
          <w:ilvl w:val="1"/>
          <w:numId w:val="1"/>
        </w:numPr>
        <w:contextualSpacing/>
        <w:rPr>
          <w:lang w:val="en-US"/>
        </w:rPr>
      </w:pPr>
      <w:r w:rsidRPr="00AF61FD">
        <w:rPr>
          <w:b/>
          <w:bCs/>
          <w:lang w:val="en-US"/>
        </w:rPr>
        <w:t xml:space="preserve">Request（J.1012）: </w:t>
      </w:r>
      <w:r w:rsidRPr="00AF61FD">
        <w:rPr>
          <w:lang w:val="en-US"/>
        </w:rPr>
        <w:t xml:space="preserve">A message </w:t>
      </w:r>
      <w:r w:rsidRPr="00AF61FD">
        <w:t>from</w:t>
      </w:r>
      <w:r w:rsidRPr="00AF61FD">
        <w:rPr>
          <w:lang w:val="en-US"/>
        </w:rPr>
        <w:t xml:space="preserve"> a sender to a receiver asking for certain information or to perform certain operation within an ECI Ecosystem, which is specified in the data fields of that request.</w:t>
      </w:r>
    </w:p>
    <w:p w14:paraId="1D55A268" w14:textId="77777777" w:rsidR="008C6570" w:rsidRPr="00AF61FD" w:rsidRDefault="008C6570" w:rsidP="00AF61FD">
      <w:pPr>
        <w:pStyle w:val="ListParagraph"/>
        <w:numPr>
          <w:ilvl w:val="1"/>
          <w:numId w:val="1"/>
        </w:numPr>
        <w:contextualSpacing/>
        <w:rPr>
          <w:lang w:val="en-US"/>
        </w:rPr>
      </w:pPr>
      <w:r w:rsidRPr="00AF61FD">
        <w:rPr>
          <w:b/>
          <w:bCs/>
          <w:lang w:val="en-US"/>
        </w:rPr>
        <w:t xml:space="preserve">Response（J.1012）: </w:t>
      </w:r>
      <w:r w:rsidRPr="00AF61FD">
        <w:rPr>
          <w:lang w:val="en-US"/>
        </w:rPr>
        <w:t xml:space="preserve">A </w:t>
      </w:r>
      <w:r w:rsidRPr="00AF61FD">
        <w:t>message</w:t>
      </w:r>
      <w:r w:rsidRPr="00AF61FD">
        <w:rPr>
          <w:lang w:val="en-US"/>
        </w:rPr>
        <w:t xml:space="preserve"> within an ECI Ecosystem answering a request.</w:t>
      </w:r>
    </w:p>
    <w:p w14:paraId="79443F0D" w14:textId="77777777" w:rsidR="008C6570" w:rsidRPr="00AF61FD" w:rsidRDefault="008C6570" w:rsidP="00AF61FD">
      <w:pPr>
        <w:pStyle w:val="ListParagraph"/>
        <w:numPr>
          <w:ilvl w:val="1"/>
          <w:numId w:val="1"/>
        </w:numPr>
        <w:contextualSpacing/>
        <w:rPr>
          <w:lang w:val="en-US"/>
        </w:rPr>
      </w:pPr>
      <w:r w:rsidRPr="00AF61FD">
        <w:rPr>
          <w:b/>
          <w:bCs/>
          <w:lang w:val="en-US"/>
        </w:rPr>
        <w:t xml:space="preserve">Root（J.1012）: </w:t>
      </w:r>
      <w:r w:rsidRPr="00AF61FD">
        <w:rPr>
          <w:lang w:val="en-US"/>
        </w:rPr>
        <w:t xml:space="preserve">A public </w:t>
      </w:r>
      <w:r w:rsidRPr="00AF61FD">
        <w:t>key</w:t>
      </w:r>
      <w:r w:rsidRPr="00AF61FD">
        <w:rPr>
          <w:lang w:val="en-US"/>
        </w:rPr>
        <w:t xml:space="preserve"> or Certificate containing a public key that serves as the basis for authenticating a chain of Certificates.</w:t>
      </w:r>
    </w:p>
    <w:p w14:paraId="4A33DCAB" w14:textId="77777777" w:rsidR="008C6570" w:rsidRPr="00AF61FD" w:rsidRDefault="008C6570" w:rsidP="00AF61FD">
      <w:pPr>
        <w:pStyle w:val="ListParagraph"/>
        <w:numPr>
          <w:ilvl w:val="1"/>
          <w:numId w:val="1"/>
        </w:numPr>
        <w:contextualSpacing/>
        <w:rPr>
          <w:lang w:val="en-US"/>
        </w:rPr>
      </w:pPr>
      <w:r w:rsidRPr="00AF61FD">
        <w:rPr>
          <w:b/>
          <w:bCs/>
          <w:lang w:val="en-US"/>
        </w:rPr>
        <w:t>User（J.1012）:</w:t>
      </w:r>
      <w:r w:rsidRPr="00AF61FD">
        <w:rPr>
          <w:lang w:val="en-US"/>
        </w:rPr>
        <w:t xml:space="preserve"> A person who operates an ECI compliant device.</w:t>
      </w:r>
    </w:p>
    <w:p w14:paraId="42A56B35" w14:textId="26DAEAE4" w:rsidR="008C6570" w:rsidRPr="008C6570" w:rsidRDefault="008C6570" w:rsidP="00AF61FD">
      <w:pPr>
        <w:pStyle w:val="15"/>
        <w:spacing w:before="120" w:beforeAutospacing="0" w:afterAutospacing="0"/>
        <w:ind w:left="360"/>
        <w:rPr>
          <w:rFonts w:ascii="Times New Roman" w:hAnsi="Times New Roman" w:cs="Times New Roman"/>
          <w:lang w:val="en-US"/>
        </w:rPr>
      </w:pPr>
      <w:r w:rsidRPr="008C6570">
        <w:rPr>
          <w:rFonts w:ascii="Times New Roman" w:hAnsi="Times New Roman" w:cs="Times New Roman"/>
          <w:lang w:val="en-US"/>
        </w:rPr>
        <w:t xml:space="preserve">The above terms are very general </w:t>
      </w:r>
      <w:r w:rsidR="00AF61FD" w:rsidRPr="008C6570">
        <w:rPr>
          <w:rFonts w:ascii="Times New Roman" w:hAnsi="Times New Roman" w:cs="Times New Roman"/>
          <w:lang w:val="en-US"/>
        </w:rPr>
        <w:t xml:space="preserve">expressions </w:t>
      </w:r>
      <w:r w:rsidRPr="008C6570">
        <w:rPr>
          <w:rFonts w:ascii="Times New Roman" w:hAnsi="Times New Roman" w:cs="Times New Roman"/>
          <w:lang w:val="en-US"/>
        </w:rPr>
        <w:t xml:space="preserve">in English, which in </w:t>
      </w:r>
      <w:r w:rsidR="00AF61FD">
        <w:rPr>
          <w:rFonts w:ascii="Times New Roman" w:hAnsi="Times New Roman" w:cs="Times New Roman"/>
          <w:lang w:val="en-US"/>
        </w:rPr>
        <w:t xml:space="preserve">SG2 </w:t>
      </w:r>
      <w:r w:rsidRPr="008C6570">
        <w:rPr>
          <w:rFonts w:ascii="Times New Roman" w:hAnsi="Times New Roman" w:cs="Times New Roman"/>
          <w:lang w:val="en-US"/>
        </w:rPr>
        <w:t xml:space="preserve">or other </w:t>
      </w:r>
      <w:r w:rsidR="00AF61FD" w:rsidRPr="008C6570">
        <w:rPr>
          <w:rFonts w:ascii="Times New Roman" w:hAnsi="Times New Roman" w:cs="Times New Roman"/>
          <w:lang w:val="en-US"/>
        </w:rPr>
        <w:t xml:space="preserve">study groups </w:t>
      </w:r>
      <w:r w:rsidRPr="008C6570">
        <w:rPr>
          <w:rFonts w:ascii="Times New Roman" w:hAnsi="Times New Roman" w:cs="Times New Roman"/>
          <w:lang w:val="en-US"/>
        </w:rPr>
        <w:t>may have different meanings, and to redefine these terms may cause confusion. We would like to advise SG9 to re-word these terms so that the name of the above terms can be unique, in order to avoid confusions or redefinitions of the same te</w:t>
      </w:r>
      <w:r w:rsidR="00AF61FD">
        <w:rPr>
          <w:rFonts w:ascii="Times New Roman" w:hAnsi="Times New Roman" w:cs="Times New Roman"/>
          <w:lang w:val="en-US"/>
        </w:rPr>
        <w:t>rm with different meanings</w:t>
      </w:r>
      <w:r w:rsidRPr="008C6570">
        <w:rPr>
          <w:rFonts w:ascii="Times New Roman" w:hAnsi="Times New Roman" w:cs="Times New Roman"/>
          <w:lang w:val="en-US"/>
        </w:rPr>
        <w:t xml:space="preserve"> (for example, Operator --&gt; ECI Operator, User --&gt; ECI user, </w:t>
      </w:r>
      <w:r w:rsidR="00AF61FD">
        <w:rPr>
          <w:rFonts w:ascii="Times New Roman" w:hAnsi="Times New Roman" w:cs="Times New Roman"/>
          <w:lang w:val="en-US"/>
        </w:rPr>
        <w:t>etc.</w:t>
      </w:r>
      <w:r w:rsidRPr="008C6570">
        <w:rPr>
          <w:rFonts w:ascii="Times New Roman" w:hAnsi="Times New Roman" w:cs="Times New Roman"/>
          <w:lang w:val="en-US"/>
        </w:rPr>
        <w:t>)</w:t>
      </w:r>
      <w:r w:rsidR="00AF61FD">
        <w:rPr>
          <w:rFonts w:ascii="Times New Roman" w:hAnsi="Times New Roman" w:cs="Times New Roman"/>
          <w:lang w:val="en-US"/>
        </w:rPr>
        <w:t>.</w:t>
      </w:r>
    </w:p>
    <w:p w14:paraId="5F0E96FC" w14:textId="77777777" w:rsidR="00FE3BB1" w:rsidRDefault="001C32D0" w:rsidP="004E557A">
      <w:pPr>
        <w:jc w:val="center"/>
      </w:pPr>
      <w:r>
        <w:t>_______________________</w:t>
      </w:r>
    </w:p>
    <w:sectPr w:rsidR="00FE3BB1" w:rsidSect="00A850F0">
      <w:headerReference w:type="default" r:id="rId13"/>
      <w:pgSz w:w="11906" w:h="16838"/>
      <w:pgMar w:top="1417" w:right="1134" w:bottom="1417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87A7F" w14:textId="77777777" w:rsidR="00F77780" w:rsidRDefault="00F77780">
      <w:pPr>
        <w:spacing w:before="0"/>
      </w:pPr>
      <w:r>
        <w:separator/>
      </w:r>
    </w:p>
  </w:endnote>
  <w:endnote w:type="continuationSeparator" w:id="0">
    <w:p w14:paraId="15BFE2D7" w14:textId="77777777" w:rsidR="00F77780" w:rsidRDefault="00F777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62CC9" w14:textId="77777777" w:rsidR="00F77780" w:rsidRDefault="00F77780">
      <w:pPr>
        <w:spacing w:before="0"/>
      </w:pPr>
      <w:r>
        <w:separator/>
      </w:r>
    </w:p>
  </w:footnote>
  <w:footnote w:type="continuationSeparator" w:id="0">
    <w:p w14:paraId="01FDDC6A" w14:textId="77777777" w:rsidR="00F77780" w:rsidRDefault="00F777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EDFA6" w14:textId="3DC180C7" w:rsidR="009418DE" w:rsidRPr="00A850F0" w:rsidRDefault="00A850F0" w:rsidP="00A850F0">
    <w:pPr>
      <w:pStyle w:val="Header"/>
      <w:rPr>
        <w:sz w:val="18"/>
      </w:rPr>
    </w:pPr>
    <w:r w:rsidRPr="00A850F0">
      <w:rPr>
        <w:sz w:val="18"/>
      </w:rPr>
      <w:t xml:space="preserve">- </w:t>
    </w:r>
    <w:r w:rsidRPr="00A850F0">
      <w:rPr>
        <w:sz w:val="18"/>
      </w:rPr>
      <w:fldChar w:fldCharType="begin"/>
    </w:r>
    <w:r w:rsidRPr="00A850F0">
      <w:rPr>
        <w:sz w:val="18"/>
      </w:rPr>
      <w:instrText xml:space="preserve"> PAGE  \* MERGEFORMAT </w:instrText>
    </w:r>
    <w:r w:rsidRPr="00A850F0">
      <w:rPr>
        <w:sz w:val="18"/>
      </w:rPr>
      <w:fldChar w:fldCharType="separate"/>
    </w:r>
    <w:r w:rsidRPr="00A850F0">
      <w:rPr>
        <w:noProof/>
        <w:sz w:val="18"/>
      </w:rPr>
      <w:t>1</w:t>
    </w:r>
    <w:r w:rsidRPr="00A850F0">
      <w:rPr>
        <w:sz w:val="18"/>
      </w:rPr>
      <w:fldChar w:fldCharType="end"/>
    </w:r>
    <w:r w:rsidRPr="00A850F0">
      <w:rPr>
        <w:sz w:val="18"/>
      </w:rPr>
      <w:t xml:space="preserve"> -</w:t>
    </w:r>
  </w:p>
  <w:p w14:paraId="05DB8163" w14:textId="26B60F77" w:rsidR="00A850F0" w:rsidRPr="00A850F0" w:rsidRDefault="00A850F0" w:rsidP="00A850F0">
    <w:pPr>
      <w:pStyle w:val="Header"/>
      <w:spacing w:after="240"/>
      <w:rPr>
        <w:sz w:val="18"/>
      </w:rPr>
    </w:pPr>
    <w:r w:rsidRPr="00A850F0">
      <w:rPr>
        <w:sz w:val="18"/>
      </w:rPr>
      <w:fldChar w:fldCharType="begin"/>
    </w:r>
    <w:r w:rsidRPr="00A850F0">
      <w:rPr>
        <w:sz w:val="18"/>
      </w:rPr>
      <w:instrText xml:space="preserve"> STYLEREF  Docnumber  </w:instrText>
    </w:r>
    <w:r>
      <w:rPr>
        <w:sz w:val="18"/>
      </w:rPr>
      <w:fldChar w:fldCharType="separate"/>
    </w:r>
    <w:r w:rsidR="005D6E44">
      <w:rPr>
        <w:noProof/>
        <w:sz w:val="18"/>
      </w:rPr>
      <w:t>SCV-TD127</w:t>
    </w:r>
    <w:r w:rsidRPr="00A850F0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4FE4EE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eastAsia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AE23622"/>
    <w:lvl w:ilvl="0" w:tplc="02EA3360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3D08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89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206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354028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B1"/>
    <w:rsid w:val="000178E5"/>
    <w:rsid w:val="000215D4"/>
    <w:rsid w:val="0005329D"/>
    <w:rsid w:val="00153A39"/>
    <w:rsid w:val="00163E8D"/>
    <w:rsid w:val="001A5C52"/>
    <w:rsid w:val="001C10D5"/>
    <w:rsid w:val="001C32D0"/>
    <w:rsid w:val="002470A7"/>
    <w:rsid w:val="002B1912"/>
    <w:rsid w:val="002E3CD5"/>
    <w:rsid w:val="00332914"/>
    <w:rsid w:val="003B61C7"/>
    <w:rsid w:val="003C16C2"/>
    <w:rsid w:val="004E557A"/>
    <w:rsid w:val="00551CDB"/>
    <w:rsid w:val="005D6E44"/>
    <w:rsid w:val="00743BC3"/>
    <w:rsid w:val="0078151A"/>
    <w:rsid w:val="007A470B"/>
    <w:rsid w:val="007C39CD"/>
    <w:rsid w:val="00823351"/>
    <w:rsid w:val="008C6570"/>
    <w:rsid w:val="008C7B4A"/>
    <w:rsid w:val="008D3BC6"/>
    <w:rsid w:val="00904CA3"/>
    <w:rsid w:val="0091254D"/>
    <w:rsid w:val="00931011"/>
    <w:rsid w:val="009418DE"/>
    <w:rsid w:val="00A850F0"/>
    <w:rsid w:val="00AF61FD"/>
    <w:rsid w:val="00B06023"/>
    <w:rsid w:val="00B4539D"/>
    <w:rsid w:val="00B8710A"/>
    <w:rsid w:val="00C21C0C"/>
    <w:rsid w:val="00C53263"/>
    <w:rsid w:val="00C7734B"/>
    <w:rsid w:val="00CE5801"/>
    <w:rsid w:val="00D3606D"/>
    <w:rsid w:val="00D81E67"/>
    <w:rsid w:val="00D84F2F"/>
    <w:rsid w:val="00E303B2"/>
    <w:rsid w:val="00E37586"/>
    <w:rsid w:val="00F1527F"/>
    <w:rsid w:val="00F67ACB"/>
    <w:rsid w:val="00F77780"/>
    <w:rsid w:val="00FA79AA"/>
    <w:rsid w:val="00FE2F5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20F5"/>
  <w15:docId w15:val="{7E8E00A0-2E00-4138-94F4-194F0E5C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Выделение1"/>
    <w:basedOn w:val="DefaultParagraphFont"/>
    <w:uiPriority w:val="20"/>
    <w:qFormat/>
    <w:rsid w:val="00394DBF"/>
    <w:rPr>
      <w:i/>
      <w:iCs/>
    </w:rPr>
  </w:style>
  <w:style w:type="character" w:customStyle="1" w:styleId="a1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link w:val="2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3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sid w:val="00D81E67"/>
    <w:rPr>
      <w:rFonts w:cs="Times New Roman"/>
    </w:rPr>
  </w:style>
  <w:style w:type="character" w:customStyle="1" w:styleId="ListLabel2">
    <w:name w:val="ListLabel 2"/>
    <w:qFormat/>
    <w:rsid w:val="00D81E67"/>
    <w:rPr>
      <w:rFonts w:cs="Times New Roman"/>
    </w:rPr>
  </w:style>
  <w:style w:type="character" w:customStyle="1" w:styleId="ListLabel3">
    <w:name w:val="ListLabel 3"/>
    <w:qFormat/>
    <w:rsid w:val="00D81E67"/>
    <w:rPr>
      <w:rFonts w:cs="Courier New"/>
    </w:rPr>
  </w:style>
  <w:style w:type="character" w:customStyle="1" w:styleId="ListLabel4">
    <w:name w:val="ListLabel 4"/>
    <w:qFormat/>
    <w:rsid w:val="00D81E67"/>
    <w:rPr>
      <w:rFonts w:cs="Courier New"/>
    </w:rPr>
  </w:style>
  <w:style w:type="character" w:customStyle="1" w:styleId="ListLabel5">
    <w:name w:val="ListLabel 5"/>
    <w:qFormat/>
    <w:rsid w:val="00D81E67"/>
    <w:rPr>
      <w:rFonts w:cs="Courier New"/>
    </w:rPr>
  </w:style>
  <w:style w:type="character" w:customStyle="1" w:styleId="ListLabel6">
    <w:name w:val="ListLabel 6"/>
    <w:qFormat/>
    <w:rsid w:val="00D81E67"/>
    <w:rPr>
      <w:rFonts w:ascii="Times New Roman" w:hAnsi="Times New Roman"/>
      <w:lang w:val="pt-BR"/>
    </w:rPr>
  </w:style>
  <w:style w:type="character" w:customStyle="1" w:styleId="ListLabel7">
    <w:name w:val="ListLabel 7"/>
    <w:qFormat/>
    <w:rsid w:val="00D81E67"/>
    <w:rPr>
      <w:rFonts w:ascii="Times New Roman" w:hAnsi="Times New Roman"/>
    </w:rPr>
  </w:style>
  <w:style w:type="character" w:customStyle="1" w:styleId="ListLabel48">
    <w:name w:val="ListLabel 48"/>
    <w:qFormat/>
    <w:rsid w:val="00D81E67"/>
  </w:style>
  <w:style w:type="character" w:customStyle="1" w:styleId="ListLabel49">
    <w:name w:val="ListLabel 49"/>
    <w:qFormat/>
    <w:rsid w:val="00D81E67"/>
    <w:rPr>
      <w:rFonts w:cs="Symbol"/>
    </w:rPr>
  </w:style>
  <w:style w:type="character" w:customStyle="1" w:styleId="ListLabel50">
    <w:name w:val="ListLabel 50"/>
    <w:qFormat/>
    <w:rsid w:val="00D81E67"/>
    <w:rPr>
      <w:lang w:val="pt-BR"/>
    </w:rPr>
  </w:style>
  <w:style w:type="character" w:customStyle="1" w:styleId="ListLabel51">
    <w:name w:val="ListLabel 51"/>
    <w:qFormat/>
    <w:rsid w:val="00D81E67"/>
  </w:style>
  <w:style w:type="character" w:customStyle="1" w:styleId="ListLabel52">
    <w:name w:val="ListLabel 52"/>
    <w:qFormat/>
    <w:rsid w:val="00D81E67"/>
  </w:style>
  <w:style w:type="character" w:customStyle="1" w:styleId="a4">
    <w:name w:val="Маркеры списка"/>
    <w:qFormat/>
    <w:rsid w:val="00D81E67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81E67"/>
  </w:style>
  <w:style w:type="paragraph" w:customStyle="1" w:styleId="a6">
    <w:name w:val="Заголовок"/>
    <w:basedOn w:val="Normal"/>
    <w:next w:val="BodyText"/>
    <w:qFormat/>
    <w:rsid w:val="00D81E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81E67"/>
    <w:pPr>
      <w:spacing w:before="0" w:after="140" w:line="276" w:lineRule="auto"/>
    </w:pPr>
  </w:style>
  <w:style w:type="paragraph" w:styleId="List">
    <w:name w:val="List"/>
    <w:basedOn w:val="BodyText"/>
    <w:rsid w:val="00D81E67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Указатель1"/>
    <w:basedOn w:val="Normal"/>
    <w:qFormat/>
    <w:rsid w:val="00D81E67"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7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sid w:val="00D81E67"/>
    <w:rPr>
      <w:rFonts w:eastAsia="Times New Roman" w:cs="Calibri"/>
      <w:sz w:val="22"/>
      <w:szCs w:val="28"/>
      <w:lang w:val="ru-RU" w:eastAsia="ru-RU" w:bidi="th-TH"/>
    </w:rPr>
  </w:style>
  <w:style w:type="paragraph" w:customStyle="1" w:styleId="a8">
    <w:name w:val="Содержимое таблицы"/>
    <w:basedOn w:val="Normal"/>
    <w:qFormat/>
    <w:rsid w:val="00D81E67"/>
    <w:pPr>
      <w:suppressLineNumbers/>
    </w:pPr>
  </w:style>
  <w:style w:type="paragraph" w:customStyle="1" w:styleId="a9">
    <w:name w:val="Заголовок таблицы"/>
    <w:basedOn w:val="a8"/>
    <w:qFormat/>
    <w:rsid w:val="00D81E67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 &amp; title Char"/>
    <w:basedOn w:val="DefaultParagraphFont"/>
    <w:link w:val="TableNotitle"/>
    <w:rsid w:val="0078151A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tlid-translation">
    <w:name w:val="tlid-translation"/>
    <w:basedOn w:val="DefaultParagraphFont"/>
    <w:rsid w:val="00F67ACB"/>
  </w:style>
  <w:style w:type="paragraph" w:customStyle="1" w:styleId="15">
    <w:name w:val="15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paragraph" w:customStyle="1" w:styleId="16">
    <w:name w:val="16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character" w:styleId="Hyperlink">
    <w:name w:val="Hyperlink"/>
    <w:basedOn w:val="DefaultParagraphFont"/>
    <w:uiPriority w:val="99"/>
    <w:unhideWhenUsed/>
    <w:qFormat/>
    <w:rsid w:val="009418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cherkesov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1B524-A985-4859-B456-7ED2AAAC202E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CB03C980-5481-4F87-B29D-3D59218A3B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3389</Characters>
  <Application>Microsoft Office Word</Application>
  <DocSecurity>0</DocSecurity>
  <Lines>94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LS/o to SG20 regarding SG2 work on certain aspects of IoT naming, numbering and identification [to ITU-T SG20]</vt:lpstr>
      <vt:lpstr>LS/o to SG20 regarding SG2 work on certain aspects of IoT naming, numbering and identification [to ITU-T SG20]</vt:lpstr>
    </vt:vector>
  </TitlesOfParts>
  <Manager>ITU-T</Manager>
  <Company>International Telecommunication Union (ITU)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SCV activity in SG2</dc:title>
  <dc:creator>ITU-T Study Group 2</dc:creator>
  <cp:keywords>SCV, terms, definitions.</cp:keywords>
  <dc:description>TSAG-TD127  For: Virtual, 7 December2020Document date: Saved by ITU51015586 at 09:17:47 on 27/11/2020</dc:description>
  <cp:lastModifiedBy>TSB-AC</cp:lastModifiedBy>
  <cp:revision>2</cp:revision>
  <cp:lastPrinted>2016-12-23T12:52:00Z</cp:lastPrinted>
  <dcterms:created xsi:type="dcterms:W3CDTF">2020-11-27T08:19:00Z</dcterms:created>
  <dcterms:modified xsi:type="dcterms:W3CDTF">2020-11-27T08:19:00Z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ITU-T Study Group 2</vt:lpwstr>
  </property>
  <property fmtid="{D5CDD505-2E9C-101B-9397-08002B2CF9AE}" pid="6" name="Docbluepink">
    <vt:lpwstr>All/2</vt:lpwstr>
  </property>
  <property fmtid="{D5CDD505-2E9C-101B-9397-08002B2CF9AE}" pid="7" name="Docdate">
    <vt:lpwstr/>
  </property>
  <property fmtid="{D5CDD505-2E9C-101B-9397-08002B2CF9AE}" pid="8" name="Docdest">
    <vt:lpwstr>Virtual, 7 December2020</vt:lpwstr>
  </property>
  <property fmtid="{D5CDD505-2E9C-101B-9397-08002B2CF9AE}" pid="9" name="Docnum">
    <vt:lpwstr>TSAG-TD127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0x01010017487812B7DF734F899F9E259C366837</vt:lpwstr>
  </property>
</Properties>
</file>