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4681"/>
      </w:tblGrid>
      <w:tr w:rsidR="00A7244B" w:rsidRPr="00B2018E" w14:paraId="452361BB" w14:textId="77777777" w:rsidTr="000D1D69">
        <w:trPr>
          <w:cantSplit/>
        </w:trPr>
        <w:tc>
          <w:tcPr>
            <w:tcW w:w="1191" w:type="dxa"/>
            <w:vMerge w:val="restart"/>
          </w:tcPr>
          <w:p w14:paraId="1D065F08" w14:textId="77777777" w:rsidR="00A7244B" w:rsidRPr="00B2018E" w:rsidRDefault="00A7244B" w:rsidP="00A7244B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B2018E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2A6B40B" wp14:editId="5055CA0F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18788841" w14:textId="77777777" w:rsidR="00A7244B" w:rsidRPr="00B2018E" w:rsidRDefault="00A7244B" w:rsidP="00A7244B">
            <w:pPr>
              <w:rPr>
                <w:sz w:val="16"/>
                <w:szCs w:val="16"/>
              </w:rPr>
            </w:pPr>
            <w:r w:rsidRPr="00B2018E">
              <w:rPr>
                <w:sz w:val="16"/>
                <w:szCs w:val="16"/>
              </w:rPr>
              <w:t>INTERNATIONAL TELECOMMUNICATION UNION</w:t>
            </w:r>
          </w:p>
          <w:p w14:paraId="630FF0FD" w14:textId="77777777" w:rsidR="00A7244B" w:rsidRPr="00B2018E" w:rsidRDefault="00A7244B" w:rsidP="00A7244B">
            <w:pPr>
              <w:rPr>
                <w:b/>
                <w:bCs/>
                <w:sz w:val="26"/>
                <w:szCs w:val="26"/>
              </w:rPr>
            </w:pPr>
            <w:r w:rsidRPr="00B2018E">
              <w:rPr>
                <w:b/>
                <w:bCs/>
                <w:sz w:val="26"/>
                <w:szCs w:val="26"/>
              </w:rPr>
              <w:t>TELECOMMUNICATION</w:t>
            </w:r>
            <w:r w:rsidRPr="00B2018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59D0FC5" w14:textId="77777777" w:rsidR="00A7244B" w:rsidRPr="00B2018E" w:rsidRDefault="00A7244B" w:rsidP="00A7244B">
            <w:pPr>
              <w:rPr>
                <w:sz w:val="20"/>
                <w:szCs w:val="20"/>
              </w:rPr>
            </w:pPr>
            <w:r w:rsidRPr="00B2018E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B2018E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vAlign w:val="center"/>
          </w:tcPr>
          <w:p w14:paraId="2572EE0E" w14:textId="54AF87E4" w:rsidR="00A7244B" w:rsidRPr="00B2018E" w:rsidRDefault="00A7244B" w:rsidP="001566CA">
            <w:pPr>
              <w:pStyle w:val="Docnumber"/>
              <w:rPr>
                <w:sz w:val="32"/>
              </w:rPr>
            </w:pPr>
            <w:r w:rsidRPr="00B2018E">
              <w:rPr>
                <w:sz w:val="32"/>
              </w:rPr>
              <w:t>SCV-</w:t>
            </w:r>
            <w:r w:rsidR="0012650A" w:rsidRPr="0082353A">
              <w:rPr>
                <w:sz w:val="32"/>
              </w:rPr>
              <w:t>TD12</w:t>
            </w:r>
            <w:r w:rsidR="0018546E">
              <w:rPr>
                <w:sz w:val="32"/>
              </w:rPr>
              <w:t>5</w:t>
            </w:r>
          </w:p>
        </w:tc>
      </w:tr>
      <w:tr w:rsidR="00A7244B" w:rsidRPr="00B2018E" w14:paraId="21466FA3" w14:textId="77777777" w:rsidTr="000D1D69">
        <w:trPr>
          <w:cantSplit/>
        </w:trPr>
        <w:tc>
          <w:tcPr>
            <w:tcW w:w="1191" w:type="dxa"/>
            <w:vMerge/>
          </w:tcPr>
          <w:p w14:paraId="79692A2E" w14:textId="77777777" w:rsidR="00A7244B" w:rsidRPr="00B2018E" w:rsidRDefault="00A7244B" w:rsidP="00A7244B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52843274" w14:textId="77777777" w:rsidR="00A7244B" w:rsidRPr="00B2018E" w:rsidRDefault="00A7244B" w:rsidP="00A7244B">
            <w:pPr>
              <w:rPr>
                <w:smallCaps/>
                <w:sz w:val="20"/>
              </w:rPr>
            </w:pPr>
          </w:p>
        </w:tc>
        <w:tc>
          <w:tcPr>
            <w:tcW w:w="4681" w:type="dxa"/>
          </w:tcPr>
          <w:p w14:paraId="34905CD7" w14:textId="5DAF9909" w:rsidR="00A7244B" w:rsidRPr="00B2018E" w:rsidRDefault="00A7244B" w:rsidP="00A7244B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B2018E"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A7244B" w:rsidRPr="00B2018E" w14:paraId="1CCCCFDE" w14:textId="77777777" w:rsidTr="000D1D69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635774A" w14:textId="77777777" w:rsidR="00A7244B" w:rsidRPr="00B2018E" w:rsidRDefault="00A7244B" w:rsidP="00A7244B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6C2E18C3" w14:textId="77777777" w:rsidR="00A7244B" w:rsidRPr="00B2018E" w:rsidRDefault="00A7244B" w:rsidP="00A7244B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tcBorders>
              <w:bottom w:val="single" w:sz="12" w:space="0" w:color="auto"/>
            </w:tcBorders>
            <w:vAlign w:val="center"/>
          </w:tcPr>
          <w:p w14:paraId="3F78EA99" w14:textId="77777777" w:rsidR="00A7244B" w:rsidRPr="00B2018E" w:rsidRDefault="00A7244B" w:rsidP="00A7244B">
            <w:pPr>
              <w:jc w:val="right"/>
              <w:rPr>
                <w:b/>
                <w:bCs/>
                <w:sz w:val="28"/>
                <w:szCs w:val="28"/>
              </w:rPr>
            </w:pPr>
            <w:r w:rsidRPr="00B2018E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7244B" w:rsidRPr="00B2018E" w14:paraId="461A6D79" w14:textId="77777777" w:rsidTr="000D1D69">
        <w:trPr>
          <w:cantSplit/>
        </w:trPr>
        <w:tc>
          <w:tcPr>
            <w:tcW w:w="1617" w:type="dxa"/>
            <w:gridSpan w:val="2"/>
          </w:tcPr>
          <w:p w14:paraId="784F3AC8" w14:textId="063586E9" w:rsidR="00A7244B" w:rsidRPr="00B2018E" w:rsidRDefault="00A7244B" w:rsidP="00A7244B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3625" w:type="dxa"/>
          </w:tcPr>
          <w:p w14:paraId="128F0145" w14:textId="035CDCA6" w:rsidR="00A7244B" w:rsidRPr="00B2018E" w:rsidRDefault="00A7244B" w:rsidP="00A7244B"/>
        </w:tc>
        <w:tc>
          <w:tcPr>
            <w:tcW w:w="4681" w:type="dxa"/>
          </w:tcPr>
          <w:p w14:paraId="13307C3A" w14:textId="12EE4B42" w:rsidR="00A7244B" w:rsidRPr="00B2018E" w:rsidRDefault="0012650A" w:rsidP="00CF3A97">
            <w:pPr>
              <w:jc w:val="right"/>
            </w:pPr>
            <w:r>
              <w:t>1</w:t>
            </w:r>
            <w:r w:rsidR="00625DBC">
              <w:t>7</w:t>
            </w:r>
            <w:r w:rsidR="00DB2957">
              <w:t xml:space="preserve"> </w:t>
            </w:r>
            <w:r w:rsidR="0018546E">
              <w:t>July</w:t>
            </w:r>
            <w:r w:rsidR="00803C5E" w:rsidRPr="00B2018E">
              <w:t xml:space="preserve"> </w:t>
            </w:r>
            <w:r w:rsidR="00A7244B" w:rsidRPr="00B2018E">
              <w:t>20</w:t>
            </w:r>
            <w:r w:rsidR="003433F6">
              <w:t>20</w:t>
            </w:r>
          </w:p>
        </w:tc>
      </w:tr>
      <w:tr w:rsidR="00A7244B" w:rsidRPr="00B2018E" w14:paraId="70DB5147" w14:textId="77777777" w:rsidTr="000D1D69">
        <w:trPr>
          <w:cantSplit/>
        </w:trPr>
        <w:tc>
          <w:tcPr>
            <w:tcW w:w="9923" w:type="dxa"/>
            <w:gridSpan w:val="4"/>
          </w:tcPr>
          <w:p w14:paraId="7EE6A1D4" w14:textId="05523A15" w:rsidR="00A7244B" w:rsidRPr="00B2018E" w:rsidRDefault="00A7244B" w:rsidP="00A819D1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B2018E">
              <w:rPr>
                <w:b/>
                <w:bCs/>
              </w:rPr>
              <w:t>TD</w:t>
            </w:r>
          </w:p>
        </w:tc>
      </w:tr>
      <w:tr w:rsidR="00A7244B" w:rsidRPr="00B2018E" w14:paraId="21471F53" w14:textId="77777777" w:rsidTr="000D1D69">
        <w:trPr>
          <w:cantSplit/>
        </w:trPr>
        <w:tc>
          <w:tcPr>
            <w:tcW w:w="1617" w:type="dxa"/>
            <w:gridSpan w:val="2"/>
          </w:tcPr>
          <w:p w14:paraId="28C9F606" w14:textId="77777777" w:rsidR="00A7244B" w:rsidRPr="00B2018E" w:rsidRDefault="00A7244B" w:rsidP="00A7244B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B2018E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14:paraId="66F006F0" w14:textId="2790B66A" w:rsidR="00A7244B" w:rsidRPr="00B2018E" w:rsidRDefault="00A819D1" w:rsidP="00A7244B">
            <w:r w:rsidRPr="00B2018E">
              <w:t>SCV Chairman</w:t>
            </w:r>
          </w:p>
        </w:tc>
      </w:tr>
      <w:tr w:rsidR="00A7244B" w:rsidRPr="00B2018E" w14:paraId="080DB622" w14:textId="77777777" w:rsidTr="000D1D69">
        <w:trPr>
          <w:cantSplit/>
        </w:trPr>
        <w:tc>
          <w:tcPr>
            <w:tcW w:w="1617" w:type="dxa"/>
            <w:gridSpan w:val="2"/>
          </w:tcPr>
          <w:p w14:paraId="4089697A" w14:textId="77777777" w:rsidR="00A7244B" w:rsidRPr="00B2018E" w:rsidRDefault="00A7244B" w:rsidP="00A7244B">
            <w:bookmarkStart w:id="8" w:name="dtitle1" w:colFirst="1" w:colLast="1"/>
            <w:bookmarkEnd w:id="7"/>
            <w:r w:rsidRPr="00B2018E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</w:tcPr>
          <w:p w14:paraId="72A03B3E" w14:textId="5C25CF7A" w:rsidR="00A7244B" w:rsidRPr="00B2018E" w:rsidRDefault="00A819D1" w:rsidP="00E25977">
            <w:r w:rsidRPr="00B2018E">
              <w:t xml:space="preserve">Report of the </w:t>
            </w:r>
            <w:r w:rsidR="0018546E">
              <w:t>17 July</w:t>
            </w:r>
            <w:r w:rsidR="0012650A">
              <w:t xml:space="preserve"> 2020</w:t>
            </w:r>
            <w:r w:rsidRPr="00B2018E">
              <w:t xml:space="preserve"> </w:t>
            </w:r>
            <w:r w:rsidR="0018546E">
              <w:t>SCV</w:t>
            </w:r>
            <w:r w:rsidR="00043253">
              <w:t xml:space="preserve"> </w:t>
            </w:r>
            <w:r w:rsidR="00E25977">
              <w:t xml:space="preserve">virtual </w:t>
            </w:r>
            <w:r w:rsidRPr="00B2018E">
              <w:t>meeting</w:t>
            </w:r>
          </w:p>
        </w:tc>
      </w:tr>
    </w:tbl>
    <w:bookmarkEnd w:id="1"/>
    <w:bookmarkEnd w:id="8"/>
    <w:p w14:paraId="07504821" w14:textId="77777777" w:rsidR="00E25977" w:rsidRPr="00250263" w:rsidRDefault="00E25977" w:rsidP="00E25977">
      <w:pPr>
        <w:pStyle w:val="Heading1"/>
        <w:rPr>
          <w:rFonts w:asciiTheme="majorBidi" w:hAnsiTheme="majorBidi" w:cstheme="majorBidi"/>
          <w:szCs w:val="28"/>
        </w:rPr>
      </w:pPr>
      <w:r w:rsidRPr="00250263">
        <w:rPr>
          <w:rFonts w:asciiTheme="majorBidi" w:hAnsiTheme="majorBidi" w:cstheme="majorBidi"/>
          <w:szCs w:val="28"/>
        </w:rPr>
        <w:t>1</w:t>
      </w:r>
      <w:r w:rsidRPr="00250263">
        <w:rPr>
          <w:rFonts w:asciiTheme="majorBidi" w:hAnsiTheme="majorBidi" w:cstheme="majorBidi"/>
          <w:szCs w:val="28"/>
        </w:rPr>
        <w:tab/>
        <w:t>Opening remarks</w:t>
      </w:r>
    </w:p>
    <w:p w14:paraId="2DEBCB4B" w14:textId="788AF435" w:rsidR="00E25977" w:rsidRPr="00250263" w:rsidRDefault="00E25977" w:rsidP="00E25977">
      <w:r w:rsidRPr="00250263">
        <w:t>Ms. R. Belhaj, Chairman of the SCV, welcomed the participants and opened the meeting. Annex 1 contains the list of participants to the meeting.</w:t>
      </w:r>
    </w:p>
    <w:p w14:paraId="49E2C3A7" w14:textId="77777777" w:rsidR="00E25977" w:rsidRPr="00250263" w:rsidRDefault="00E25977" w:rsidP="00E25977">
      <w:pPr>
        <w:pStyle w:val="Heading1"/>
        <w:rPr>
          <w:rFonts w:asciiTheme="majorBidi" w:hAnsiTheme="majorBidi" w:cstheme="majorBidi"/>
          <w:szCs w:val="28"/>
        </w:rPr>
      </w:pPr>
      <w:r w:rsidRPr="00250263">
        <w:rPr>
          <w:rFonts w:asciiTheme="majorBidi" w:hAnsiTheme="majorBidi" w:cstheme="majorBidi"/>
          <w:szCs w:val="28"/>
        </w:rPr>
        <w:t>2</w:t>
      </w:r>
      <w:r w:rsidRPr="00250263">
        <w:rPr>
          <w:rFonts w:asciiTheme="majorBidi" w:hAnsiTheme="majorBidi" w:cstheme="majorBidi"/>
          <w:szCs w:val="28"/>
        </w:rPr>
        <w:tab/>
        <w:t>Approval of the agenda</w:t>
      </w:r>
    </w:p>
    <w:p w14:paraId="1B78BB7B" w14:textId="3F42E85A" w:rsidR="00E25977" w:rsidRPr="00250263" w:rsidRDefault="00E25977" w:rsidP="00E25977">
      <w:pPr>
        <w:tabs>
          <w:tab w:val="left" w:pos="851"/>
        </w:tabs>
        <w:rPr>
          <w:rFonts w:asciiTheme="majorBidi" w:hAnsiTheme="majorBidi" w:cstheme="majorBidi"/>
        </w:rPr>
      </w:pPr>
      <w:r w:rsidRPr="00250263">
        <w:rPr>
          <w:rFonts w:asciiTheme="majorBidi" w:hAnsiTheme="majorBidi" w:cstheme="majorBidi"/>
        </w:rPr>
        <w:t xml:space="preserve">The draft agenda, Document </w:t>
      </w:r>
      <w:hyperlink r:id="rId12" w:history="1">
        <w:r w:rsidR="0018546E" w:rsidRPr="0018546E">
          <w:rPr>
            <w:rStyle w:val="Hyperlink"/>
            <w:b/>
            <w:bCs/>
            <w:bdr w:val="none" w:sz="0" w:space="0" w:color="auto" w:frame="1"/>
            <w:shd w:val="clear" w:color="auto" w:fill="FFFFFF"/>
          </w:rPr>
          <w:t>SCV-TD12</w:t>
        </w:r>
        <w:r w:rsidR="0018546E">
          <w:rPr>
            <w:rStyle w:val="Hyperlink"/>
            <w:b/>
            <w:bCs/>
            <w:bdr w:val="none" w:sz="0" w:space="0" w:color="auto" w:frame="1"/>
            <w:shd w:val="clear" w:color="auto" w:fill="FFFFFF"/>
          </w:rPr>
          <w:t>4</w:t>
        </w:r>
      </w:hyperlink>
      <w:r w:rsidRPr="00250263">
        <w:rPr>
          <w:rFonts w:asciiTheme="majorBidi" w:hAnsiTheme="majorBidi" w:cstheme="majorBidi"/>
        </w:rPr>
        <w:t>, was presented and approved.</w:t>
      </w:r>
    </w:p>
    <w:p w14:paraId="01BD210C" w14:textId="411A1087" w:rsidR="00E25977" w:rsidRPr="00A543EE" w:rsidRDefault="00E25977" w:rsidP="00E25977">
      <w:pPr>
        <w:pStyle w:val="Heading1"/>
        <w:rPr>
          <w:rFonts w:asciiTheme="majorBidi" w:hAnsiTheme="majorBidi" w:cstheme="majorBidi"/>
          <w:szCs w:val="28"/>
        </w:rPr>
      </w:pPr>
      <w:r w:rsidRPr="00A543EE">
        <w:rPr>
          <w:rFonts w:asciiTheme="majorBidi" w:hAnsiTheme="majorBidi" w:cstheme="majorBidi"/>
          <w:szCs w:val="28"/>
        </w:rPr>
        <w:t>3</w:t>
      </w:r>
      <w:r w:rsidRPr="00A543EE">
        <w:rPr>
          <w:rFonts w:asciiTheme="majorBidi" w:hAnsiTheme="majorBidi" w:cstheme="majorBidi"/>
          <w:szCs w:val="28"/>
        </w:rPr>
        <w:tab/>
      </w:r>
      <w:r w:rsidR="0018546E" w:rsidRPr="00A543EE">
        <w:t>Possible modifications to WTSA Res. 67</w:t>
      </w:r>
    </w:p>
    <w:p w14:paraId="3A796D47" w14:textId="7CE3ED4B" w:rsidR="005843CA" w:rsidRPr="00CB4BCC" w:rsidRDefault="00CB4BCC" w:rsidP="00E25977">
      <w:pPr>
        <w:tabs>
          <w:tab w:val="left" w:pos="392"/>
        </w:tabs>
        <w:rPr>
          <w:rFonts w:asciiTheme="majorBidi" w:hAnsiTheme="majorBidi" w:cstheme="majorBidi"/>
          <w:bCs/>
        </w:rPr>
      </w:pPr>
      <w:r w:rsidRPr="00CB4BCC">
        <w:rPr>
          <w:rFonts w:asciiTheme="majorBidi" w:hAnsiTheme="majorBidi" w:cstheme="majorBidi"/>
          <w:bCs/>
        </w:rPr>
        <w:t>The</w:t>
      </w:r>
      <w:r>
        <w:rPr>
          <w:rFonts w:asciiTheme="majorBidi" w:hAnsiTheme="majorBidi" w:cstheme="majorBidi"/>
          <w:bCs/>
        </w:rPr>
        <w:t xml:space="preserve"> meeting considered the possibly of proposing changes to Res. 67. After detailed discussion, and considering that </w:t>
      </w:r>
      <w:r w:rsidR="007C7B80">
        <w:rPr>
          <w:rFonts w:asciiTheme="majorBidi" w:hAnsiTheme="majorBidi" w:cstheme="majorBidi"/>
          <w:bCs/>
        </w:rPr>
        <w:t xml:space="preserve">most participants to the meeting were already discussing Res. 67 within the delegations of their corresponding </w:t>
      </w:r>
      <w:r>
        <w:rPr>
          <w:rFonts w:asciiTheme="majorBidi" w:hAnsiTheme="majorBidi" w:cstheme="majorBidi"/>
          <w:bCs/>
        </w:rPr>
        <w:t>Member States and Regional Groups</w:t>
      </w:r>
      <w:r w:rsidR="00662CB8">
        <w:rPr>
          <w:rFonts w:asciiTheme="majorBidi" w:hAnsiTheme="majorBidi" w:cstheme="majorBidi"/>
          <w:bCs/>
        </w:rPr>
        <w:t xml:space="preserve">, it was decided that it was not convenient to submit </w:t>
      </w:r>
      <w:r w:rsidR="007C7B80">
        <w:rPr>
          <w:rFonts w:asciiTheme="majorBidi" w:hAnsiTheme="majorBidi" w:cstheme="majorBidi"/>
          <w:bCs/>
        </w:rPr>
        <w:t xml:space="preserve">a </w:t>
      </w:r>
      <w:r w:rsidR="00662CB8">
        <w:rPr>
          <w:rFonts w:asciiTheme="majorBidi" w:hAnsiTheme="majorBidi" w:cstheme="majorBidi"/>
          <w:bCs/>
        </w:rPr>
        <w:t xml:space="preserve">concrete text proposal </w:t>
      </w:r>
      <w:r w:rsidR="00F071AB">
        <w:rPr>
          <w:rFonts w:asciiTheme="majorBidi" w:hAnsiTheme="majorBidi" w:cstheme="majorBidi"/>
          <w:bCs/>
        </w:rPr>
        <w:t xml:space="preserve">at this time </w:t>
      </w:r>
      <w:r w:rsidR="00662CB8">
        <w:rPr>
          <w:rFonts w:asciiTheme="majorBidi" w:hAnsiTheme="majorBidi" w:cstheme="majorBidi"/>
          <w:bCs/>
        </w:rPr>
        <w:t xml:space="preserve">via a liaison statement </w:t>
      </w:r>
      <w:r w:rsidR="007C7B80">
        <w:rPr>
          <w:rFonts w:asciiTheme="majorBidi" w:hAnsiTheme="majorBidi" w:cstheme="majorBidi"/>
          <w:bCs/>
        </w:rPr>
        <w:t xml:space="preserve">from SCV </w:t>
      </w:r>
      <w:r w:rsidR="00662CB8">
        <w:rPr>
          <w:rFonts w:asciiTheme="majorBidi" w:hAnsiTheme="majorBidi" w:cstheme="majorBidi"/>
          <w:bCs/>
        </w:rPr>
        <w:t xml:space="preserve">to TSAG, but to include in the meeting report to TSAG </w:t>
      </w:r>
      <w:r w:rsidR="00F071AB">
        <w:rPr>
          <w:rFonts w:asciiTheme="majorBidi" w:hAnsiTheme="majorBidi" w:cstheme="majorBidi"/>
          <w:bCs/>
        </w:rPr>
        <w:t xml:space="preserve">a recommendation that Resolution 67 be further </w:t>
      </w:r>
      <w:r w:rsidR="007C7B80">
        <w:rPr>
          <w:rFonts w:asciiTheme="majorBidi" w:hAnsiTheme="majorBidi" w:cstheme="majorBidi"/>
          <w:bCs/>
        </w:rPr>
        <w:t>harmonize</w:t>
      </w:r>
      <w:r w:rsidR="00F071AB">
        <w:rPr>
          <w:rFonts w:asciiTheme="majorBidi" w:hAnsiTheme="majorBidi" w:cstheme="majorBidi"/>
          <w:bCs/>
        </w:rPr>
        <w:t>d</w:t>
      </w:r>
      <w:r w:rsidR="007C7B80">
        <w:rPr>
          <w:rFonts w:asciiTheme="majorBidi" w:hAnsiTheme="majorBidi" w:cstheme="majorBidi"/>
          <w:bCs/>
        </w:rPr>
        <w:t>, to the extent possible, with higher-level Resolutions such as Resolution 154 (Rev. Dubai 2018) and Council Resolution 1386.</w:t>
      </w:r>
    </w:p>
    <w:p w14:paraId="60BE757A" w14:textId="18C23A8C" w:rsidR="0018546E" w:rsidRPr="00250263" w:rsidRDefault="0018546E" w:rsidP="0018546E">
      <w:pPr>
        <w:pStyle w:val="Heading1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4</w:t>
      </w:r>
      <w:r w:rsidRPr="00250263">
        <w:rPr>
          <w:rFonts w:asciiTheme="majorBidi" w:hAnsiTheme="majorBidi" w:cstheme="majorBidi"/>
          <w:szCs w:val="28"/>
        </w:rPr>
        <w:tab/>
      </w:r>
      <w:r>
        <w:t>Report to TSAG</w:t>
      </w:r>
    </w:p>
    <w:p w14:paraId="09E825A7" w14:textId="3142203C" w:rsidR="0018546E" w:rsidRPr="00250263" w:rsidRDefault="00F071AB" w:rsidP="00E25977">
      <w:pPr>
        <w:tabs>
          <w:tab w:val="left" w:pos="392"/>
        </w:tabs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A proposal for a meeting report, </w:t>
      </w:r>
      <w:proofErr w:type="gramStart"/>
      <w:r>
        <w:rPr>
          <w:rFonts w:asciiTheme="majorBidi" w:hAnsiTheme="majorBidi" w:cstheme="majorBidi"/>
          <w:bCs/>
        </w:rPr>
        <w:t>similar to</w:t>
      </w:r>
      <w:proofErr w:type="gramEnd"/>
      <w:r>
        <w:rPr>
          <w:rFonts w:asciiTheme="majorBidi" w:hAnsiTheme="majorBidi" w:cstheme="majorBidi"/>
          <w:bCs/>
        </w:rPr>
        <w:t xml:space="preserve"> other reports previously presented by SCV to TSAG was </w:t>
      </w:r>
      <w:r w:rsidR="00F722A1">
        <w:rPr>
          <w:rFonts w:asciiTheme="majorBidi" w:hAnsiTheme="majorBidi" w:cstheme="majorBidi"/>
          <w:bCs/>
        </w:rPr>
        <w:t>presented</w:t>
      </w:r>
      <w:r>
        <w:rPr>
          <w:rFonts w:asciiTheme="majorBidi" w:hAnsiTheme="majorBidi" w:cstheme="majorBidi"/>
          <w:bCs/>
        </w:rPr>
        <w:t xml:space="preserve">. It would include an introduction with background information regarding SCV, and a section for each of the meetings that took place during the reporting period. The section corresponding to the current meeting would include the recommendation described in item 3, above. </w:t>
      </w:r>
      <w:r w:rsidR="00961F9E">
        <w:rPr>
          <w:rFonts w:asciiTheme="majorBidi" w:hAnsiTheme="majorBidi" w:cstheme="majorBidi"/>
          <w:bCs/>
        </w:rPr>
        <w:t>This</w:t>
      </w:r>
      <w:r>
        <w:rPr>
          <w:rFonts w:asciiTheme="majorBidi" w:hAnsiTheme="majorBidi" w:cstheme="majorBidi"/>
          <w:bCs/>
        </w:rPr>
        <w:t xml:space="preserve"> was agreed.</w:t>
      </w:r>
    </w:p>
    <w:p w14:paraId="48E353C2" w14:textId="08296A40" w:rsidR="00E25977" w:rsidRPr="00250263" w:rsidRDefault="0018546E" w:rsidP="00E25977">
      <w:pPr>
        <w:pStyle w:val="Heading1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5</w:t>
      </w:r>
      <w:r w:rsidR="00E25977" w:rsidRPr="00250263">
        <w:rPr>
          <w:rFonts w:asciiTheme="majorBidi" w:hAnsiTheme="majorBidi" w:cstheme="majorBidi"/>
          <w:szCs w:val="28"/>
        </w:rPr>
        <w:tab/>
        <w:t>Closing remarks</w:t>
      </w:r>
    </w:p>
    <w:p w14:paraId="54110A79" w14:textId="49716F9D" w:rsidR="00E25977" w:rsidRPr="00250263" w:rsidRDefault="00E25977" w:rsidP="00E25977">
      <w:pPr>
        <w:tabs>
          <w:tab w:val="left" w:pos="0"/>
        </w:tabs>
        <w:rPr>
          <w:rFonts w:asciiTheme="majorBidi" w:hAnsiTheme="majorBidi" w:cstheme="majorBidi"/>
          <w:bCs/>
        </w:rPr>
      </w:pPr>
      <w:r w:rsidRPr="00250263">
        <w:rPr>
          <w:rFonts w:asciiTheme="majorBidi" w:hAnsiTheme="majorBidi" w:cstheme="majorBidi"/>
          <w:bCs/>
        </w:rPr>
        <w:t>The Chairm</w:t>
      </w:r>
      <w:r w:rsidR="00C571E2">
        <w:rPr>
          <w:rFonts w:asciiTheme="majorBidi" w:hAnsiTheme="majorBidi" w:cstheme="majorBidi"/>
          <w:bCs/>
        </w:rPr>
        <w:t>a</w:t>
      </w:r>
      <w:r w:rsidRPr="00250263">
        <w:rPr>
          <w:rFonts w:asciiTheme="majorBidi" w:hAnsiTheme="majorBidi" w:cstheme="majorBidi"/>
          <w:bCs/>
        </w:rPr>
        <w:t xml:space="preserve">n thanked all the participants for their collaboration as well as the TSB Secretariat, </w:t>
      </w:r>
      <w:proofErr w:type="gramStart"/>
      <w:r w:rsidRPr="00250263">
        <w:rPr>
          <w:rFonts w:asciiTheme="majorBidi" w:hAnsiTheme="majorBidi" w:cstheme="majorBidi"/>
          <w:bCs/>
        </w:rPr>
        <w:t>in particular Mr. Anibal Cabrera</w:t>
      </w:r>
      <w:proofErr w:type="gramEnd"/>
      <w:r w:rsidRPr="00250263">
        <w:rPr>
          <w:rFonts w:asciiTheme="majorBidi" w:hAnsiTheme="majorBidi" w:cstheme="majorBidi"/>
          <w:bCs/>
        </w:rPr>
        <w:t>.</w:t>
      </w:r>
    </w:p>
    <w:p w14:paraId="2CCBAB5C" w14:textId="77777777" w:rsidR="00E25977" w:rsidRPr="00250263" w:rsidRDefault="00E25977" w:rsidP="00E25977">
      <w:pPr>
        <w:tabs>
          <w:tab w:val="left" w:pos="0"/>
        </w:tabs>
        <w:spacing w:before="960"/>
        <w:rPr>
          <w:rFonts w:asciiTheme="majorBidi" w:hAnsiTheme="majorBidi" w:cstheme="majorBidi"/>
          <w:bCs/>
        </w:rPr>
      </w:pPr>
      <w:r w:rsidRPr="00250263">
        <w:rPr>
          <w:rFonts w:asciiTheme="majorBidi" w:hAnsiTheme="majorBidi" w:cstheme="majorBidi"/>
          <w:b/>
        </w:rPr>
        <w:t>Annex:</w:t>
      </w:r>
      <w:r w:rsidRPr="00250263">
        <w:rPr>
          <w:rFonts w:asciiTheme="majorBidi" w:hAnsiTheme="majorBidi" w:cstheme="majorBidi"/>
          <w:bCs/>
        </w:rPr>
        <w:tab/>
        <w:t>1</w:t>
      </w:r>
    </w:p>
    <w:p w14:paraId="5870F72E" w14:textId="367C0A9C" w:rsidR="00E25977" w:rsidRDefault="00E25977">
      <w:pPr>
        <w:spacing w:before="0" w:after="160" w:line="259" w:lineRule="auto"/>
      </w:pPr>
      <w:r>
        <w:br w:type="page"/>
      </w:r>
    </w:p>
    <w:p w14:paraId="290FA7A7" w14:textId="77777777" w:rsidR="00E25977" w:rsidRPr="00250263" w:rsidRDefault="00E25977" w:rsidP="00E25977">
      <w:pPr>
        <w:pStyle w:val="AnnexNo"/>
        <w:rPr>
          <w:rFonts w:asciiTheme="majorBidi" w:hAnsiTheme="majorBidi" w:cstheme="majorBidi"/>
        </w:rPr>
      </w:pPr>
      <w:r w:rsidRPr="00042CF3">
        <w:rPr>
          <w:rFonts w:asciiTheme="majorBidi" w:hAnsiTheme="majorBidi" w:cstheme="majorBidi"/>
        </w:rPr>
        <w:lastRenderedPageBreak/>
        <w:t>Annex</w:t>
      </w:r>
    </w:p>
    <w:p w14:paraId="589F6E95" w14:textId="77777777" w:rsidR="00E25977" w:rsidRPr="00250263" w:rsidRDefault="00E25977" w:rsidP="00E25977">
      <w:pPr>
        <w:pStyle w:val="Annextitle"/>
        <w:spacing w:after="1080"/>
        <w:rPr>
          <w:rFonts w:asciiTheme="majorBidi" w:hAnsiTheme="majorBidi" w:cstheme="majorBidi"/>
        </w:rPr>
      </w:pPr>
      <w:r w:rsidRPr="00250263">
        <w:rPr>
          <w:rFonts w:asciiTheme="majorBidi" w:hAnsiTheme="majorBidi" w:cstheme="majorBidi"/>
        </w:rPr>
        <w:t>List of participants</w:t>
      </w:r>
    </w:p>
    <w:tbl>
      <w:tblPr>
        <w:tblW w:w="41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3524"/>
        <w:gridCol w:w="2834"/>
      </w:tblGrid>
      <w:tr w:rsidR="00E969EA" w:rsidRPr="00250263" w14:paraId="0E74A546" w14:textId="77777777" w:rsidTr="0016203A">
        <w:trPr>
          <w:jc w:val="center"/>
        </w:trPr>
        <w:tc>
          <w:tcPr>
            <w:tcW w:w="1063" w:type="pct"/>
          </w:tcPr>
          <w:p w14:paraId="77623DD1" w14:textId="0FE15C5F" w:rsidR="00E969EA" w:rsidRPr="00250263" w:rsidRDefault="00E969EA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bookmarkStart w:id="9" w:name="_Hlk43012114"/>
            <w:r w:rsidRPr="00250263">
              <w:rPr>
                <w:rFonts w:asciiTheme="majorBidi" w:hAnsiTheme="majorBidi" w:cstheme="majorBidi"/>
                <w:iCs/>
                <w:sz w:val="22"/>
                <w:szCs w:val="22"/>
              </w:rPr>
              <w:t>R. Belhaj</w:t>
            </w:r>
          </w:p>
        </w:tc>
        <w:tc>
          <w:tcPr>
            <w:tcW w:w="2182" w:type="pct"/>
          </w:tcPr>
          <w:p w14:paraId="0EEA6627" w14:textId="77777777" w:rsidR="00E969EA" w:rsidRPr="00250263" w:rsidRDefault="00E969EA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250263">
              <w:rPr>
                <w:rFonts w:asciiTheme="majorBidi" w:hAnsiTheme="majorBidi" w:cstheme="majorBidi"/>
                <w:sz w:val="22"/>
                <w:szCs w:val="22"/>
              </w:rPr>
              <w:t>Chairman SCV</w:t>
            </w:r>
          </w:p>
        </w:tc>
        <w:tc>
          <w:tcPr>
            <w:tcW w:w="1755" w:type="pct"/>
          </w:tcPr>
          <w:p w14:paraId="515D96F2" w14:textId="77777777" w:rsidR="00E969EA" w:rsidRPr="00250263" w:rsidRDefault="00E969EA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250263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Tunisia</w:t>
            </w:r>
          </w:p>
        </w:tc>
      </w:tr>
      <w:tr w:rsidR="00532D91" w:rsidRPr="00250263" w14:paraId="02E6059A" w14:textId="77777777" w:rsidTr="0016203A">
        <w:trPr>
          <w:jc w:val="center"/>
        </w:trPr>
        <w:tc>
          <w:tcPr>
            <w:tcW w:w="1063" w:type="pct"/>
            <w:shd w:val="clear" w:color="auto" w:fill="auto"/>
          </w:tcPr>
          <w:p w14:paraId="1F357EA5" w14:textId="77777777" w:rsidR="00532D91" w:rsidRPr="00941525" w:rsidRDefault="00532D91" w:rsidP="00040E2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941525">
              <w:rPr>
                <w:rFonts w:asciiTheme="majorBidi" w:hAnsiTheme="majorBidi" w:cstheme="majorBidi"/>
                <w:sz w:val="22"/>
                <w:szCs w:val="22"/>
              </w:rPr>
              <w:t xml:space="preserve">P. </w:t>
            </w:r>
            <w:proofErr w:type="spellStart"/>
            <w:r w:rsidRPr="00BB3447">
              <w:rPr>
                <w:rFonts w:asciiTheme="majorBidi" w:hAnsiTheme="majorBidi" w:cstheme="majorBidi"/>
                <w:sz w:val="22"/>
                <w:szCs w:val="22"/>
              </w:rPr>
              <w:t>Najarian</w:t>
            </w:r>
            <w:proofErr w:type="spellEnd"/>
          </w:p>
        </w:tc>
        <w:tc>
          <w:tcPr>
            <w:tcW w:w="2182" w:type="pct"/>
          </w:tcPr>
          <w:p w14:paraId="62484360" w14:textId="77777777" w:rsidR="00532D91" w:rsidRPr="00941525" w:rsidRDefault="00532D91" w:rsidP="00040E2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247CF4">
              <w:rPr>
                <w:rFonts w:asciiTheme="majorBidi" w:hAnsiTheme="majorBidi" w:cstheme="majorBidi"/>
                <w:sz w:val="22"/>
                <w:szCs w:val="22"/>
              </w:rPr>
              <w:t>Vice-Chairman SCV</w:t>
            </w:r>
          </w:p>
        </w:tc>
        <w:tc>
          <w:tcPr>
            <w:tcW w:w="1755" w:type="pct"/>
          </w:tcPr>
          <w:p w14:paraId="094DA600" w14:textId="037FA143" w:rsidR="00532D91" w:rsidRPr="00941525" w:rsidRDefault="00532D91" w:rsidP="00040E2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532D91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USA</w:t>
            </w:r>
          </w:p>
        </w:tc>
      </w:tr>
      <w:tr w:rsidR="00532D91" w:rsidRPr="00250263" w14:paraId="04A12E7F" w14:textId="77777777" w:rsidTr="0016203A">
        <w:trPr>
          <w:jc w:val="center"/>
        </w:trPr>
        <w:tc>
          <w:tcPr>
            <w:tcW w:w="1063" w:type="pct"/>
          </w:tcPr>
          <w:p w14:paraId="043EBFC3" w14:textId="77777777" w:rsidR="00532D91" w:rsidRPr="00687262" w:rsidRDefault="00532D91" w:rsidP="00E95DD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687262">
              <w:rPr>
                <w:rFonts w:asciiTheme="majorBidi" w:hAnsiTheme="majorBidi" w:cstheme="majorBidi"/>
                <w:sz w:val="22"/>
                <w:szCs w:val="22"/>
              </w:rPr>
              <w:t>T. Wu</w:t>
            </w:r>
          </w:p>
        </w:tc>
        <w:tc>
          <w:tcPr>
            <w:tcW w:w="2182" w:type="pct"/>
          </w:tcPr>
          <w:p w14:paraId="764F3D7B" w14:textId="77777777" w:rsidR="00532D91" w:rsidRPr="00250263" w:rsidRDefault="00532D91" w:rsidP="00E95DD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250263">
              <w:rPr>
                <w:rFonts w:asciiTheme="majorBidi" w:hAnsiTheme="majorBidi" w:cstheme="majorBidi"/>
                <w:sz w:val="22"/>
                <w:szCs w:val="22"/>
              </w:rPr>
              <w:t>Vice-Chairman SCV</w:t>
            </w:r>
          </w:p>
        </w:tc>
        <w:tc>
          <w:tcPr>
            <w:tcW w:w="1755" w:type="pct"/>
          </w:tcPr>
          <w:p w14:paraId="58F686E0" w14:textId="77777777" w:rsidR="00532D91" w:rsidRPr="004F25C3" w:rsidRDefault="00532D91" w:rsidP="00E95DD6">
            <w:pPr>
              <w:spacing w:before="40" w:after="40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4F25C3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China</w:t>
            </w:r>
          </w:p>
        </w:tc>
      </w:tr>
      <w:tr w:rsidR="00532D91" w:rsidRPr="00250263" w14:paraId="72F80BD3" w14:textId="77777777" w:rsidTr="0016203A">
        <w:trPr>
          <w:jc w:val="center"/>
        </w:trPr>
        <w:tc>
          <w:tcPr>
            <w:tcW w:w="1063" w:type="pct"/>
            <w:shd w:val="clear" w:color="auto" w:fill="auto"/>
          </w:tcPr>
          <w:p w14:paraId="25659BD5" w14:textId="77777777" w:rsidR="00532D91" w:rsidRPr="00687262" w:rsidRDefault="00532D91" w:rsidP="009F6005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687262">
              <w:rPr>
                <w:rFonts w:asciiTheme="majorBidi" w:hAnsiTheme="majorBidi" w:cstheme="majorBidi"/>
                <w:sz w:val="22"/>
                <w:szCs w:val="22"/>
              </w:rPr>
              <w:t>K. Wang</w:t>
            </w:r>
          </w:p>
        </w:tc>
        <w:tc>
          <w:tcPr>
            <w:tcW w:w="2182" w:type="pct"/>
            <w:shd w:val="clear" w:color="auto" w:fill="auto"/>
          </w:tcPr>
          <w:p w14:paraId="4618138B" w14:textId="77777777" w:rsidR="00532D91" w:rsidRPr="00250263" w:rsidRDefault="00532D91" w:rsidP="009F6005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5615D2">
              <w:rPr>
                <w:rFonts w:asciiTheme="majorBidi" w:hAnsiTheme="majorBidi" w:cstheme="majorBidi"/>
                <w:sz w:val="22"/>
                <w:szCs w:val="22"/>
              </w:rPr>
              <w:t>Vice-Chairman, ITU-D SG 2</w:t>
            </w:r>
          </w:p>
        </w:tc>
        <w:tc>
          <w:tcPr>
            <w:tcW w:w="1755" w:type="pct"/>
          </w:tcPr>
          <w:p w14:paraId="24B29B2E" w14:textId="77777777" w:rsidR="00532D91" w:rsidRPr="005615D2" w:rsidRDefault="00532D91" w:rsidP="009F6005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5615D2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China</w:t>
            </w:r>
          </w:p>
        </w:tc>
      </w:tr>
      <w:tr w:rsidR="00E969EA" w:rsidRPr="00250263" w14:paraId="7F36CB64" w14:textId="77777777" w:rsidTr="0016203A">
        <w:trPr>
          <w:jc w:val="center"/>
        </w:trPr>
        <w:tc>
          <w:tcPr>
            <w:tcW w:w="1063" w:type="pct"/>
          </w:tcPr>
          <w:p w14:paraId="1563AAF9" w14:textId="15ABB189" w:rsidR="00E969EA" w:rsidRPr="00687262" w:rsidRDefault="00E969EA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687262">
              <w:rPr>
                <w:rFonts w:asciiTheme="majorBidi" w:hAnsiTheme="majorBidi" w:cstheme="majorBidi"/>
                <w:sz w:val="22"/>
                <w:szCs w:val="22"/>
              </w:rPr>
              <w:t xml:space="preserve">R. </w:t>
            </w:r>
            <w:proofErr w:type="spellStart"/>
            <w:r w:rsidRPr="00687262">
              <w:rPr>
                <w:rFonts w:asciiTheme="majorBidi" w:hAnsiTheme="majorBidi" w:cstheme="majorBidi"/>
                <w:sz w:val="22"/>
                <w:szCs w:val="22"/>
              </w:rPr>
              <w:t>Belhassine-Cherif</w:t>
            </w:r>
            <w:proofErr w:type="spellEnd"/>
          </w:p>
        </w:tc>
        <w:tc>
          <w:tcPr>
            <w:tcW w:w="2182" w:type="pct"/>
          </w:tcPr>
          <w:p w14:paraId="2BA2D30C" w14:textId="77777777" w:rsidR="00E969EA" w:rsidRPr="001122E0" w:rsidRDefault="00E969EA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fr-CH"/>
              </w:rPr>
            </w:pPr>
            <w:r w:rsidRPr="001122E0">
              <w:rPr>
                <w:rFonts w:asciiTheme="majorBidi" w:hAnsiTheme="majorBidi" w:cstheme="majorBidi"/>
                <w:sz w:val="22"/>
                <w:szCs w:val="22"/>
                <w:lang w:val="fr-CH"/>
              </w:rPr>
              <w:t xml:space="preserve">ITU-T SG13 </w:t>
            </w:r>
            <w:proofErr w:type="spellStart"/>
            <w:r w:rsidRPr="001122E0">
              <w:rPr>
                <w:rFonts w:asciiTheme="majorBidi" w:hAnsiTheme="majorBidi" w:cstheme="majorBidi"/>
                <w:sz w:val="22"/>
                <w:szCs w:val="22"/>
                <w:lang w:val="fr-CH"/>
              </w:rPr>
              <w:t>Vocabulary</w:t>
            </w:r>
            <w:proofErr w:type="spellEnd"/>
            <w:r w:rsidRPr="001122E0">
              <w:rPr>
                <w:rFonts w:asciiTheme="majorBidi" w:hAnsiTheme="majorBidi" w:cstheme="majorBidi"/>
                <w:sz w:val="22"/>
                <w:szCs w:val="22"/>
                <w:lang w:val="fr-CH"/>
              </w:rPr>
              <w:t xml:space="preserve"> Rapporteur</w:t>
            </w:r>
          </w:p>
        </w:tc>
        <w:tc>
          <w:tcPr>
            <w:tcW w:w="1755" w:type="pct"/>
          </w:tcPr>
          <w:p w14:paraId="20873CDE" w14:textId="77777777" w:rsidR="00E969EA" w:rsidRPr="004F25C3" w:rsidRDefault="00E969EA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F25C3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Tunisia</w:t>
            </w:r>
          </w:p>
        </w:tc>
      </w:tr>
      <w:tr w:rsidR="008E1DBB" w:rsidRPr="00250263" w14:paraId="154CBC1E" w14:textId="77777777" w:rsidTr="00EF5DE3">
        <w:trPr>
          <w:jc w:val="center"/>
        </w:trPr>
        <w:tc>
          <w:tcPr>
            <w:tcW w:w="1063" w:type="pct"/>
            <w:shd w:val="clear" w:color="auto" w:fill="auto"/>
          </w:tcPr>
          <w:p w14:paraId="6A543895" w14:textId="77777777" w:rsidR="008E1DBB" w:rsidRPr="00687262" w:rsidRDefault="008E1DBB" w:rsidP="00EF5DE3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687262">
              <w:rPr>
                <w:rFonts w:asciiTheme="majorBidi" w:hAnsiTheme="majorBidi" w:cstheme="majorBidi"/>
                <w:sz w:val="22"/>
                <w:szCs w:val="22"/>
              </w:rPr>
              <w:t xml:space="preserve">O. </w:t>
            </w:r>
            <w:proofErr w:type="spellStart"/>
            <w:r w:rsidRPr="00687262">
              <w:rPr>
                <w:rFonts w:asciiTheme="majorBidi" w:hAnsiTheme="majorBidi" w:cstheme="majorBidi"/>
                <w:sz w:val="22"/>
                <w:szCs w:val="22"/>
              </w:rPr>
              <w:t>Dubuisson</w:t>
            </w:r>
            <w:proofErr w:type="spellEnd"/>
          </w:p>
        </w:tc>
        <w:tc>
          <w:tcPr>
            <w:tcW w:w="2182" w:type="pct"/>
          </w:tcPr>
          <w:p w14:paraId="3C0B92A2" w14:textId="77777777" w:rsidR="008E1DBB" w:rsidRPr="00941525" w:rsidRDefault="008E1DBB" w:rsidP="00EF5DE3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19683B">
              <w:rPr>
                <w:rFonts w:asciiTheme="majorBidi" w:hAnsiTheme="majorBidi" w:cstheme="majorBidi"/>
                <w:sz w:val="22"/>
                <w:szCs w:val="22"/>
              </w:rPr>
              <w:t>ITU-T</w:t>
            </w:r>
            <w:r w:rsidRPr="00941525">
              <w:rPr>
                <w:rFonts w:asciiTheme="majorBidi" w:hAnsiTheme="majorBidi" w:cstheme="majorBidi"/>
                <w:sz w:val="22"/>
                <w:szCs w:val="22"/>
              </w:rPr>
              <w:t xml:space="preserve"> expert</w:t>
            </w:r>
          </w:p>
        </w:tc>
        <w:tc>
          <w:tcPr>
            <w:tcW w:w="1755" w:type="pct"/>
          </w:tcPr>
          <w:p w14:paraId="230516E9" w14:textId="77777777" w:rsidR="008E1DBB" w:rsidRPr="00941525" w:rsidRDefault="008E1DBB" w:rsidP="00EF5DE3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941525">
              <w:rPr>
                <w:rFonts w:asciiTheme="majorBidi" w:hAnsiTheme="majorBidi" w:cstheme="majorBidi"/>
                <w:sz w:val="22"/>
                <w:szCs w:val="22"/>
              </w:rPr>
              <w:t>Orange, France</w:t>
            </w:r>
          </w:p>
        </w:tc>
      </w:tr>
      <w:tr w:rsidR="0019683B" w:rsidRPr="00250263" w14:paraId="57CEC2F0" w14:textId="77777777" w:rsidTr="0016203A">
        <w:trPr>
          <w:jc w:val="center"/>
        </w:trPr>
        <w:tc>
          <w:tcPr>
            <w:tcW w:w="1063" w:type="pct"/>
          </w:tcPr>
          <w:p w14:paraId="6058DAFD" w14:textId="4D4BEBBE" w:rsidR="0019683B" w:rsidRPr="00687262" w:rsidRDefault="0019683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687262">
              <w:rPr>
                <w:rFonts w:asciiTheme="majorBidi" w:hAnsiTheme="majorBidi" w:cstheme="majorBidi"/>
                <w:sz w:val="22"/>
                <w:szCs w:val="22"/>
              </w:rPr>
              <w:t>G. Ratta</w:t>
            </w:r>
          </w:p>
        </w:tc>
        <w:tc>
          <w:tcPr>
            <w:tcW w:w="2182" w:type="pct"/>
          </w:tcPr>
          <w:p w14:paraId="4BD5F9A5" w14:textId="77777777" w:rsidR="0019683B" w:rsidRPr="00941525" w:rsidRDefault="0019683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941525">
              <w:rPr>
                <w:rFonts w:asciiTheme="majorBidi" w:hAnsiTheme="majorBidi" w:cstheme="majorBidi"/>
                <w:sz w:val="22"/>
                <w:szCs w:val="22"/>
              </w:rPr>
              <w:t>ITU-T expert</w:t>
            </w:r>
          </w:p>
        </w:tc>
        <w:tc>
          <w:tcPr>
            <w:tcW w:w="1755" w:type="pct"/>
          </w:tcPr>
          <w:p w14:paraId="6AD711B2" w14:textId="62AD6A56" w:rsidR="0019683B" w:rsidRPr="00941525" w:rsidRDefault="0019683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941525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NASA, USA</w:t>
            </w:r>
          </w:p>
        </w:tc>
      </w:tr>
      <w:tr w:rsidR="008E1DBB" w:rsidRPr="00250263" w14:paraId="288A8A04" w14:textId="77777777" w:rsidTr="00EF5DE3">
        <w:trPr>
          <w:jc w:val="center"/>
        </w:trPr>
        <w:tc>
          <w:tcPr>
            <w:tcW w:w="1063" w:type="pct"/>
            <w:shd w:val="clear" w:color="auto" w:fill="auto"/>
          </w:tcPr>
          <w:p w14:paraId="186DA145" w14:textId="77777777" w:rsidR="008E1DBB" w:rsidRPr="00687262" w:rsidRDefault="008E1DBB" w:rsidP="00EF5DE3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bookmarkStart w:id="10" w:name="_Hlk43301081"/>
            <w:r w:rsidRPr="00687262">
              <w:rPr>
                <w:rFonts w:asciiTheme="majorBidi" w:hAnsiTheme="majorBidi" w:cstheme="majorBidi"/>
                <w:sz w:val="22"/>
                <w:szCs w:val="22"/>
              </w:rPr>
              <w:t>Y. Zhang</w:t>
            </w:r>
          </w:p>
        </w:tc>
        <w:tc>
          <w:tcPr>
            <w:tcW w:w="2182" w:type="pct"/>
            <w:shd w:val="clear" w:color="auto" w:fill="auto"/>
          </w:tcPr>
          <w:p w14:paraId="40D09122" w14:textId="77777777" w:rsidR="008E1DBB" w:rsidRPr="00250263" w:rsidRDefault="008E1DBB" w:rsidP="00EF5DE3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ITU-T expert</w:t>
            </w:r>
          </w:p>
        </w:tc>
        <w:tc>
          <w:tcPr>
            <w:tcW w:w="1755" w:type="pct"/>
          </w:tcPr>
          <w:p w14:paraId="1C5CA09E" w14:textId="77777777" w:rsidR="008E1DBB" w:rsidRPr="00C22180" w:rsidRDefault="008E1DBB" w:rsidP="00EF5DE3">
            <w:pPr>
              <w:tabs>
                <w:tab w:val="left" w:pos="523"/>
              </w:tabs>
              <w:spacing w:before="40" w:after="40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C8685B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China Telecom</w:t>
            </w:r>
          </w:p>
        </w:tc>
      </w:tr>
      <w:bookmarkEnd w:id="10"/>
      <w:tr w:rsidR="0019683B" w:rsidRPr="00250263" w14:paraId="08CD02C3" w14:textId="77777777" w:rsidTr="0016203A">
        <w:trPr>
          <w:jc w:val="center"/>
        </w:trPr>
        <w:tc>
          <w:tcPr>
            <w:tcW w:w="1063" w:type="pct"/>
          </w:tcPr>
          <w:p w14:paraId="22799FC3" w14:textId="71924C22" w:rsidR="0019683B" w:rsidRPr="00250263" w:rsidRDefault="0019683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250263">
              <w:rPr>
                <w:rFonts w:asciiTheme="majorBidi" w:hAnsiTheme="majorBidi" w:cstheme="majorBidi"/>
                <w:sz w:val="22"/>
                <w:szCs w:val="22"/>
              </w:rPr>
              <w:t>A. Cabrera</w:t>
            </w:r>
          </w:p>
        </w:tc>
        <w:tc>
          <w:tcPr>
            <w:tcW w:w="2182" w:type="pct"/>
          </w:tcPr>
          <w:p w14:paraId="2EF2BB75" w14:textId="4A6EC9EA" w:rsidR="0019683B" w:rsidRPr="00250263" w:rsidRDefault="0019683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TSB, </w:t>
            </w:r>
            <w:r w:rsidRPr="00250263">
              <w:rPr>
                <w:rFonts w:asciiTheme="majorBidi" w:hAnsiTheme="majorBidi" w:cstheme="majorBidi"/>
                <w:sz w:val="22"/>
                <w:szCs w:val="22"/>
              </w:rPr>
              <w:t xml:space="preserve">Counsellor SCV </w:t>
            </w:r>
          </w:p>
        </w:tc>
        <w:tc>
          <w:tcPr>
            <w:tcW w:w="1755" w:type="pct"/>
          </w:tcPr>
          <w:p w14:paraId="310E3326" w14:textId="0D93635E" w:rsidR="0019683B" w:rsidRPr="00250263" w:rsidRDefault="0019683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TSB, ITU</w:t>
            </w:r>
          </w:p>
        </w:tc>
      </w:tr>
      <w:bookmarkEnd w:id="9"/>
    </w:tbl>
    <w:p w14:paraId="395DFB98" w14:textId="77777777" w:rsidR="00E25977" w:rsidRPr="00250263" w:rsidRDefault="00E25977" w:rsidP="00E25977">
      <w:pPr>
        <w:pStyle w:val="Normalaftertitle"/>
        <w:rPr>
          <w:lang w:eastAsia="zh-CN"/>
        </w:rPr>
      </w:pPr>
    </w:p>
    <w:p w14:paraId="6589C9C3" w14:textId="77777777" w:rsidR="00E25977" w:rsidRPr="00250263" w:rsidRDefault="00E25977" w:rsidP="00E25977">
      <w:pPr>
        <w:pStyle w:val="Reasons"/>
      </w:pPr>
    </w:p>
    <w:p w14:paraId="720E2BFB" w14:textId="77777777" w:rsidR="00E25977" w:rsidRPr="00250263" w:rsidRDefault="00E25977" w:rsidP="00E25977">
      <w:pPr>
        <w:jc w:val="center"/>
        <w:rPr>
          <w:lang w:eastAsia="zh-CN"/>
        </w:rPr>
      </w:pPr>
      <w:r w:rsidRPr="00250263">
        <w:t>______________</w:t>
      </w:r>
    </w:p>
    <w:p w14:paraId="4FAFD637" w14:textId="77777777" w:rsidR="000C397B" w:rsidRPr="00B2018E" w:rsidRDefault="000C397B" w:rsidP="0089088E"/>
    <w:sectPr w:rsidR="000C397B" w:rsidRPr="00B2018E" w:rsidSect="00A7244B">
      <w:headerReference w:type="default" r:id="rId13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23006" w14:textId="77777777" w:rsidR="000744A4" w:rsidRDefault="000744A4" w:rsidP="00C42125">
      <w:pPr>
        <w:spacing w:before="0"/>
      </w:pPr>
      <w:r>
        <w:separator/>
      </w:r>
    </w:p>
  </w:endnote>
  <w:endnote w:type="continuationSeparator" w:id="0">
    <w:p w14:paraId="0686907E" w14:textId="77777777" w:rsidR="000744A4" w:rsidRDefault="000744A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F5655" w14:textId="77777777" w:rsidR="000744A4" w:rsidRDefault="000744A4" w:rsidP="00C42125">
      <w:pPr>
        <w:spacing w:before="0"/>
      </w:pPr>
      <w:r>
        <w:separator/>
      </w:r>
    </w:p>
  </w:footnote>
  <w:footnote w:type="continuationSeparator" w:id="0">
    <w:p w14:paraId="6A1FB1F8" w14:textId="77777777" w:rsidR="000744A4" w:rsidRDefault="000744A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32BF6" w14:textId="4A5E7F59" w:rsidR="007B7BA3" w:rsidRPr="00A7244B" w:rsidRDefault="007B7BA3" w:rsidP="00A7244B">
    <w:pPr>
      <w:pStyle w:val="Header"/>
      <w:rPr>
        <w:sz w:val="18"/>
      </w:rPr>
    </w:pPr>
    <w:r w:rsidRPr="00A7244B">
      <w:rPr>
        <w:sz w:val="18"/>
      </w:rPr>
      <w:t xml:space="preserve">- </w:t>
    </w:r>
    <w:r w:rsidRPr="00A7244B">
      <w:rPr>
        <w:sz w:val="18"/>
      </w:rPr>
      <w:fldChar w:fldCharType="begin"/>
    </w:r>
    <w:r w:rsidRPr="00A7244B">
      <w:rPr>
        <w:sz w:val="18"/>
      </w:rPr>
      <w:instrText xml:space="preserve"> PAGE  \* MERGEFORMAT </w:instrText>
    </w:r>
    <w:r w:rsidRPr="00A7244B">
      <w:rPr>
        <w:sz w:val="18"/>
      </w:rPr>
      <w:fldChar w:fldCharType="separate"/>
    </w:r>
    <w:r>
      <w:rPr>
        <w:noProof/>
        <w:sz w:val="18"/>
      </w:rPr>
      <w:t>5</w:t>
    </w:r>
    <w:r w:rsidRPr="00A7244B">
      <w:rPr>
        <w:sz w:val="18"/>
      </w:rPr>
      <w:fldChar w:fldCharType="end"/>
    </w:r>
    <w:r w:rsidRPr="00A7244B">
      <w:rPr>
        <w:sz w:val="18"/>
      </w:rPr>
      <w:t xml:space="preserve"> -</w:t>
    </w:r>
  </w:p>
  <w:p w14:paraId="44C2EF22" w14:textId="4A1F3CC5" w:rsidR="007B7BA3" w:rsidRPr="00A7244B" w:rsidRDefault="007B7BA3" w:rsidP="00A7244B">
    <w:pPr>
      <w:pStyle w:val="Header"/>
      <w:spacing w:after="240"/>
      <w:rPr>
        <w:sz w:val="18"/>
      </w:rPr>
    </w:pPr>
    <w:r w:rsidRPr="00A7244B">
      <w:rPr>
        <w:sz w:val="18"/>
      </w:rPr>
      <w:fldChar w:fldCharType="begin"/>
    </w:r>
    <w:r w:rsidRPr="00A7244B">
      <w:rPr>
        <w:sz w:val="18"/>
      </w:rPr>
      <w:instrText xml:space="preserve"> STYLEREF  Docnumber  </w:instrText>
    </w:r>
    <w:r w:rsidRPr="00A7244B">
      <w:rPr>
        <w:sz w:val="18"/>
      </w:rPr>
      <w:fldChar w:fldCharType="separate"/>
    </w:r>
    <w:r w:rsidR="00A543EE">
      <w:rPr>
        <w:noProof/>
        <w:sz w:val="18"/>
      </w:rPr>
      <w:t>SCV-TD125</w:t>
    </w:r>
    <w:r w:rsidRPr="00A7244B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ztDQzNzc1NzY0MzdR0lEKTi0uzszPAykwrgUApz1LBiwAAAA="/>
  </w:docVars>
  <w:rsids>
    <w:rsidRoot w:val="005C0300"/>
    <w:rsid w:val="0000496B"/>
    <w:rsid w:val="00014F69"/>
    <w:rsid w:val="000171DB"/>
    <w:rsid w:val="00023D9A"/>
    <w:rsid w:val="00034A6D"/>
    <w:rsid w:val="0003582E"/>
    <w:rsid w:val="00035E3C"/>
    <w:rsid w:val="00043253"/>
    <w:rsid w:val="00043395"/>
    <w:rsid w:val="00043D75"/>
    <w:rsid w:val="0004760B"/>
    <w:rsid w:val="00057000"/>
    <w:rsid w:val="00061268"/>
    <w:rsid w:val="000640E0"/>
    <w:rsid w:val="000744A4"/>
    <w:rsid w:val="00077DBF"/>
    <w:rsid w:val="000966A8"/>
    <w:rsid w:val="000A183C"/>
    <w:rsid w:val="000A5CA2"/>
    <w:rsid w:val="000C397B"/>
    <w:rsid w:val="000D1D69"/>
    <w:rsid w:val="000D31EF"/>
    <w:rsid w:val="000D3395"/>
    <w:rsid w:val="000E5F76"/>
    <w:rsid w:val="000E6125"/>
    <w:rsid w:val="000F0BE8"/>
    <w:rsid w:val="000F66ED"/>
    <w:rsid w:val="00112867"/>
    <w:rsid w:val="001128C8"/>
    <w:rsid w:val="00113DBE"/>
    <w:rsid w:val="001200A6"/>
    <w:rsid w:val="00124A40"/>
    <w:rsid w:val="001251DA"/>
    <w:rsid w:val="00125432"/>
    <w:rsid w:val="0012650A"/>
    <w:rsid w:val="00132519"/>
    <w:rsid w:val="00136DDD"/>
    <w:rsid w:val="0013771E"/>
    <w:rsid w:val="00137F40"/>
    <w:rsid w:val="00144BDF"/>
    <w:rsid w:val="00151D6C"/>
    <w:rsid w:val="00155DDC"/>
    <w:rsid w:val="001566CA"/>
    <w:rsid w:val="00161830"/>
    <w:rsid w:val="0016203A"/>
    <w:rsid w:val="00163620"/>
    <w:rsid w:val="001639CC"/>
    <w:rsid w:val="00166033"/>
    <w:rsid w:val="00183835"/>
    <w:rsid w:val="0018546E"/>
    <w:rsid w:val="00186BA7"/>
    <w:rsid w:val="001871EC"/>
    <w:rsid w:val="0019063F"/>
    <w:rsid w:val="0019683B"/>
    <w:rsid w:val="001A20C3"/>
    <w:rsid w:val="001A670F"/>
    <w:rsid w:val="001B09B5"/>
    <w:rsid w:val="001B6A45"/>
    <w:rsid w:val="001C1AB5"/>
    <w:rsid w:val="001C4ACC"/>
    <w:rsid w:val="001C62B8"/>
    <w:rsid w:val="001C6A55"/>
    <w:rsid w:val="001D22D8"/>
    <w:rsid w:val="001D4296"/>
    <w:rsid w:val="001E7B0E"/>
    <w:rsid w:val="001E7DFF"/>
    <w:rsid w:val="001F141D"/>
    <w:rsid w:val="001F19D3"/>
    <w:rsid w:val="001F2080"/>
    <w:rsid w:val="001F2BBC"/>
    <w:rsid w:val="001F3004"/>
    <w:rsid w:val="00200A06"/>
    <w:rsid w:val="00200A98"/>
    <w:rsid w:val="00201AFA"/>
    <w:rsid w:val="002229F1"/>
    <w:rsid w:val="0022305B"/>
    <w:rsid w:val="00225905"/>
    <w:rsid w:val="0022628F"/>
    <w:rsid w:val="002318BF"/>
    <w:rsid w:val="00233F75"/>
    <w:rsid w:val="00253DBE"/>
    <w:rsid w:val="00253DC6"/>
    <w:rsid w:val="0025489C"/>
    <w:rsid w:val="002622FA"/>
    <w:rsid w:val="00263518"/>
    <w:rsid w:val="00267EBD"/>
    <w:rsid w:val="00274C8C"/>
    <w:rsid w:val="002759E7"/>
    <w:rsid w:val="00277326"/>
    <w:rsid w:val="00281E82"/>
    <w:rsid w:val="002835BC"/>
    <w:rsid w:val="00283FC5"/>
    <w:rsid w:val="0029145B"/>
    <w:rsid w:val="002A11C4"/>
    <w:rsid w:val="002A399B"/>
    <w:rsid w:val="002B20E2"/>
    <w:rsid w:val="002C26C0"/>
    <w:rsid w:val="002C2BC5"/>
    <w:rsid w:val="002E0407"/>
    <w:rsid w:val="002E3C52"/>
    <w:rsid w:val="002E79CB"/>
    <w:rsid w:val="002F2501"/>
    <w:rsid w:val="002F7F55"/>
    <w:rsid w:val="0030745F"/>
    <w:rsid w:val="00314630"/>
    <w:rsid w:val="0032090A"/>
    <w:rsid w:val="00321CDE"/>
    <w:rsid w:val="003315CD"/>
    <w:rsid w:val="00333E15"/>
    <w:rsid w:val="003433F6"/>
    <w:rsid w:val="003449F4"/>
    <w:rsid w:val="003571BC"/>
    <w:rsid w:val="0036090C"/>
    <w:rsid w:val="00361116"/>
    <w:rsid w:val="00362562"/>
    <w:rsid w:val="0037409E"/>
    <w:rsid w:val="00374F01"/>
    <w:rsid w:val="00375209"/>
    <w:rsid w:val="00376B20"/>
    <w:rsid w:val="00385FB5"/>
    <w:rsid w:val="0038715D"/>
    <w:rsid w:val="00394DBF"/>
    <w:rsid w:val="003957A6"/>
    <w:rsid w:val="003A43EF"/>
    <w:rsid w:val="003A6A41"/>
    <w:rsid w:val="003C264E"/>
    <w:rsid w:val="003C7445"/>
    <w:rsid w:val="003C7D68"/>
    <w:rsid w:val="003E3942"/>
    <w:rsid w:val="003E39A2"/>
    <w:rsid w:val="003E57AB"/>
    <w:rsid w:val="003F231F"/>
    <w:rsid w:val="003F2BED"/>
    <w:rsid w:val="00400B49"/>
    <w:rsid w:val="004061FC"/>
    <w:rsid w:val="00415B60"/>
    <w:rsid w:val="0041795E"/>
    <w:rsid w:val="00430C47"/>
    <w:rsid w:val="004365CD"/>
    <w:rsid w:val="00440DDF"/>
    <w:rsid w:val="00443878"/>
    <w:rsid w:val="00452FC9"/>
    <w:rsid w:val="004539A8"/>
    <w:rsid w:val="004712CA"/>
    <w:rsid w:val="00473782"/>
    <w:rsid w:val="0047422E"/>
    <w:rsid w:val="00486AEA"/>
    <w:rsid w:val="00486EFB"/>
    <w:rsid w:val="0049090D"/>
    <w:rsid w:val="00494C33"/>
    <w:rsid w:val="0049674B"/>
    <w:rsid w:val="004B0133"/>
    <w:rsid w:val="004C0673"/>
    <w:rsid w:val="004C4E4E"/>
    <w:rsid w:val="004E48B2"/>
    <w:rsid w:val="004F3816"/>
    <w:rsid w:val="005019B8"/>
    <w:rsid w:val="0050586A"/>
    <w:rsid w:val="00512853"/>
    <w:rsid w:val="00520DBF"/>
    <w:rsid w:val="00530A95"/>
    <w:rsid w:val="005317F5"/>
    <w:rsid w:val="00532D91"/>
    <w:rsid w:val="0053731C"/>
    <w:rsid w:val="00543D41"/>
    <w:rsid w:val="00547556"/>
    <w:rsid w:val="00556A5B"/>
    <w:rsid w:val="00566EDA"/>
    <w:rsid w:val="0057081A"/>
    <w:rsid w:val="00572654"/>
    <w:rsid w:val="00577B8D"/>
    <w:rsid w:val="00577F0D"/>
    <w:rsid w:val="005843CA"/>
    <w:rsid w:val="005976A1"/>
    <w:rsid w:val="005A0E0A"/>
    <w:rsid w:val="005B1027"/>
    <w:rsid w:val="005B18E4"/>
    <w:rsid w:val="005B5629"/>
    <w:rsid w:val="005C0300"/>
    <w:rsid w:val="005C27A2"/>
    <w:rsid w:val="005C40CC"/>
    <w:rsid w:val="005D0965"/>
    <w:rsid w:val="005D4FEB"/>
    <w:rsid w:val="005D6125"/>
    <w:rsid w:val="005E5FD9"/>
    <w:rsid w:val="005F4B6A"/>
    <w:rsid w:val="006010F3"/>
    <w:rsid w:val="00605735"/>
    <w:rsid w:val="00615A0A"/>
    <w:rsid w:val="006173EC"/>
    <w:rsid w:val="00617593"/>
    <w:rsid w:val="00620161"/>
    <w:rsid w:val="006228D8"/>
    <w:rsid w:val="00625DBC"/>
    <w:rsid w:val="00626673"/>
    <w:rsid w:val="006333D4"/>
    <w:rsid w:val="006369B2"/>
    <w:rsid w:val="0063718D"/>
    <w:rsid w:val="006462EC"/>
    <w:rsid w:val="00647525"/>
    <w:rsid w:val="00647A71"/>
    <w:rsid w:val="006570B0"/>
    <w:rsid w:val="0066022F"/>
    <w:rsid w:val="00662CB8"/>
    <w:rsid w:val="0067280B"/>
    <w:rsid w:val="006742D6"/>
    <w:rsid w:val="006813BC"/>
    <w:rsid w:val="006823F3"/>
    <w:rsid w:val="006841E3"/>
    <w:rsid w:val="00687262"/>
    <w:rsid w:val="0069210B"/>
    <w:rsid w:val="00695DD7"/>
    <w:rsid w:val="006A4055"/>
    <w:rsid w:val="006A4456"/>
    <w:rsid w:val="006A7859"/>
    <w:rsid w:val="006A7C27"/>
    <w:rsid w:val="006B2FE4"/>
    <w:rsid w:val="006B37B0"/>
    <w:rsid w:val="006C196F"/>
    <w:rsid w:val="006C48C3"/>
    <w:rsid w:val="006C5641"/>
    <w:rsid w:val="006D1089"/>
    <w:rsid w:val="006D1B86"/>
    <w:rsid w:val="006D7355"/>
    <w:rsid w:val="006F7DEE"/>
    <w:rsid w:val="00707733"/>
    <w:rsid w:val="00713CBC"/>
    <w:rsid w:val="007153DE"/>
    <w:rsid w:val="00715551"/>
    <w:rsid w:val="00715CA6"/>
    <w:rsid w:val="00727337"/>
    <w:rsid w:val="00731135"/>
    <w:rsid w:val="00731779"/>
    <w:rsid w:val="007324AF"/>
    <w:rsid w:val="0073542F"/>
    <w:rsid w:val="00736522"/>
    <w:rsid w:val="00736561"/>
    <w:rsid w:val="007409B4"/>
    <w:rsid w:val="00741463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7BA3"/>
    <w:rsid w:val="007C064B"/>
    <w:rsid w:val="007C2A59"/>
    <w:rsid w:val="007C7122"/>
    <w:rsid w:val="007C7B80"/>
    <w:rsid w:val="007D1DD5"/>
    <w:rsid w:val="007D3F11"/>
    <w:rsid w:val="007E2C69"/>
    <w:rsid w:val="007E53E4"/>
    <w:rsid w:val="007E5F57"/>
    <w:rsid w:val="007E656A"/>
    <w:rsid w:val="007F3CAA"/>
    <w:rsid w:val="007F5EE7"/>
    <w:rsid w:val="007F664D"/>
    <w:rsid w:val="00803C5E"/>
    <w:rsid w:val="00812E73"/>
    <w:rsid w:val="0081454F"/>
    <w:rsid w:val="00815CCA"/>
    <w:rsid w:val="0082353A"/>
    <w:rsid w:val="00837203"/>
    <w:rsid w:val="00842137"/>
    <w:rsid w:val="00844107"/>
    <w:rsid w:val="008454CF"/>
    <w:rsid w:val="00846081"/>
    <w:rsid w:val="00853F5F"/>
    <w:rsid w:val="008623ED"/>
    <w:rsid w:val="0087408B"/>
    <w:rsid w:val="00875AA6"/>
    <w:rsid w:val="00880944"/>
    <w:rsid w:val="00887C5D"/>
    <w:rsid w:val="0089088E"/>
    <w:rsid w:val="00890F84"/>
    <w:rsid w:val="00892297"/>
    <w:rsid w:val="00892B81"/>
    <w:rsid w:val="008964D6"/>
    <w:rsid w:val="008B415F"/>
    <w:rsid w:val="008B5123"/>
    <w:rsid w:val="008E0172"/>
    <w:rsid w:val="008E1DBB"/>
    <w:rsid w:val="008E35B2"/>
    <w:rsid w:val="008F4787"/>
    <w:rsid w:val="0091014F"/>
    <w:rsid w:val="009104E9"/>
    <w:rsid w:val="00922546"/>
    <w:rsid w:val="00925B78"/>
    <w:rsid w:val="00936852"/>
    <w:rsid w:val="0094045D"/>
    <w:rsid w:val="009406B5"/>
    <w:rsid w:val="00941525"/>
    <w:rsid w:val="009424DA"/>
    <w:rsid w:val="00946166"/>
    <w:rsid w:val="00961F9E"/>
    <w:rsid w:val="00967AAB"/>
    <w:rsid w:val="009748D4"/>
    <w:rsid w:val="00982F1F"/>
    <w:rsid w:val="00983164"/>
    <w:rsid w:val="00985B65"/>
    <w:rsid w:val="009972EF"/>
    <w:rsid w:val="009A1077"/>
    <w:rsid w:val="009B5035"/>
    <w:rsid w:val="009B6B64"/>
    <w:rsid w:val="009C20C3"/>
    <w:rsid w:val="009C3160"/>
    <w:rsid w:val="009D1457"/>
    <w:rsid w:val="009E72A3"/>
    <w:rsid w:val="009E7536"/>
    <w:rsid w:val="009E766E"/>
    <w:rsid w:val="009F1960"/>
    <w:rsid w:val="009F715E"/>
    <w:rsid w:val="00A07AE7"/>
    <w:rsid w:val="00A10DBB"/>
    <w:rsid w:val="00A11720"/>
    <w:rsid w:val="00A21247"/>
    <w:rsid w:val="00A31D47"/>
    <w:rsid w:val="00A4013E"/>
    <w:rsid w:val="00A40235"/>
    <w:rsid w:val="00A4045F"/>
    <w:rsid w:val="00A427CD"/>
    <w:rsid w:val="00A4317C"/>
    <w:rsid w:val="00A45FEE"/>
    <w:rsid w:val="00A4600B"/>
    <w:rsid w:val="00A50506"/>
    <w:rsid w:val="00A51EF0"/>
    <w:rsid w:val="00A543EE"/>
    <w:rsid w:val="00A67A81"/>
    <w:rsid w:val="00A71C3C"/>
    <w:rsid w:val="00A7244B"/>
    <w:rsid w:val="00A730A6"/>
    <w:rsid w:val="00A807A9"/>
    <w:rsid w:val="00A819D1"/>
    <w:rsid w:val="00A90DA9"/>
    <w:rsid w:val="00A92B76"/>
    <w:rsid w:val="00A94888"/>
    <w:rsid w:val="00A971A0"/>
    <w:rsid w:val="00AA1F22"/>
    <w:rsid w:val="00AB0E60"/>
    <w:rsid w:val="00AD3B11"/>
    <w:rsid w:val="00AF1D97"/>
    <w:rsid w:val="00AF2C29"/>
    <w:rsid w:val="00AF5C1D"/>
    <w:rsid w:val="00B05821"/>
    <w:rsid w:val="00B100D6"/>
    <w:rsid w:val="00B12A5F"/>
    <w:rsid w:val="00B164C9"/>
    <w:rsid w:val="00B17CFD"/>
    <w:rsid w:val="00B2018E"/>
    <w:rsid w:val="00B26C28"/>
    <w:rsid w:val="00B27EDE"/>
    <w:rsid w:val="00B4174C"/>
    <w:rsid w:val="00B43C44"/>
    <w:rsid w:val="00B453F5"/>
    <w:rsid w:val="00B5152B"/>
    <w:rsid w:val="00B61624"/>
    <w:rsid w:val="00B66481"/>
    <w:rsid w:val="00B7189C"/>
    <w:rsid w:val="00B718A5"/>
    <w:rsid w:val="00B878C3"/>
    <w:rsid w:val="00B90AD6"/>
    <w:rsid w:val="00BA6C85"/>
    <w:rsid w:val="00BA788A"/>
    <w:rsid w:val="00BB0634"/>
    <w:rsid w:val="00BB17CB"/>
    <w:rsid w:val="00BB3447"/>
    <w:rsid w:val="00BB4983"/>
    <w:rsid w:val="00BB7597"/>
    <w:rsid w:val="00BC02EB"/>
    <w:rsid w:val="00BC2AAB"/>
    <w:rsid w:val="00BC2ECB"/>
    <w:rsid w:val="00BC3F85"/>
    <w:rsid w:val="00BC62E2"/>
    <w:rsid w:val="00BE311F"/>
    <w:rsid w:val="00BF1B61"/>
    <w:rsid w:val="00BF3356"/>
    <w:rsid w:val="00C16F5B"/>
    <w:rsid w:val="00C30262"/>
    <w:rsid w:val="00C35851"/>
    <w:rsid w:val="00C35C51"/>
    <w:rsid w:val="00C37820"/>
    <w:rsid w:val="00C42125"/>
    <w:rsid w:val="00C571E2"/>
    <w:rsid w:val="00C62814"/>
    <w:rsid w:val="00C67B25"/>
    <w:rsid w:val="00C748F7"/>
    <w:rsid w:val="00C74937"/>
    <w:rsid w:val="00C8685B"/>
    <w:rsid w:val="00C958A1"/>
    <w:rsid w:val="00CB2599"/>
    <w:rsid w:val="00CB4BCC"/>
    <w:rsid w:val="00CD2139"/>
    <w:rsid w:val="00CD49C8"/>
    <w:rsid w:val="00CD6848"/>
    <w:rsid w:val="00CD76EC"/>
    <w:rsid w:val="00CE347E"/>
    <w:rsid w:val="00CE5986"/>
    <w:rsid w:val="00CF1FD2"/>
    <w:rsid w:val="00CF3A97"/>
    <w:rsid w:val="00D005A4"/>
    <w:rsid w:val="00D04425"/>
    <w:rsid w:val="00D12E2B"/>
    <w:rsid w:val="00D46964"/>
    <w:rsid w:val="00D53F72"/>
    <w:rsid w:val="00D647EF"/>
    <w:rsid w:val="00D71AC4"/>
    <w:rsid w:val="00D73137"/>
    <w:rsid w:val="00D738EC"/>
    <w:rsid w:val="00D96746"/>
    <w:rsid w:val="00D977A2"/>
    <w:rsid w:val="00DA1D47"/>
    <w:rsid w:val="00DA5BF3"/>
    <w:rsid w:val="00DB2957"/>
    <w:rsid w:val="00DD50DE"/>
    <w:rsid w:val="00DE144D"/>
    <w:rsid w:val="00DE161A"/>
    <w:rsid w:val="00DE3062"/>
    <w:rsid w:val="00E0581D"/>
    <w:rsid w:val="00E204DD"/>
    <w:rsid w:val="00E25977"/>
    <w:rsid w:val="00E353EC"/>
    <w:rsid w:val="00E51F61"/>
    <w:rsid w:val="00E5271B"/>
    <w:rsid w:val="00E53C24"/>
    <w:rsid w:val="00E55991"/>
    <w:rsid w:val="00E56E77"/>
    <w:rsid w:val="00E87795"/>
    <w:rsid w:val="00E969EA"/>
    <w:rsid w:val="00EA193C"/>
    <w:rsid w:val="00EB086D"/>
    <w:rsid w:val="00EB1D0A"/>
    <w:rsid w:val="00EB444D"/>
    <w:rsid w:val="00EB48E1"/>
    <w:rsid w:val="00ED5231"/>
    <w:rsid w:val="00ED5B66"/>
    <w:rsid w:val="00EE141C"/>
    <w:rsid w:val="00EE5C0D"/>
    <w:rsid w:val="00EF4792"/>
    <w:rsid w:val="00EF5279"/>
    <w:rsid w:val="00F00D18"/>
    <w:rsid w:val="00F02294"/>
    <w:rsid w:val="00F04DF6"/>
    <w:rsid w:val="00F071AB"/>
    <w:rsid w:val="00F11230"/>
    <w:rsid w:val="00F17D9D"/>
    <w:rsid w:val="00F207CE"/>
    <w:rsid w:val="00F30DE7"/>
    <w:rsid w:val="00F35F57"/>
    <w:rsid w:val="00F50467"/>
    <w:rsid w:val="00F562A0"/>
    <w:rsid w:val="00F57FA4"/>
    <w:rsid w:val="00F722A1"/>
    <w:rsid w:val="00F83A74"/>
    <w:rsid w:val="00F83BC7"/>
    <w:rsid w:val="00F84D3D"/>
    <w:rsid w:val="00F86039"/>
    <w:rsid w:val="00F94713"/>
    <w:rsid w:val="00FA02CB"/>
    <w:rsid w:val="00FA1533"/>
    <w:rsid w:val="00FA2177"/>
    <w:rsid w:val="00FB0783"/>
    <w:rsid w:val="00FB7A8B"/>
    <w:rsid w:val="00FC70F6"/>
    <w:rsid w:val="00FD439E"/>
    <w:rsid w:val="00FD7566"/>
    <w:rsid w:val="00FD76CB"/>
    <w:rsid w:val="00FE152B"/>
    <w:rsid w:val="00FE239E"/>
    <w:rsid w:val="00FF3DC9"/>
    <w:rsid w:val="00FF4546"/>
    <w:rsid w:val="00FF538F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customStyle="1" w:styleId="NOChar">
    <w:name w:val="NO Char"/>
    <w:link w:val="NO"/>
    <w:locked/>
    <w:rsid w:val="00AB0E60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rsid w:val="00AB0E60"/>
    <w:pPr>
      <w:keepLines/>
      <w:overflowPunct w:val="0"/>
      <w:autoSpaceDE w:val="0"/>
      <w:autoSpaceDN w:val="0"/>
      <w:adjustRightInd w:val="0"/>
      <w:spacing w:before="0" w:after="180"/>
      <w:ind w:left="1135" w:hanging="851"/>
    </w:pPr>
    <w:rPr>
      <w:rFonts w:eastAsia="Times New Roman"/>
      <w:sz w:val="20"/>
      <w:szCs w:val="20"/>
      <w:lang w:eastAsia="en-US"/>
    </w:rPr>
  </w:style>
  <w:style w:type="paragraph" w:customStyle="1" w:styleId="BN">
    <w:name w:val="BN"/>
    <w:basedOn w:val="Normal"/>
    <w:rsid w:val="00AB0E60"/>
    <w:pPr>
      <w:numPr>
        <w:numId w:val="11"/>
      </w:numPr>
      <w:overflowPunct w:val="0"/>
      <w:autoSpaceDE w:val="0"/>
      <w:autoSpaceDN w:val="0"/>
      <w:adjustRightInd w:val="0"/>
      <w:spacing w:before="0" w:after="180"/>
    </w:pPr>
    <w:rPr>
      <w:rFonts w:eastAsia="Times New Roman"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107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B6B64"/>
    <w:rPr>
      <w:color w:val="954F72" w:themeColor="followedHyperlink"/>
      <w:u w:val="single"/>
    </w:rPr>
  </w:style>
  <w:style w:type="paragraph" w:customStyle="1" w:styleId="Normalaftertitle">
    <w:name w:val="Normal_after_title"/>
    <w:basedOn w:val="Normal"/>
    <w:next w:val="Normal"/>
    <w:rsid w:val="00A819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Cs w:val="20"/>
      <w:lang w:eastAsia="en-US"/>
    </w:rPr>
  </w:style>
  <w:style w:type="paragraph" w:customStyle="1" w:styleId="AnnexNo">
    <w:name w:val="Annex_No"/>
    <w:basedOn w:val="Normal"/>
    <w:next w:val="Normal"/>
    <w:uiPriority w:val="99"/>
    <w:rsid w:val="00A819D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uiPriority w:val="99"/>
    <w:rsid w:val="00A819D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paragraph" w:customStyle="1" w:styleId="Reasons">
    <w:name w:val="Reasons"/>
    <w:basedOn w:val="Normal"/>
    <w:qFormat/>
    <w:rsid w:val="00A819D1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4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T/committees/scv/Documents/SCV-TD124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D533F650-CDBF-4BED-A79A-426D958D397D}"/>
</file>

<file path=customXml/itemProps4.xml><?xml version="1.0" encoding="utf-8"?>
<ds:datastoreItem xmlns:ds="http://schemas.openxmlformats.org/officeDocument/2006/customXml" ds:itemID="{A4E30A55-5879-461E-B6F2-DBFE67282B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326</Words>
  <Characters>1776</Characters>
  <Application>Microsoft Office Word</Application>
  <DocSecurity>0</DocSecurity>
  <Lines>77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of the 3 June 2020 CCT virtual meeting</vt:lpstr>
      <vt:lpstr>LS/o on new terms and definitions for M2M</vt:lpstr>
    </vt:vector>
  </TitlesOfParts>
  <Manager>ITU-T</Manager>
  <Company>International Telecommunication Union (ITU)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17 July 2020 SCV virtual meeting</dc:title>
  <dc:subject/>
  <dc:creator>SCV Chairman</dc:creator>
  <cp:keywords>Broadband access, definition</cp:keywords>
  <dc:description>SCV-TD125  For: 17 July 2020_x000d_Document date: _x000d_Saved by ITU51015586 at 13:43:13 on 08/08/2020</dc:description>
  <cp:lastModifiedBy>TSB-AC</cp:lastModifiedBy>
  <cp:revision>9</cp:revision>
  <cp:lastPrinted>2016-12-23T12:52:00Z</cp:lastPrinted>
  <dcterms:created xsi:type="dcterms:W3CDTF">2020-07-23T14:55:00Z</dcterms:created>
  <dcterms:modified xsi:type="dcterms:W3CDTF">2020-08-08T11:43:00Z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SCV-TD125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17 July 2020</vt:lpwstr>
  </property>
  <property fmtid="{D5CDD505-2E9C-101B-9397-08002B2CF9AE}" pid="7" name="Docauthor">
    <vt:lpwstr>SCV Chairman</vt:lpwstr>
  </property>
  <property fmtid="{D5CDD505-2E9C-101B-9397-08002B2CF9AE}" pid="8" name="ContentTypeId">
    <vt:lpwstr>0x01010017487812B7DF734F899F9E259C366837</vt:lpwstr>
  </property>
</Properties>
</file>