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32"/>
        <w:gridCol w:w="455"/>
        <w:gridCol w:w="4026"/>
        <w:gridCol w:w="4310"/>
      </w:tblGrid>
      <w:tr w:rsidR="007E62F9" w:rsidRPr="00E1531A" w14:paraId="633B1FCF" w14:textId="77777777" w:rsidTr="00E609EA">
        <w:trPr>
          <w:cantSplit/>
        </w:trPr>
        <w:tc>
          <w:tcPr>
            <w:tcW w:w="1132" w:type="dxa"/>
            <w:vMerge w:val="restart"/>
            <w:vAlign w:val="center"/>
          </w:tcPr>
          <w:p w14:paraId="2DADF0DE" w14:textId="77777777" w:rsidR="007E62F9" w:rsidRPr="00E1531A" w:rsidRDefault="007E62F9" w:rsidP="007E62F9">
            <w:pPr>
              <w:rPr>
                <w:sz w:val="20"/>
                <w:szCs w:val="20"/>
              </w:rPr>
            </w:pPr>
            <w:bookmarkStart w:id="0" w:name="dnum" w:colFirst="2" w:colLast="2"/>
            <w:bookmarkStart w:id="1" w:name="dtableau"/>
            <w:r w:rsidRPr="00E1531A">
              <w:rPr>
                <w:noProof/>
              </w:rPr>
              <w:drawing>
                <wp:inline distT="0" distB="0" distL="0" distR="0" wp14:anchorId="17916DB9" wp14:editId="412B10C6">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04FE364B" w14:textId="77777777" w:rsidR="007E62F9" w:rsidRPr="00E1531A" w:rsidRDefault="007E62F9" w:rsidP="007E62F9">
            <w:pPr>
              <w:rPr>
                <w:sz w:val="16"/>
                <w:szCs w:val="16"/>
              </w:rPr>
            </w:pPr>
            <w:r w:rsidRPr="00E1531A">
              <w:rPr>
                <w:sz w:val="16"/>
                <w:szCs w:val="16"/>
              </w:rPr>
              <w:t>INTERNATIONAL TELECOMMUNICATION UNION</w:t>
            </w:r>
          </w:p>
          <w:p w14:paraId="277583DC" w14:textId="77777777" w:rsidR="007E62F9" w:rsidRPr="00E1531A" w:rsidRDefault="007E62F9" w:rsidP="007E62F9">
            <w:pPr>
              <w:rPr>
                <w:b/>
                <w:bCs/>
                <w:sz w:val="26"/>
                <w:szCs w:val="26"/>
              </w:rPr>
            </w:pPr>
            <w:r w:rsidRPr="00E1531A">
              <w:rPr>
                <w:b/>
                <w:bCs/>
                <w:sz w:val="26"/>
                <w:szCs w:val="26"/>
              </w:rPr>
              <w:t>TELECOMMUNICATION</w:t>
            </w:r>
            <w:r w:rsidRPr="00E1531A">
              <w:rPr>
                <w:b/>
                <w:bCs/>
                <w:sz w:val="26"/>
                <w:szCs w:val="26"/>
              </w:rPr>
              <w:br/>
              <w:t>STANDARDIZATION SECTOR</w:t>
            </w:r>
          </w:p>
          <w:p w14:paraId="625053A1" w14:textId="77777777" w:rsidR="007E62F9" w:rsidRPr="00E1531A" w:rsidRDefault="007E62F9" w:rsidP="007E62F9">
            <w:pPr>
              <w:rPr>
                <w:sz w:val="20"/>
                <w:szCs w:val="20"/>
              </w:rPr>
            </w:pPr>
            <w:r w:rsidRPr="00E1531A">
              <w:rPr>
                <w:sz w:val="20"/>
                <w:szCs w:val="20"/>
              </w:rPr>
              <w:t xml:space="preserve">STUDY PERIOD </w:t>
            </w:r>
            <w:bookmarkStart w:id="2" w:name="dstudyperiod"/>
            <w:r w:rsidRPr="00E1531A">
              <w:rPr>
                <w:sz w:val="20"/>
              </w:rPr>
              <w:t>2022</w:t>
            </w:r>
            <w:r w:rsidRPr="00E1531A">
              <w:rPr>
                <w:sz w:val="20"/>
                <w:szCs w:val="20"/>
              </w:rPr>
              <w:t>-</w:t>
            </w:r>
            <w:r w:rsidRPr="00E1531A">
              <w:rPr>
                <w:sz w:val="20"/>
              </w:rPr>
              <w:t>2024</w:t>
            </w:r>
            <w:bookmarkEnd w:id="2"/>
          </w:p>
        </w:tc>
        <w:tc>
          <w:tcPr>
            <w:tcW w:w="4310" w:type="dxa"/>
            <w:vAlign w:val="center"/>
          </w:tcPr>
          <w:p w14:paraId="3EA536FB" w14:textId="13C52FCC" w:rsidR="007E62F9" w:rsidRPr="00E1531A" w:rsidRDefault="007E62F9" w:rsidP="007E62F9">
            <w:pPr>
              <w:pStyle w:val="Docnumber"/>
              <w:rPr>
                <w:sz w:val="32"/>
              </w:rPr>
            </w:pPr>
            <w:r w:rsidRPr="00E1531A">
              <w:rPr>
                <w:sz w:val="32"/>
              </w:rPr>
              <w:t>SCV-TD</w:t>
            </w:r>
            <w:r w:rsidR="003351CC" w:rsidRPr="00E1531A">
              <w:rPr>
                <w:sz w:val="32"/>
              </w:rPr>
              <w:t>1</w:t>
            </w:r>
            <w:r w:rsidR="00E1531A" w:rsidRPr="00E1531A">
              <w:rPr>
                <w:sz w:val="32"/>
              </w:rPr>
              <w:t>2</w:t>
            </w:r>
          </w:p>
        </w:tc>
      </w:tr>
      <w:tr w:rsidR="007E62F9" w:rsidRPr="00E1531A" w14:paraId="5741E79A" w14:textId="77777777" w:rsidTr="00E609EA">
        <w:trPr>
          <w:cantSplit/>
        </w:trPr>
        <w:tc>
          <w:tcPr>
            <w:tcW w:w="1132" w:type="dxa"/>
            <w:vMerge/>
          </w:tcPr>
          <w:p w14:paraId="6E40463A" w14:textId="77777777" w:rsidR="007E62F9" w:rsidRPr="00E1531A" w:rsidRDefault="007E62F9" w:rsidP="007E62F9">
            <w:pPr>
              <w:rPr>
                <w:smallCaps/>
                <w:sz w:val="20"/>
              </w:rPr>
            </w:pPr>
            <w:bookmarkStart w:id="3" w:name="dsg" w:colFirst="2" w:colLast="2"/>
            <w:bookmarkEnd w:id="0"/>
          </w:p>
        </w:tc>
        <w:tc>
          <w:tcPr>
            <w:tcW w:w="4481" w:type="dxa"/>
            <w:gridSpan w:val="2"/>
            <w:vMerge/>
          </w:tcPr>
          <w:p w14:paraId="32D30CD7" w14:textId="77777777" w:rsidR="007E62F9" w:rsidRPr="00E1531A" w:rsidRDefault="007E62F9" w:rsidP="007E62F9">
            <w:pPr>
              <w:rPr>
                <w:smallCaps/>
                <w:sz w:val="20"/>
              </w:rPr>
            </w:pPr>
          </w:p>
        </w:tc>
        <w:tc>
          <w:tcPr>
            <w:tcW w:w="4310" w:type="dxa"/>
          </w:tcPr>
          <w:p w14:paraId="65A071FD" w14:textId="30F3412C" w:rsidR="007E62F9" w:rsidRPr="00E1531A" w:rsidRDefault="007E62F9" w:rsidP="007E62F9">
            <w:pPr>
              <w:pStyle w:val="TSBHeaderRight14"/>
              <w:rPr>
                <w:smallCaps/>
              </w:rPr>
            </w:pPr>
            <w:r w:rsidRPr="00E1531A">
              <w:rPr>
                <w:smallCaps/>
              </w:rPr>
              <w:t>SCV</w:t>
            </w:r>
          </w:p>
        </w:tc>
      </w:tr>
      <w:bookmarkEnd w:id="3"/>
      <w:tr w:rsidR="007E62F9" w:rsidRPr="00E1531A" w14:paraId="35AD92FE" w14:textId="77777777" w:rsidTr="00E609EA">
        <w:trPr>
          <w:cantSplit/>
        </w:trPr>
        <w:tc>
          <w:tcPr>
            <w:tcW w:w="1132" w:type="dxa"/>
            <w:vMerge/>
            <w:tcBorders>
              <w:bottom w:val="single" w:sz="12" w:space="0" w:color="auto"/>
            </w:tcBorders>
          </w:tcPr>
          <w:p w14:paraId="165EDFFB" w14:textId="77777777" w:rsidR="007E62F9" w:rsidRPr="00E1531A" w:rsidRDefault="007E62F9" w:rsidP="007E62F9">
            <w:pPr>
              <w:rPr>
                <w:b/>
                <w:bCs/>
                <w:sz w:val="26"/>
              </w:rPr>
            </w:pPr>
          </w:p>
        </w:tc>
        <w:tc>
          <w:tcPr>
            <w:tcW w:w="4481" w:type="dxa"/>
            <w:gridSpan w:val="2"/>
            <w:vMerge/>
            <w:tcBorders>
              <w:bottom w:val="single" w:sz="12" w:space="0" w:color="auto"/>
            </w:tcBorders>
          </w:tcPr>
          <w:p w14:paraId="50C35C46" w14:textId="77777777" w:rsidR="007E62F9" w:rsidRPr="00E1531A" w:rsidRDefault="007E62F9" w:rsidP="007E62F9">
            <w:pPr>
              <w:rPr>
                <w:b/>
                <w:bCs/>
                <w:sz w:val="26"/>
              </w:rPr>
            </w:pPr>
          </w:p>
        </w:tc>
        <w:tc>
          <w:tcPr>
            <w:tcW w:w="4310" w:type="dxa"/>
            <w:tcBorders>
              <w:bottom w:val="single" w:sz="12" w:space="0" w:color="auto"/>
            </w:tcBorders>
            <w:vAlign w:val="center"/>
          </w:tcPr>
          <w:p w14:paraId="71B7DD31" w14:textId="77777777" w:rsidR="007E62F9" w:rsidRPr="00E1531A" w:rsidRDefault="007E62F9" w:rsidP="007E62F9">
            <w:pPr>
              <w:pStyle w:val="TSBHeaderRight14"/>
            </w:pPr>
            <w:r w:rsidRPr="00E1531A">
              <w:t>Original: English</w:t>
            </w:r>
          </w:p>
        </w:tc>
      </w:tr>
      <w:tr w:rsidR="007E62F9" w:rsidRPr="00E1531A" w14:paraId="2FFED583" w14:textId="77777777" w:rsidTr="00E609EA">
        <w:trPr>
          <w:cantSplit/>
        </w:trPr>
        <w:tc>
          <w:tcPr>
            <w:tcW w:w="1587" w:type="dxa"/>
            <w:gridSpan w:val="2"/>
          </w:tcPr>
          <w:p w14:paraId="5EECED38" w14:textId="34CD72AB" w:rsidR="007E62F9" w:rsidRPr="00E1531A" w:rsidRDefault="007E62F9" w:rsidP="007E62F9">
            <w:pPr>
              <w:rPr>
                <w:b/>
                <w:bCs/>
              </w:rPr>
            </w:pPr>
            <w:bookmarkStart w:id="4" w:name="dbluepink" w:colFirst="1" w:colLast="1"/>
            <w:bookmarkStart w:id="5" w:name="dmeeting" w:colFirst="2" w:colLast="2"/>
          </w:p>
        </w:tc>
        <w:tc>
          <w:tcPr>
            <w:tcW w:w="4026" w:type="dxa"/>
          </w:tcPr>
          <w:p w14:paraId="42555A1B" w14:textId="7BC4AE80" w:rsidR="007E62F9" w:rsidRPr="00E1531A" w:rsidRDefault="007E62F9" w:rsidP="007E62F9">
            <w:pPr>
              <w:pStyle w:val="TSBHeaderQuestion"/>
            </w:pPr>
          </w:p>
        </w:tc>
        <w:tc>
          <w:tcPr>
            <w:tcW w:w="4310" w:type="dxa"/>
          </w:tcPr>
          <w:p w14:paraId="5F6E92B3" w14:textId="70C84D93" w:rsidR="007E62F9" w:rsidRPr="00E1531A" w:rsidRDefault="007E62F9" w:rsidP="007E62F9">
            <w:pPr>
              <w:pStyle w:val="VenueDate"/>
            </w:pPr>
            <w:r w:rsidRPr="00E1531A">
              <w:t>Virtual, 3 June 2022</w:t>
            </w:r>
          </w:p>
        </w:tc>
      </w:tr>
      <w:tr w:rsidR="007E62F9" w:rsidRPr="00E1531A" w14:paraId="05F53477" w14:textId="77777777" w:rsidTr="00E609EA">
        <w:trPr>
          <w:cantSplit/>
        </w:trPr>
        <w:tc>
          <w:tcPr>
            <w:tcW w:w="9923" w:type="dxa"/>
            <w:gridSpan w:val="4"/>
          </w:tcPr>
          <w:p w14:paraId="5E51DF6D" w14:textId="5DF0493D" w:rsidR="007E62F9" w:rsidRPr="00E1531A" w:rsidRDefault="007E62F9" w:rsidP="005D0737">
            <w:pPr>
              <w:jc w:val="center"/>
              <w:rPr>
                <w:b/>
                <w:bCs/>
              </w:rPr>
            </w:pPr>
            <w:bookmarkStart w:id="6" w:name="ddoctype"/>
            <w:bookmarkEnd w:id="4"/>
            <w:bookmarkEnd w:id="5"/>
            <w:r w:rsidRPr="00E1531A">
              <w:rPr>
                <w:b/>
                <w:bCs/>
              </w:rPr>
              <w:t>TD</w:t>
            </w:r>
          </w:p>
        </w:tc>
      </w:tr>
      <w:tr w:rsidR="007E62F9" w:rsidRPr="00E1531A" w14:paraId="2EBB2D44" w14:textId="77777777" w:rsidTr="00E609EA">
        <w:trPr>
          <w:cantSplit/>
        </w:trPr>
        <w:tc>
          <w:tcPr>
            <w:tcW w:w="1587" w:type="dxa"/>
            <w:gridSpan w:val="2"/>
          </w:tcPr>
          <w:p w14:paraId="2AEA60DF" w14:textId="77777777" w:rsidR="007E62F9" w:rsidRPr="00E1531A" w:rsidRDefault="007E62F9" w:rsidP="007E62F9">
            <w:pPr>
              <w:rPr>
                <w:b/>
                <w:bCs/>
              </w:rPr>
            </w:pPr>
            <w:bookmarkStart w:id="7" w:name="dsource" w:colFirst="1" w:colLast="1"/>
            <w:bookmarkEnd w:id="6"/>
            <w:r w:rsidRPr="00E1531A">
              <w:rPr>
                <w:b/>
                <w:bCs/>
              </w:rPr>
              <w:t>Source:</w:t>
            </w:r>
          </w:p>
        </w:tc>
        <w:tc>
          <w:tcPr>
            <w:tcW w:w="8336" w:type="dxa"/>
            <w:gridSpan w:val="2"/>
          </w:tcPr>
          <w:p w14:paraId="7C9301DB" w14:textId="30093892" w:rsidR="007E62F9" w:rsidRPr="00E1531A" w:rsidRDefault="0019440D" w:rsidP="007E62F9">
            <w:pPr>
              <w:pStyle w:val="TSBHeaderSource"/>
            </w:pPr>
            <w:r w:rsidRPr="00E1531A">
              <w:t>SCV Secretariat / CCV Secretariat</w:t>
            </w:r>
          </w:p>
        </w:tc>
      </w:tr>
      <w:tr w:rsidR="007E62F9" w:rsidRPr="00E1531A" w14:paraId="5766A33E" w14:textId="77777777" w:rsidTr="00E609EA">
        <w:trPr>
          <w:cantSplit/>
        </w:trPr>
        <w:tc>
          <w:tcPr>
            <w:tcW w:w="1587" w:type="dxa"/>
            <w:gridSpan w:val="2"/>
          </w:tcPr>
          <w:p w14:paraId="5DC4432C" w14:textId="77777777" w:rsidR="007E62F9" w:rsidRPr="00E1531A" w:rsidRDefault="007E62F9" w:rsidP="007E62F9">
            <w:pPr>
              <w:rPr>
                <w:b/>
                <w:bCs/>
              </w:rPr>
            </w:pPr>
            <w:bookmarkStart w:id="8" w:name="dtitle1" w:colFirst="1" w:colLast="1"/>
            <w:bookmarkEnd w:id="7"/>
            <w:r w:rsidRPr="00E1531A">
              <w:rPr>
                <w:b/>
                <w:bCs/>
              </w:rPr>
              <w:t>Title:</w:t>
            </w:r>
          </w:p>
        </w:tc>
        <w:tc>
          <w:tcPr>
            <w:tcW w:w="8336" w:type="dxa"/>
            <w:gridSpan w:val="2"/>
          </w:tcPr>
          <w:p w14:paraId="4D51D509" w14:textId="58708F5B" w:rsidR="007E62F9" w:rsidRPr="00E1531A" w:rsidRDefault="00516B2B" w:rsidP="007E62F9">
            <w:pPr>
              <w:pStyle w:val="TSBHeaderTitle"/>
            </w:pPr>
            <w:r w:rsidRPr="00E1531A">
              <w:t>Report of the 3 June 2022 CCT virtual meeting</w:t>
            </w:r>
          </w:p>
        </w:tc>
      </w:tr>
    </w:tbl>
    <w:bookmarkEnd w:id="1"/>
    <w:bookmarkEnd w:id="8"/>
    <w:p w14:paraId="32A30E92" w14:textId="77777777" w:rsidR="00E609EA" w:rsidRPr="00E1531A" w:rsidRDefault="00E609EA" w:rsidP="00E609EA">
      <w:pPr>
        <w:pStyle w:val="Heading1"/>
        <w:rPr>
          <w:rFonts w:asciiTheme="majorBidi" w:hAnsiTheme="majorBidi" w:cstheme="majorBidi"/>
          <w:szCs w:val="28"/>
        </w:rPr>
      </w:pPr>
      <w:r w:rsidRPr="00E1531A">
        <w:rPr>
          <w:rFonts w:asciiTheme="majorBidi" w:hAnsiTheme="majorBidi" w:cstheme="majorBidi"/>
          <w:szCs w:val="28"/>
        </w:rPr>
        <w:t>1</w:t>
      </w:r>
      <w:r w:rsidRPr="00E1531A">
        <w:rPr>
          <w:rFonts w:asciiTheme="majorBidi" w:hAnsiTheme="majorBidi" w:cstheme="majorBidi"/>
          <w:szCs w:val="28"/>
        </w:rPr>
        <w:tab/>
        <w:t>Opening remarks</w:t>
      </w:r>
    </w:p>
    <w:p w14:paraId="3472C005" w14:textId="0F8DF10C" w:rsidR="00E609EA" w:rsidRPr="00E1531A" w:rsidRDefault="00E609EA" w:rsidP="00E609EA">
      <w:r w:rsidRPr="00E1531A">
        <w:t xml:space="preserve">Mr. C. Rissone, Chairman of the CCV, and Ms. R. Belhaj, Chairman of the SCV, welcomed the participants and opened the meeting. </w:t>
      </w:r>
      <w:r w:rsidR="00A83D39" w:rsidRPr="00E1531A">
        <w:t>A</w:t>
      </w:r>
      <w:r w:rsidRPr="00E1531A">
        <w:t xml:space="preserve">nnex </w:t>
      </w:r>
      <w:r w:rsidR="00A83D39" w:rsidRPr="00E1531A">
        <w:t xml:space="preserve">1 </w:t>
      </w:r>
      <w:r w:rsidRPr="00E1531A">
        <w:t>contains the list of participants to the meeting.</w:t>
      </w:r>
    </w:p>
    <w:p w14:paraId="313D5682" w14:textId="77777777" w:rsidR="00E609EA" w:rsidRPr="00E1531A" w:rsidRDefault="00E609EA" w:rsidP="00E609EA">
      <w:pPr>
        <w:pStyle w:val="Heading1"/>
        <w:rPr>
          <w:rFonts w:asciiTheme="majorBidi" w:hAnsiTheme="majorBidi" w:cstheme="majorBidi"/>
          <w:szCs w:val="28"/>
        </w:rPr>
      </w:pPr>
      <w:r w:rsidRPr="00E1531A">
        <w:rPr>
          <w:rFonts w:asciiTheme="majorBidi" w:hAnsiTheme="majorBidi" w:cstheme="majorBidi"/>
          <w:szCs w:val="28"/>
        </w:rPr>
        <w:t>2</w:t>
      </w:r>
      <w:r w:rsidRPr="00E1531A">
        <w:rPr>
          <w:rFonts w:asciiTheme="majorBidi" w:hAnsiTheme="majorBidi" w:cstheme="majorBidi"/>
          <w:szCs w:val="28"/>
        </w:rPr>
        <w:tab/>
        <w:t>Approval of the agenda</w:t>
      </w:r>
    </w:p>
    <w:p w14:paraId="192C9923" w14:textId="28AC53D8" w:rsidR="00E609EA" w:rsidRPr="00E1531A" w:rsidRDefault="00E609EA" w:rsidP="00E609EA">
      <w:pPr>
        <w:tabs>
          <w:tab w:val="left" w:pos="851"/>
        </w:tabs>
        <w:rPr>
          <w:rFonts w:asciiTheme="majorBidi" w:hAnsiTheme="majorBidi" w:cstheme="majorBidi"/>
        </w:rPr>
      </w:pPr>
      <w:r w:rsidRPr="00E1531A">
        <w:rPr>
          <w:rFonts w:asciiTheme="majorBidi" w:hAnsiTheme="majorBidi" w:cstheme="majorBidi"/>
        </w:rPr>
        <w:t xml:space="preserve">The draft agenda, Document </w:t>
      </w:r>
      <w:hyperlink r:id="rId9" w:history="1">
        <w:r w:rsidRPr="00E1531A">
          <w:rPr>
            <w:rStyle w:val="Hyperlink"/>
          </w:rPr>
          <w:t>SCV-TD01</w:t>
        </w:r>
      </w:hyperlink>
      <w:r w:rsidRPr="00E1531A">
        <w:rPr>
          <w:rFonts w:asciiTheme="majorBidi" w:hAnsiTheme="majorBidi" w:cstheme="majorBidi"/>
        </w:rPr>
        <w:t xml:space="preserve"> | </w:t>
      </w:r>
      <w:hyperlink r:id="rId10" w:history="1">
        <w:r w:rsidRPr="00E1531A">
          <w:rPr>
            <w:rStyle w:val="Hyperlink"/>
            <w:rFonts w:cstheme="majorBidi"/>
          </w:rPr>
          <w:t>CCV/ADM/7</w:t>
        </w:r>
      </w:hyperlink>
      <w:r w:rsidRPr="00E1531A">
        <w:rPr>
          <w:rFonts w:asciiTheme="majorBidi" w:hAnsiTheme="majorBidi" w:cstheme="majorBidi"/>
        </w:rPr>
        <w:t>, was presented</w:t>
      </w:r>
      <w:r w:rsidR="00164DF3" w:rsidRPr="00E1531A">
        <w:rPr>
          <w:rFonts w:asciiTheme="majorBidi" w:hAnsiTheme="majorBidi" w:cstheme="majorBidi"/>
        </w:rPr>
        <w:t xml:space="preserve"> and approved with the exception that item 4.9 would be addressed before item 4.1 as </w:t>
      </w:r>
      <w:r w:rsidR="00D47759" w:rsidRPr="00E1531A">
        <w:rPr>
          <w:rFonts w:asciiTheme="majorBidi" w:hAnsiTheme="majorBidi" w:cstheme="majorBidi"/>
        </w:rPr>
        <w:t xml:space="preserve">one of </w:t>
      </w:r>
      <w:r w:rsidR="00164DF3" w:rsidRPr="00E1531A">
        <w:rPr>
          <w:rFonts w:asciiTheme="majorBidi" w:hAnsiTheme="majorBidi" w:cstheme="majorBidi"/>
        </w:rPr>
        <w:t>the presenter</w:t>
      </w:r>
      <w:r w:rsidR="00D47759" w:rsidRPr="00E1531A">
        <w:rPr>
          <w:rFonts w:asciiTheme="majorBidi" w:hAnsiTheme="majorBidi" w:cstheme="majorBidi"/>
        </w:rPr>
        <w:t>s</w:t>
      </w:r>
      <w:r w:rsidR="00164DF3" w:rsidRPr="00E1531A">
        <w:rPr>
          <w:rFonts w:asciiTheme="majorBidi" w:hAnsiTheme="majorBidi" w:cstheme="majorBidi"/>
        </w:rPr>
        <w:t xml:space="preserve"> had to leave the meeting early.</w:t>
      </w:r>
    </w:p>
    <w:p w14:paraId="5EFB9A5F" w14:textId="77777777" w:rsidR="00E609EA" w:rsidRPr="00E1531A" w:rsidRDefault="00E609EA" w:rsidP="00E609EA">
      <w:pPr>
        <w:pStyle w:val="Heading1"/>
        <w:rPr>
          <w:rFonts w:asciiTheme="majorBidi" w:hAnsiTheme="majorBidi" w:cstheme="majorBidi"/>
          <w:szCs w:val="28"/>
        </w:rPr>
      </w:pPr>
      <w:r w:rsidRPr="00E1531A">
        <w:rPr>
          <w:rFonts w:asciiTheme="majorBidi" w:hAnsiTheme="majorBidi" w:cstheme="majorBidi"/>
          <w:szCs w:val="28"/>
        </w:rPr>
        <w:t>3</w:t>
      </w:r>
      <w:r w:rsidRPr="00E1531A">
        <w:rPr>
          <w:rFonts w:asciiTheme="majorBidi" w:hAnsiTheme="majorBidi" w:cstheme="majorBidi"/>
          <w:szCs w:val="28"/>
        </w:rPr>
        <w:tab/>
        <w:t xml:space="preserve">Summary record of the last CCT conference call </w:t>
      </w:r>
    </w:p>
    <w:p w14:paraId="755E135D" w14:textId="69608961" w:rsidR="00E609EA" w:rsidRPr="00E1531A" w:rsidRDefault="00E609EA" w:rsidP="00E609EA">
      <w:pPr>
        <w:tabs>
          <w:tab w:val="left" w:pos="392"/>
        </w:tabs>
        <w:rPr>
          <w:rFonts w:asciiTheme="majorBidi" w:hAnsiTheme="majorBidi" w:cstheme="majorBidi"/>
        </w:rPr>
      </w:pPr>
      <w:r w:rsidRPr="00E1531A">
        <w:rPr>
          <w:rFonts w:asciiTheme="majorBidi" w:hAnsiTheme="majorBidi" w:cstheme="majorBidi"/>
        </w:rPr>
        <w:t>Document </w:t>
      </w:r>
      <w:hyperlink r:id="rId11" w:history="1">
        <w:r w:rsidR="00164DF3" w:rsidRPr="00E1531A">
          <w:rPr>
            <w:rStyle w:val="Hyperlink"/>
            <w:sz w:val="22"/>
            <w:szCs w:val="22"/>
          </w:rPr>
          <w:t>CCV/33</w:t>
        </w:r>
      </w:hyperlink>
      <w:r w:rsidR="00164DF3" w:rsidRPr="00E1531A">
        <w:rPr>
          <w:sz w:val="22"/>
          <w:szCs w:val="22"/>
        </w:rPr>
        <w:t xml:space="preserve"> | </w:t>
      </w:r>
      <w:hyperlink r:id="rId12" w:history="1">
        <w:r w:rsidR="00164DF3" w:rsidRPr="00E1531A">
          <w:rPr>
            <w:rStyle w:val="Hyperlink"/>
            <w:sz w:val="22"/>
            <w:szCs w:val="22"/>
          </w:rPr>
          <w:t>SCV-TD176</w:t>
        </w:r>
      </w:hyperlink>
      <w:r w:rsidRPr="00E1531A">
        <w:rPr>
          <w:rFonts w:asciiTheme="majorBidi" w:hAnsiTheme="majorBidi"/>
        </w:rPr>
        <w:t>,</w:t>
      </w:r>
      <w:r w:rsidRPr="00E1531A">
        <w:rPr>
          <w:rFonts w:asciiTheme="majorBidi" w:hAnsiTheme="majorBidi" w:cstheme="majorBidi"/>
        </w:rPr>
        <w:t xml:space="preserve"> Summary record of the CCT conference call meeting of </w:t>
      </w:r>
      <w:r w:rsidR="002241E9" w:rsidRPr="00E1531A">
        <w:rPr>
          <w:rFonts w:asciiTheme="majorBidi" w:hAnsiTheme="majorBidi" w:cstheme="majorBidi"/>
        </w:rPr>
        <w:t>8</w:t>
      </w:r>
      <w:r w:rsidRPr="00E1531A">
        <w:rPr>
          <w:rFonts w:asciiTheme="majorBidi" w:hAnsiTheme="majorBidi" w:cstheme="majorBidi"/>
        </w:rPr>
        <w:t xml:space="preserve"> </w:t>
      </w:r>
      <w:r w:rsidR="00164DF3" w:rsidRPr="00E1531A">
        <w:rPr>
          <w:rFonts w:asciiTheme="majorBidi" w:hAnsiTheme="majorBidi" w:cstheme="majorBidi"/>
        </w:rPr>
        <w:t xml:space="preserve">February </w:t>
      </w:r>
      <w:r w:rsidRPr="00E1531A">
        <w:rPr>
          <w:rFonts w:asciiTheme="majorBidi" w:hAnsiTheme="majorBidi" w:cstheme="majorBidi"/>
        </w:rPr>
        <w:t>202</w:t>
      </w:r>
      <w:r w:rsidR="00164DF3" w:rsidRPr="00E1531A">
        <w:rPr>
          <w:rFonts w:asciiTheme="majorBidi" w:hAnsiTheme="majorBidi" w:cstheme="majorBidi"/>
        </w:rPr>
        <w:t>2</w:t>
      </w:r>
      <w:r w:rsidRPr="00E1531A">
        <w:rPr>
          <w:rFonts w:asciiTheme="majorBidi" w:hAnsiTheme="majorBidi" w:cstheme="majorBidi"/>
        </w:rPr>
        <w:t xml:space="preserve">, was presented and approved without modification. </w:t>
      </w:r>
    </w:p>
    <w:p w14:paraId="3519C35B" w14:textId="77777777" w:rsidR="00E609EA" w:rsidRPr="00E1531A" w:rsidRDefault="00E609EA" w:rsidP="00E609EA">
      <w:pPr>
        <w:pStyle w:val="Heading1"/>
        <w:rPr>
          <w:rFonts w:asciiTheme="majorBidi" w:hAnsiTheme="majorBidi" w:cstheme="majorBidi"/>
          <w:szCs w:val="28"/>
        </w:rPr>
      </w:pPr>
      <w:r w:rsidRPr="00E1531A">
        <w:rPr>
          <w:rFonts w:asciiTheme="majorBidi" w:hAnsiTheme="majorBidi" w:cstheme="majorBidi"/>
          <w:szCs w:val="28"/>
        </w:rPr>
        <w:t>4</w:t>
      </w:r>
      <w:r w:rsidRPr="00E1531A">
        <w:rPr>
          <w:rFonts w:asciiTheme="majorBidi" w:hAnsiTheme="majorBidi" w:cstheme="majorBidi"/>
          <w:szCs w:val="28"/>
        </w:rPr>
        <w:tab/>
        <w:t>Review of input documents and follow-up actions</w:t>
      </w:r>
    </w:p>
    <w:p w14:paraId="027A0F48" w14:textId="7DFA9488" w:rsidR="002241E9" w:rsidRPr="00E1531A" w:rsidRDefault="002241E9" w:rsidP="00E609EA">
      <w:pPr>
        <w:pStyle w:val="Heading2"/>
        <w:rPr>
          <w:color w:val="000000"/>
        </w:rPr>
      </w:pPr>
      <w:r w:rsidRPr="00E1531A">
        <w:rPr>
          <w:rFonts w:asciiTheme="majorBidi" w:hAnsiTheme="majorBidi" w:cstheme="majorBidi"/>
          <w:szCs w:val="24"/>
        </w:rPr>
        <w:t>4.1</w:t>
      </w:r>
      <w:r w:rsidRPr="00E1531A">
        <w:rPr>
          <w:rFonts w:asciiTheme="majorBidi" w:hAnsiTheme="majorBidi" w:cstheme="majorBidi"/>
          <w:szCs w:val="24"/>
        </w:rPr>
        <w:tab/>
      </w:r>
      <w:r w:rsidRPr="00E1531A">
        <w:rPr>
          <w:sz w:val="23"/>
          <w:szCs w:val="23"/>
        </w:rPr>
        <w:t>Proposed liaison statement to all ITU-T study groups regarding vocabulary rapporteurs</w:t>
      </w:r>
      <w:r w:rsidRPr="00E1531A">
        <w:rPr>
          <w:color w:val="000000"/>
        </w:rPr>
        <w:t xml:space="preserve"> </w:t>
      </w:r>
    </w:p>
    <w:p w14:paraId="11211162" w14:textId="2385AFF5" w:rsidR="00F14683" w:rsidRPr="00E1531A" w:rsidRDefault="00F14683" w:rsidP="00F14683">
      <w:pPr>
        <w:rPr>
          <w:lang w:eastAsia="en-US"/>
        </w:rPr>
      </w:pPr>
      <w:r w:rsidRPr="00E1531A">
        <w:rPr>
          <w:lang w:eastAsia="en-US"/>
        </w:rPr>
        <w:t xml:space="preserve">Document </w:t>
      </w:r>
      <w:hyperlink r:id="rId13" w:history="1">
        <w:r w:rsidRPr="00E1531A">
          <w:rPr>
            <w:rStyle w:val="Hyperlink"/>
            <w:sz w:val="22"/>
            <w:szCs w:val="22"/>
          </w:rPr>
          <w:t>SCV-TD05</w:t>
        </w:r>
      </w:hyperlink>
      <w:r w:rsidRPr="00E1531A">
        <w:rPr>
          <w:lang w:eastAsia="en-US"/>
        </w:rPr>
        <w:t>, containing the text of a liaison statement to be sent to all ITU-T study groups reminding them to appoint a vocabulary rapporteur for the new study period was presented and approved.</w:t>
      </w:r>
    </w:p>
    <w:p w14:paraId="26343902" w14:textId="57EBD446" w:rsidR="002241E9" w:rsidRPr="00E1531A" w:rsidRDefault="002241E9" w:rsidP="00E609EA">
      <w:pPr>
        <w:pStyle w:val="Heading2"/>
        <w:rPr>
          <w:color w:val="000000"/>
          <w:sz w:val="23"/>
          <w:szCs w:val="23"/>
        </w:rPr>
      </w:pPr>
      <w:r w:rsidRPr="00E1531A">
        <w:rPr>
          <w:rFonts w:asciiTheme="majorBidi" w:hAnsiTheme="majorBidi" w:cstheme="majorBidi"/>
          <w:szCs w:val="24"/>
        </w:rPr>
        <w:t>4.2</w:t>
      </w:r>
      <w:r w:rsidRPr="00E1531A">
        <w:rPr>
          <w:rFonts w:asciiTheme="majorBidi" w:hAnsiTheme="majorBidi" w:cstheme="majorBidi"/>
          <w:szCs w:val="24"/>
        </w:rPr>
        <w:tab/>
      </w:r>
      <w:r w:rsidRPr="00E1531A">
        <w:rPr>
          <w:color w:val="000000"/>
          <w:sz w:val="23"/>
          <w:szCs w:val="23"/>
        </w:rPr>
        <w:t>Terminology considerations within ITU-T SG2</w:t>
      </w:r>
      <w:r w:rsidR="00F14683" w:rsidRPr="00E1531A">
        <w:rPr>
          <w:color w:val="000000"/>
          <w:sz w:val="23"/>
          <w:szCs w:val="23"/>
        </w:rPr>
        <w:t xml:space="preserve"> </w:t>
      </w:r>
    </w:p>
    <w:p w14:paraId="0D3B5D4C" w14:textId="608EAB0E" w:rsidR="00F14683" w:rsidRPr="00E1531A" w:rsidRDefault="00F14683" w:rsidP="00F14683">
      <w:pPr>
        <w:rPr>
          <w:rFonts w:asciiTheme="majorBidi" w:eastAsia="Times New Roman" w:hAnsiTheme="majorBidi" w:cstheme="majorBidi"/>
          <w:bCs/>
          <w:lang w:eastAsia="en-US"/>
        </w:rPr>
      </w:pPr>
      <w:r w:rsidRPr="00E1531A">
        <w:rPr>
          <w:rFonts w:asciiTheme="majorBidi" w:eastAsia="Times New Roman" w:hAnsiTheme="majorBidi" w:cstheme="majorBidi"/>
          <w:bCs/>
          <w:lang w:eastAsia="en-US"/>
        </w:rPr>
        <w:t xml:space="preserve">Document </w:t>
      </w:r>
      <w:hyperlink r:id="rId14" w:history="1">
        <w:r w:rsidRPr="00E1531A">
          <w:rPr>
            <w:rStyle w:val="Hyperlink"/>
            <w:sz w:val="22"/>
            <w:szCs w:val="22"/>
          </w:rPr>
          <w:t>SCV-TD07</w:t>
        </w:r>
      </w:hyperlink>
      <w:r w:rsidRPr="00E1531A">
        <w:rPr>
          <w:rStyle w:val="Hyperlink"/>
        </w:rPr>
        <w:t xml:space="preserve"> </w:t>
      </w:r>
      <w:r w:rsidRPr="00E1531A">
        <w:rPr>
          <w:rFonts w:asciiTheme="majorBidi" w:eastAsia="Times New Roman" w:hAnsiTheme="majorBidi" w:cstheme="majorBidi"/>
          <w:bCs/>
          <w:lang w:eastAsia="en-US"/>
        </w:rPr>
        <w:t>was presented</w:t>
      </w:r>
      <w:r w:rsidR="00EF63E9" w:rsidRPr="00E1531A">
        <w:rPr>
          <w:rFonts w:asciiTheme="majorBidi" w:eastAsia="Times New Roman" w:hAnsiTheme="majorBidi" w:cstheme="majorBidi"/>
          <w:bCs/>
          <w:lang w:eastAsia="en-US"/>
        </w:rPr>
        <w:t>. It contains the following three parts:</w:t>
      </w:r>
    </w:p>
    <w:p w14:paraId="263AC98F" w14:textId="539C1E78" w:rsidR="00EF63E9" w:rsidRPr="00E1531A" w:rsidRDefault="00EF63E9" w:rsidP="00BD6823">
      <w:pPr>
        <w:tabs>
          <w:tab w:val="left" w:pos="851"/>
        </w:tabs>
        <w:rPr>
          <w:rFonts w:asciiTheme="majorBidi" w:hAnsiTheme="majorBidi" w:cstheme="majorBidi"/>
        </w:rPr>
      </w:pPr>
      <w:r w:rsidRPr="00E1531A">
        <w:rPr>
          <w:bCs/>
          <w:lang w:eastAsia="en-US"/>
        </w:rPr>
        <w:t xml:space="preserve">1. </w:t>
      </w:r>
      <w:r w:rsidRPr="00E1531A">
        <w:rPr>
          <w:rFonts w:asciiTheme="majorBidi" w:hAnsiTheme="majorBidi" w:cstheme="majorBidi"/>
        </w:rPr>
        <w:t xml:space="preserve">A </w:t>
      </w:r>
      <w:r w:rsidR="00745E77">
        <w:rPr>
          <w:rFonts w:asciiTheme="majorBidi" w:hAnsiTheme="majorBidi" w:cstheme="majorBidi"/>
        </w:rPr>
        <w:t xml:space="preserve">suggestion </w:t>
      </w:r>
      <w:r w:rsidRPr="00E1531A">
        <w:rPr>
          <w:rFonts w:asciiTheme="majorBidi" w:hAnsiTheme="majorBidi" w:cstheme="majorBidi"/>
        </w:rPr>
        <w:t xml:space="preserve">from </w:t>
      </w:r>
      <w:r w:rsidR="00753EC5" w:rsidRPr="00E1531A">
        <w:rPr>
          <w:sz w:val="23"/>
          <w:szCs w:val="23"/>
        </w:rPr>
        <w:t xml:space="preserve">ITU-T </w:t>
      </w:r>
      <w:r w:rsidRPr="00E1531A">
        <w:rPr>
          <w:rFonts w:asciiTheme="majorBidi" w:hAnsiTheme="majorBidi" w:cstheme="majorBidi"/>
        </w:rPr>
        <w:t xml:space="preserve">SG2 to examine the possibility of evaluating a proposal from </w:t>
      </w:r>
      <w:r w:rsidR="00753EC5" w:rsidRPr="00E1531A">
        <w:rPr>
          <w:rFonts w:asciiTheme="majorBidi" w:hAnsiTheme="majorBidi" w:cstheme="majorBidi"/>
        </w:rPr>
        <w:t xml:space="preserve">ITU-T </w:t>
      </w:r>
      <w:r w:rsidRPr="00E1531A">
        <w:rPr>
          <w:rFonts w:asciiTheme="majorBidi" w:hAnsiTheme="majorBidi" w:cstheme="majorBidi"/>
        </w:rPr>
        <w:t xml:space="preserve">SG5 to evaluate ISO/IEC Directive 2 regarding terms and definitions. The Chairman agreed that the proposal could be evaluated and asked </w:t>
      </w:r>
      <w:r w:rsidR="00753EC5" w:rsidRPr="00E1531A">
        <w:rPr>
          <w:rFonts w:asciiTheme="majorBidi" w:hAnsiTheme="majorBidi" w:cstheme="majorBidi"/>
        </w:rPr>
        <w:t xml:space="preserve">ITU-T </w:t>
      </w:r>
      <w:r w:rsidRPr="00E1531A">
        <w:rPr>
          <w:rFonts w:asciiTheme="majorBidi" w:hAnsiTheme="majorBidi" w:cstheme="majorBidi"/>
        </w:rPr>
        <w:t xml:space="preserve">SG2 vocabulary rapporteur to lead this activity. </w:t>
      </w:r>
    </w:p>
    <w:p w14:paraId="5C452C26" w14:textId="0260DA78" w:rsidR="00EF63E9" w:rsidRPr="00E1531A" w:rsidRDefault="00EF63E9" w:rsidP="00BD6823">
      <w:pPr>
        <w:tabs>
          <w:tab w:val="left" w:pos="851"/>
        </w:tabs>
        <w:rPr>
          <w:rFonts w:asciiTheme="majorBidi" w:hAnsiTheme="majorBidi" w:cstheme="majorBidi"/>
        </w:rPr>
      </w:pPr>
      <w:r w:rsidRPr="00E1531A">
        <w:rPr>
          <w:rFonts w:asciiTheme="majorBidi" w:hAnsiTheme="majorBidi" w:cstheme="majorBidi"/>
        </w:rPr>
        <w:t>2. Proposed definitions for terms "Communication network health", "Communication network health index" and "Network toughness".</w:t>
      </w:r>
      <w:r w:rsidR="00BD6823" w:rsidRPr="00E1531A">
        <w:rPr>
          <w:rFonts w:asciiTheme="majorBidi" w:hAnsiTheme="majorBidi" w:cstheme="majorBidi"/>
        </w:rPr>
        <w:t xml:space="preserve"> As there were no comments on the definitions, and these had not yet been approved by </w:t>
      </w:r>
      <w:r w:rsidR="00753EC5" w:rsidRPr="00E1531A">
        <w:rPr>
          <w:rFonts w:asciiTheme="majorBidi" w:hAnsiTheme="majorBidi" w:cstheme="majorBidi"/>
        </w:rPr>
        <w:t xml:space="preserve">ITU-T </w:t>
      </w:r>
      <w:r w:rsidR="00BD6823" w:rsidRPr="00E1531A">
        <w:rPr>
          <w:rFonts w:asciiTheme="majorBidi" w:hAnsiTheme="majorBidi" w:cstheme="majorBidi"/>
        </w:rPr>
        <w:t xml:space="preserve">SG2, it was decided that the terms and definitions be placed </w:t>
      </w:r>
      <w:bookmarkStart w:id="9" w:name="_Hlk106894678"/>
      <w:r w:rsidR="00BD6823" w:rsidRPr="00E1531A">
        <w:rPr>
          <w:rFonts w:asciiTheme="majorBidi" w:hAnsiTheme="majorBidi" w:cstheme="majorBidi"/>
        </w:rPr>
        <w:t xml:space="preserve">in Part </w:t>
      </w:r>
      <w:r w:rsidR="008B5977" w:rsidRPr="00E1531A">
        <w:rPr>
          <w:rFonts w:asciiTheme="majorBidi" w:hAnsiTheme="majorBidi" w:cstheme="majorBidi"/>
        </w:rPr>
        <w:t>3</w:t>
      </w:r>
      <w:r w:rsidR="00BD6823" w:rsidRPr="00E1531A">
        <w:rPr>
          <w:rFonts w:asciiTheme="majorBidi" w:hAnsiTheme="majorBidi" w:cstheme="majorBidi"/>
        </w:rPr>
        <w:t xml:space="preserve"> of the </w:t>
      </w:r>
      <w:r w:rsidR="008B5977" w:rsidRPr="00E1531A">
        <w:rPr>
          <w:rFonts w:asciiTheme="majorBidi" w:hAnsiTheme="majorBidi" w:cstheme="majorBidi"/>
        </w:rPr>
        <w:t xml:space="preserve">ITU </w:t>
      </w:r>
      <w:r w:rsidR="00BD6823" w:rsidRPr="00E1531A">
        <w:rPr>
          <w:rFonts w:asciiTheme="majorBidi" w:hAnsiTheme="majorBidi" w:cstheme="majorBidi"/>
        </w:rPr>
        <w:t xml:space="preserve">Terminology Database </w:t>
      </w:r>
      <w:bookmarkEnd w:id="9"/>
      <w:r w:rsidR="00BD6823" w:rsidRPr="00E1531A">
        <w:rPr>
          <w:rFonts w:asciiTheme="majorBidi" w:hAnsiTheme="majorBidi" w:cstheme="majorBidi"/>
        </w:rPr>
        <w:t>pending approval.</w:t>
      </w:r>
    </w:p>
    <w:p w14:paraId="0B7492E3" w14:textId="5586E991" w:rsidR="002241E9" w:rsidRPr="00E1531A" w:rsidRDefault="00BD6823" w:rsidP="0021405D">
      <w:pPr>
        <w:tabs>
          <w:tab w:val="left" w:pos="851"/>
        </w:tabs>
        <w:rPr>
          <w:bCs/>
          <w:color w:val="000000"/>
        </w:rPr>
      </w:pPr>
      <w:r w:rsidRPr="00E1531A">
        <w:rPr>
          <w:rFonts w:asciiTheme="majorBidi" w:hAnsiTheme="majorBidi" w:cstheme="majorBidi"/>
        </w:rPr>
        <w:t xml:space="preserve">3. A comment from </w:t>
      </w:r>
      <w:r w:rsidR="00753EC5" w:rsidRPr="00E1531A">
        <w:rPr>
          <w:rFonts w:asciiTheme="majorBidi" w:hAnsiTheme="majorBidi" w:cstheme="majorBidi"/>
        </w:rPr>
        <w:t xml:space="preserve">ITU-T </w:t>
      </w:r>
      <w:r w:rsidRPr="00E1531A">
        <w:rPr>
          <w:rFonts w:asciiTheme="majorBidi" w:hAnsiTheme="majorBidi" w:cstheme="majorBidi"/>
        </w:rPr>
        <w:t xml:space="preserve">SG2 regarding the definition for "Distributed Ledger Technology" proposed by </w:t>
      </w:r>
      <w:r w:rsidR="00753EC5" w:rsidRPr="00E1531A">
        <w:rPr>
          <w:rFonts w:asciiTheme="majorBidi" w:hAnsiTheme="majorBidi" w:cstheme="majorBidi"/>
        </w:rPr>
        <w:t xml:space="preserve">ITU-T </w:t>
      </w:r>
      <w:r w:rsidRPr="00E1531A">
        <w:rPr>
          <w:rFonts w:asciiTheme="majorBidi" w:hAnsiTheme="majorBidi" w:cstheme="majorBidi"/>
        </w:rPr>
        <w:t xml:space="preserve">SG20, whereby </w:t>
      </w:r>
      <w:r w:rsidR="00753EC5" w:rsidRPr="00E1531A">
        <w:rPr>
          <w:rFonts w:asciiTheme="majorBidi" w:hAnsiTheme="majorBidi" w:cstheme="majorBidi"/>
        </w:rPr>
        <w:t xml:space="preserve">ITU-T </w:t>
      </w:r>
      <w:r w:rsidRPr="00E1531A">
        <w:rPr>
          <w:rFonts w:asciiTheme="majorBidi" w:hAnsiTheme="majorBidi" w:cstheme="majorBidi"/>
        </w:rPr>
        <w:t>SG2 indicates that instead of redefining the term, it would be preferable that the definition already published in ITU-T L.317 were used. This was agreed by the meeting.</w:t>
      </w:r>
    </w:p>
    <w:p w14:paraId="38685B8B" w14:textId="26B13138" w:rsidR="00E609EA" w:rsidRPr="00E1531A" w:rsidRDefault="00831BFD" w:rsidP="00E609EA">
      <w:pPr>
        <w:pStyle w:val="Heading2"/>
        <w:rPr>
          <w:color w:val="000000"/>
        </w:rPr>
      </w:pPr>
      <w:r w:rsidRPr="00E1531A">
        <w:rPr>
          <w:color w:val="000000"/>
        </w:rPr>
        <w:lastRenderedPageBreak/>
        <w:t>4.3</w:t>
      </w:r>
      <w:r w:rsidRPr="00E1531A">
        <w:rPr>
          <w:color w:val="000000"/>
        </w:rPr>
        <w:tab/>
      </w:r>
      <w:r w:rsidR="00E609EA" w:rsidRPr="00E1531A">
        <w:rPr>
          <w:color w:val="000000"/>
        </w:rPr>
        <w:t>Definitions being developed by ITU-T SG</w:t>
      </w:r>
      <w:r w:rsidRPr="00E1531A">
        <w:rPr>
          <w:color w:val="000000"/>
        </w:rPr>
        <w:t>3</w:t>
      </w:r>
    </w:p>
    <w:p w14:paraId="2A5F9185" w14:textId="0FBD59F4" w:rsidR="00DA20BB" w:rsidRPr="00E1531A" w:rsidRDefault="00831BFD" w:rsidP="00753EC5">
      <w:pPr>
        <w:tabs>
          <w:tab w:val="left" w:pos="851"/>
        </w:tabs>
        <w:rPr>
          <w:sz w:val="23"/>
          <w:szCs w:val="23"/>
        </w:rPr>
      </w:pPr>
      <w:r w:rsidRPr="00E1531A">
        <w:rPr>
          <w:rFonts w:asciiTheme="majorBidi" w:hAnsiTheme="majorBidi" w:cstheme="majorBidi"/>
        </w:rPr>
        <w:t>Documents</w:t>
      </w:r>
      <w:r w:rsidRPr="00E1531A">
        <w:t xml:space="preserve"> </w:t>
      </w:r>
      <w:hyperlink r:id="rId15" w:history="1">
        <w:r w:rsidR="00753EC5" w:rsidRPr="00E1531A">
          <w:rPr>
            <w:rStyle w:val="Hyperlink"/>
            <w:sz w:val="23"/>
            <w:szCs w:val="23"/>
          </w:rPr>
          <w:t>SCV-TD174</w:t>
        </w:r>
      </w:hyperlink>
      <w:r w:rsidR="00753EC5" w:rsidRPr="00E1531A">
        <w:rPr>
          <w:sz w:val="23"/>
          <w:szCs w:val="23"/>
        </w:rPr>
        <w:t xml:space="preserve"> | </w:t>
      </w:r>
      <w:hyperlink r:id="rId16" w:history="1">
        <w:r w:rsidR="00753EC5" w:rsidRPr="00E1531A">
          <w:rPr>
            <w:rStyle w:val="Hyperlink"/>
            <w:sz w:val="23"/>
            <w:szCs w:val="23"/>
          </w:rPr>
          <w:t>CCV/22</w:t>
        </w:r>
      </w:hyperlink>
      <w:r w:rsidR="00753EC5" w:rsidRPr="00E1531A">
        <w:rPr>
          <w:rStyle w:val="Hyperlink"/>
          <w:sz w:val="23"/>
          <w:szCs w:val="23"/>
        </w:rPr>
        <w:t xml:space="preserve"> </w:t>
      </w:r>
      <w:r w:rsidR="00753EC5" w:rsidRPr="00E1531A">
        <w:rPr>
          <w:sz w:val="23"/>
          <w:szCs w:val="23"/>
        </w:rPr>
        <w:t>and</w:t>
      </w:r>
      <w:r w:rsidR="00753EC5" w:rsidRPr="00E1531A">
        <w:rPr>
          <w:rStyle w:val="Hyperlink"/>
          <w:sz w:val="23"/>
          <w:szCs w:val="23"/>
        </w:rPr>
        <w:t xml:space="preserve"> </w:t>
      </w:r>
      <w:hyperlink r:id="rId17" w:history="1">
        <w:r w:rsidR="00753EC5" w:rsidRPr="00E1531A">
          <w:rPr>
            <w:rStyle w:val="Hyperlink"/>
            <w:sz w:val="23"/>
            <w:szCs w:val="23"/>
          </w:rPr>
          <w:t>SCV-TD165</w:t>
        </w:r>
      </w:hyperlink>
      <w:r w:rsidR="00753EC5" w:rsidRPr="00E1531A">
        <w:rPr>
          <w:sz w:val="23"/>
          <w:szCs w:val="23"/>
        </w:rPr>
        <w:t xml:space="preserve"> | </w:t>
      </w:r>
      <w:hyperlink r:id="rId18" w:history="1">
        <w:r w:rsidR="00753EC5" w:rsidRPr="00E1531A">
          <w:rPr>
            <w:rStyle w:val="Hyperlink"/>
            <w:sz w:val="23"/>
            <w:szCs w:val="23"/>
          </w:rPr>
          <w:t>CCV/25</w:t>
        </w:r>
      </w:hyperlink>
      <w:r w:rsidR="00753EC5" w:rsidRPr="00E1531A">
        <w:rPr>
          <w:sz w:val="23"/>
          <w:szCs w:val="23"/>
        </w:rPr>
        <w:t>, part 3 were presented.</w:t>
      </w:r>
    </w:p>
    <w:p w14:paraId="6E308F13" w14:textId="0122B8DA" w:rsidR="00753EC5" w:rsidRPr="00E1531A" w:rsidRDefault="00290BA3" w:rsidP="00753EC5">
      <w:pPr>
        <w:tabs>
          <w:tab w:val="left" w:pos="851"/>
        </w:tabs>
        <w:rPr>
          <w:rFonts w:asciiTheme="majorBidi" w:hAnsiTheme="majorBidi" w:cstheme="majorBidi"/>
        </w:rPr>
      </w:pPr>
      <w:r w:rsidRPr="00E1531A">
        <w:rPr>
          <w:rFonts w:asciiTheme="majorBidi" w:hAnsiTheme="majorBidi" w:cstheme="majorBidi"/>
        </w:rPr>
        <w:t xml:space="preserve">After noting that several of the terms contained in </w:t>
      </w:r>
      <w:r w:rsidR="00753EC5" w:rsidRPr="00E1531A">
        <w:rPr>
          <w:rFonts w:asciiTheme="majorBidi" w:hAnsiTheme="majorBidi" w:cstheme="majorBidi"/>
        </w:rPr>
        <w:t>Document</w:t>
      </w:r>
      <w:r w:rsidR="00753EC5" w:rsidRPr="00E1531A">
        <w:t xml:space="preserve"> </w:t>
      </w:r>
      <w:hyperlink r:id="rId19" w:history="1">
        <w:r w:rsidR="00753EC5" w:rsidRPr="00E1531A">
          <w:rPr>
            <w:rStyle w:val="Hyperlink"/>
            <w:sz w:val="23"/>
            <w:szCs w:val="23"/>
          </w:rPr>
          <w:t>SCV-TD174</w:t>
        </w:r>
      </w:hyperlink>
      <w:r w:rsidR="00753EC5" w:rsidRPr="00E1531A">
        <w:rPr>
          <w:sz w:val="23"/>
          <w:szCs w:val="23"/>
        </w:rPr>
        <w:t xml:space="preserve"> | </w:t>
      </w:r>
      <w:hyperlink r:id="rId20" w:history="1">
        <w:r w:rsidR="00753EC5" w:rsidRPr="00E1531A">
          <w:rPr>
            <w:rStyle w:val="Hyperlink"/>
            <w:sz w:val="23"/>
            <w:szCs w:val="23"/>
          </w:rPr>
          <w:t>CCV/22</w:t>
        </w:r>
      </w:hyperlink>
      <w:r w:rsidR="00753EC5" w:rsidRPr="00E1531A">
        <w:rPr>
          <w:sz w:val="23"/>
          <w:szCs w:val="23"/>
        </w:rPr>
        <w:t xml:space="preserve"> </w:t>
      </w:r>
      <w:r w:rsidRPr="00E1531A">
        <w:rPr>
          <w:sz w:val="23"/>
          <w:szCs w:val="23"/>
        </w:rPr>
        <w:t>could already exist in the Terminology database, t</w:t>
      </w:r>
      <w:r w:rsidRPr="00E1531A">
        <w:rPr>
          <w:rFonts w:asciiTheme="majorBidi" w:hAnsiTheme="majorBidi" w:cstheme="majorBidi"/>
        </w:rPr>
        <w:t>he meeting decided that a liaison statement be sent to ITU-T SG3 indicating which of the terms are already in the database and highlighting that the definition for "gross operating surplus" could be aligned to the Author's guide by shortening it and making it clearer.</w:t>
      </w:r>
    </w:p>
    <w:p w14:paraId="0A3E2505" w14:textId="6737EE34" w:rsidR="00290BA3" w:rsidRPr="00E1531A" w:rsidRDefault="00012042" w:rsidP="00753EC5">
      <w:pPr>
        <w:tabs>
          <w:tab w:val="left" w:pos="851"/>
        </w:tabs>
      </w:pPr>
      <w:r w:rsidRPr="00E1531A">
        <w:t xml:space="preserve">Part 3 of Document </w:t>
      </w:r>
      <w:hyperlink r:id="rId21" w:history="1">
        <w:r w:rsidRPr="00E1531A">
          <w:rPr>
            <w:rStyle w:val="Hyperlink"/>
            <w:sz w:val="23"/>
            <w:szCs w:val="23"/>
          </w:rPr>
          <w:t>SCV-TD165</w:t>
        </w:r>
      </w:hyperlink>
      <w:r w:rsidRPr="00E1531A">
        <w:rPr>
          <w:sz w:val="23"/>
          <w:szCs w:val="23"/>
        </w:rPr>
        <w:t xml:space="preserve"> | </w:t>
      </w:r>
      <w:hyperlink r:id="rId22" w:history="1">
        <w:r w:rsidRPr="00E1531A">
          <w:rPr>
            <w:rStyle w:val="Hyperlink"/>
            <w:sz w:val="23"/>
            <w:szCs w:val="23"/>
          </w:rPr>
          <w:t>CCV/25</w:t>
        </w:r>
      </w:hyperlink>
      <w:r w:rsidRPr="00E1531A">
        <w:t xml:space="preserve"> contains a reply from ITU-T SG2 to ITU-T SG3 regarding the definitions </w:t>
      </w:r>
      <w:r w:rsidR="007569E8" w:rsidRPr="00E1531A">
        <w:t xml:space="preserve">for "Blockchain" and "over-the-top" </w:t>
      </w:r>
      <w:r w:rsidRPr="00E1531A">
        <w:t>being developed by ITU-T SG3</w:t>
      </w:r>
      <w:r w:rsidR="007569E8" w:rsidRPr="00E1531A">
        <w:t xml:space="preserve">. As ITU-T SG3 had sent the proposed definitions to all ITU-T study groups, </w:t>
      </w:r>
      <w:r w:rsidR="00815D92" w:rsidRPr="00E1531A">
        <w:t>it was decided that no further action was required for the time being.</w:t>
      </w:r>
    </w:p>
    <w:p w14:paraId="1D2668AA" w14:textId="0AE86567" w:rsidR="00815D92" w:rsidRPr="00E1531A" w:rsidRDefault="00815D92" w:rsidP="00A42D25">
      <w:pPr>
        <w:pStyle w:val="Heading2"/>
        <w:rPr>
          <w:color w:val="000000"/>
        </w:rPr>
      </w:pPr>
      <w:r w:rsidRPr="00E1531A">
        <w:rPr>
          <w:color w:val="000000"/>
        </w:rPr>
        <w:t>4.4</w:t>
      </w:r>
      <w:r w:rsidRPr="00E1531A">
        <w:rPr>
          <w:color w:val="000000"/>
        </w:rPr>
        <w:tab/>
      </w:r>
      <w:r w:rsidR="00A42D25" w:rsidRPr="00E1531A">
        <w:rPr>
          <w:color w:val="000000"/>
        </w:rPr>
        <w:t>Definitions being developed by ITU-T SG11</w:t>
      </w:r>
    </w:p>
    <w:p w14:paraId="1086DF49" w14:textId="4306FACA" w:rsidR="00A42D25" w:rsidRPr="00E1531A" w:rsidRDefault="00A42D25" w:rsidP="00753EC5">
      <w:pPr>
        <w:tabs>
          <w:tab w:val="left" w:pos="851"/>
        </w:tabs>
      </w:pPr>
      <w:r w:rsidRPr="00E1531A">
        <w:t xml:space="preserve">Documents  </w:t>
      </w:r>
      <w:hyperlink r:id="rId23" w:history="1">
        <w:r w:rsidRPr="00E1531A">
          <w:rPr>
            <w:rStyle w:val="Hyperlink"/>
            <w:sz w:val="23"/>
            <w:szCs w:val="23"/>
          </w:rPr>
          <w:t>SCV-TD172</w:t>
        </w:r>
      </w:hyperlink>
      <w:r w:rsidRPr="00E1531A">
        <w:rPr>
          <w:sz w:val="23"/>
          <w:szCs w:val="23"/>
        </w:rPr>
        <w:t xml:space="preserve"> | </w:t>
      </w:r>
      <w:hyperlink r:id="rId24" w:history="1">
        <w:r w:rsidRPr="00E1531A">
          <w:rPr>
            <w:rStyle w:val="Hyperlink"/>
            <w:sz w:val="23"/>
            <w:szCs w:val="23"/>
          </w:rPr>
          <w:t>CCV/29</w:t>
        </w:r>
      </w:hyperlink>
      <w:r w:rsidRPr="00E1531A">
        <w:t xml:space="preserve"> and </w:t>
      </w:r>
      <w:hyperlink r:id="rId25" w:history="1">
        <w:r w:rsidRPr="00E1531A">
          <w:rPr>
            <w:rStyle w:val="Hyperlink"/>
          </w:rPr>
          <w:t>SCV-TD10</w:t>
        </w:r>
      </w:hyperlink>
      <w:r w:rsidRPr="00E1531A">
        <w:t xml:space="preserve">  were presented.</w:t>
      </w:r>
    </w:p>
    <w:p w14:paraId="7DCFE1C8" w14:textId="49C9E06E" w:rsidR="00A42D25" w:rsidRPr="00E1531A" w:rsidRDefault="00A42D25" w:rsidP="00753EC5">
      <w:pPr>
        <w:tabs>
          <w:tab w:val="left" w:pos="851"/>
        </w:tabs>
      </w:pPr>
      <w:r w:rsidRPr="00E1531A">
        <w:t xml:space="preserve">Document </w:t>
      </w:r>
      <w:hyperlink r:id="rId26" w:history="1">
        <w:r w:rsidR="00E06C6F" w:rsidRPr="00E1531A">
          <w:rPr>
            <w:rStyle w:val="Hyperlink"/>
            <w:sz w:val="23"/>
            <w:szCs w:val="23"/>
          </w:rPr>
          <w:t>SCV-TD172</w:t>
        </w:r>
      </w:hyperlink>
      <w:r w:rsidR="00E06C6F" w:rsidRPr="00E1531A">
        <w:rPr>
          <w:sz w:val="23"/>
          <w:szCs w:val="23"/>
        </w:rPr>
        <w:t xml:space="preserve"> | </w:t>
      </w:r>
      <w:hyperlink r:id="rId27" w:history="1">
        <w:r w:rsidR="00E06C6F" w:rsidRPr="00E1531A">
          <w:rPr>
            <w:rStyle w:val="Hyperlink"/>
            <w:sz w:val="23"/>
            <w:szCs w:val="23"/>
          </w:rPr>
          <w:t>CCV/29</w:t>
        </w:r>
      </w:hyperlink>
      <w:r w:rsidR="00E06C6F" w:rsidRPr="00E1531A">
        <w:t xml:space="preserve"> </w:t>
      </w:r>
      <w:r w:rsidRPr="00E1531A">
        <w:t xml:space="preserve">contains a list of terms being defined </w:t>
      </w:r>
      <w:r w:rsidR="00745E77">
        <w:t xml:space="preserve">by </w:t>
      </w:r>
      <w:r w:rsidRPr="00E1531A">
        <w:t>ITU-T SG11</w:t>
      </w:r>
      <w:r w:rsidR="00E06C6F" w:rsidRPr="00E1531A">
        <w:t xml:space="preserve">.  As other study groups were copied in the liaison statement sent by ITU-T SG11, it was decided that no action would be required for the moment. </w:t>
      </w:r>
    </w:p>
    <w:p w14:paraId="07748AD6" w14:textId="1046ABCD" w:rsidR="00E06C6F" w:rsidRPr="00E1531A" w:rsidRDefault="00E06C6F" w:rsidP="00753EC5">
      <w:pPr>
        <w:tabs>
          <w:tab w:val="left" w:pos="851"/>
        </w:tabs>
      </w:pPr>
      <w:r w:rsidRPr="00E1531A">
        <w:t xml:space="preserve">Document </w:t>
      </w:r>
      <w:hyperlink r:id="rId28" w:history="1">
        <w:r w:rsidRPr="00E1531A">
          <w:rPr>
            <w:rStyle w:val="Hyperlink"/>
          </w:rPr>
          <w:t>SCV-TD10</w:t>
        </w:r>
      </w:hyperlink>
      <w:r w:rsidRPr="00E1531A">
        <w:t xml:space="preserve">  contains a reply from ITU-T SG3 indicating that the terms were not relevant to their work. The document was noted.</w:t>
      </w:r>
    </w:p>
    <w:p w14:paraId="6F5DF777" w14:textId="47CF40CE" w:rsidR="00E06C6F" w:rsidRPr="00E1531A" w:rsidRDefault="002A7F19" w:rsidP="002A7F19">
      <w:pPr>
        <w:pStyle w:val="Heading2"/>
        <w:rPr>
          <w:color w:val="000000"/>
        </w:rPr>
      </w:pPr>
      <w:r w:rsidRPr="00E1531A">
        <w:rPr>
          <w:color w:val="000000"/>
        </w:rPr>
        <w:t>4.5</w:t>
      </w:r>
      <w:r w:rsidRPr="00E1531A">
        <w:rPr>
          <w:color w:val="000000"/>
        </w:rPr>
        <w:tab/>
        <w:t>Definitions being developed by ITU-T SG16</w:t>
      </w:r>
    </w:p>
    <w:p w14:paraId="74F5F6E0" w14:textId="3DF092BE" w:rsidR="002A7F19" w:rsidRPr="00E1531A" w:rsidRDefault="00DC11B9" w:rsidP="00753EC5">
      <w:pPr>
        <w:tabs>
          <w:tab w:val="left" w:pos="851"/>
        </w:tabs>
      </w:pPr>
      <w:r w:rsidRPr="00E1531A">
        <w:t xml:space="preserve">Documents </w:t>
      </w:r>
      <w:hyperlink r:id="rId29" w:history="1">
        <w:r w:rsidRPr="00E1531A">
          <w:rPr>
            <w:rStyle w:val="Hyperlink"/>
          </w:rPr>
          <w:t>SCV-TD02</w:t>
        </w:r>
      </w:hyperlink>
      <w:r w:rsidRPr="00E1531A">
        <w:t xml:space="preserve">, </w:t>
      </w:r>
      <w:hyperlink r:id="rId30" w:history="1">
        <w:r w:rsidRPr="00E1531A">
          <w:rPr>
            <w:rStyle w:val="Hyperlink"/>
          </w:rPr>
          <w:t>SCV-TD11</w:t>
        </w:r>
      </w:hyperlink>
      <w:r w:rsidRPr="00E1531A">
        <w:t xml:space="preserve">, </w:t>
      </w:r>
      <w:hyperlink r:id="rId31" w:history="1">
        <w:r w:rsidRPr="00E1531A">
          <w:rPr>
            <w:rStyle w:val="Hyperlink"/>
          </w:rPr>
          <w:t>SCV-TD03</w:t>
        </w:r>
      </w:hyperlink>
      <w:r w:rsidRPr="00E1531A">
        <w:t xml:space="preserve"> and </w:t>
      </w:r>
      <w:hyperlink r:id="rId32" w:history="1">
        <w:r w:rsidRPr="00E1531A">
          <w:rPr>
            <w:rStyle w:val="Hyperlink"/>
          </w:rPr>
          <w:t>SCV-TD04</w:t>
        </w:r>
      </w:hyperlink>
      <w:r w:rsidRPr="00E1531A">
        <w:t xml:space="preserve"> were presented. </w:t>
      </w:r>
    </w:p>
    <w:p w14:paraId="513A4975" w14:textId="4495A9F9" w:rsidR="00DC11B9" w:rsidRPr="00E1531A" w:rsidRDefault="00DC11B9" w:rsidP="00753EC5">
      <w:pPr>
        <w:tabs>
          <w:tab w:val="left" w:pos="851"/>
        </w:tabs>
      </w:pPr>
      <w:r w:rsidRPr="00E1531A">
        <w:t xml:space="preserve">Through Document </w:t>
      </w:r>
      <w:hyperlink r:id="rId33" w:history="1">
        <w:r w:rsidRPr="00E1531A">
          <w:rPr>
            <w:rStyle w:val="Hyperlink"/>
          </w:rPr>
          <w:t>SCV-TD02</w:t>
        </w:r>
      </w:hyperlink>
      <w:r w:rsidRPr="00E1531A">
        <w:t xml:space="preserve"> ITU-T SG16 informs the CCT that they are starting to work on OTT services and that they will use the definition for OTT contained in Recommendation ITU</w:t>
      </w:r>
      <w:r w:rsidRPr="00E1531A">
        <w:noBreakHyphen/>
        <w:t>T D.262.</w:t>
      </w:r>
      <w:r w:rsidR="004F187D" w:rsidRPr="00E1531A">
        <w:t xml:space="preserve"> Document </w:t>
      </w:r>
      <w:hyperlink r:id="rId34" w:history="1">
        <w:r w:rsidR="004F187D" w:rsidRPr="00E1531A">
          <w:rPr>
            <w:rStyle w:val="Hyperlink"/>
          </w:rPr>
          <w:t>SCV-TD11</w:t>
        </w:r>
      </w:hyperlink>
      <w:r w:rsidR="004F187D" w:rsidRPr="00E1531A">
        <w:t>, contains a reply from ITU-T SG3 to ITU-T SG16 indicating that the definition for OTT in ITU-T D.262 was provided within the context of the Recommendation. Both documents were noted.</w:t>
      </w:r>
    </w:p>
    <w:p w14:paraId="3CA68149" w14:textId="7D73CCC1" w:rsidR="00E170DE" w:rsidRPr="00E1531A" w:rsidRDefault="001E4FC0" w:rsidP="00753EC5">
      <w:pPr>
        <w:tabs>
          <w:tab w:val="left" w:pos="851"/>
        </w:tabs>
      </w:pPr>
      <w:r w:rsidRPr="00E1531A">
        <w:t xml:space="preserve">Document </w:t>
      </w:r>
      <w:hyperlink r:id="rId35" w:history="1">
        <w:r w:rsidRPr="00E1531A">
          <w:rPr>
            <w:rStyle w:val="Hyperlink"/>
          </w:rPr>
          <w:t>SCV-TD03</w:t>
        </w:r>
      </w:hyperlink>
      <w:r w:rsidRPr="00E1531A">
        <w:t xml:space="preserve"> contains several definitions being proposed by ITU-T SG16. The meeting considered that some of the definitions do not follow the Author's guide in that some were comprised of more than one sentence, some were self-referential and some used unexpanded acronyms. It was decided that a liaison statement be sent to ITU-T SG16 highlighting the need to align the definitions to the Author's guide, and that once aligned the definitions should be shared with the other relevant ITU-T study groups.</w:t>
      </w:r>
    </w:p>
    <w:p w14:paraId="5E82F475" w14:textId="2823475E" w:rsidR="001E4FC0" w:rsidRPr="00E1531A" w:rsidRDefault="008658B2" w:rsidP="00753EC5">
      <w:pPr>
        <w:tabs>
          <w:tab w:val="left" w:pos="851"/>
        </w:tabs>
      </w:pPr>
      <w:r w:rsidRPr="00E1531A">
        <w:t xml:space="preserve">Through Document </w:t>
      </w:r>
      <w:hyperlink r:id="rId36" w:history="1">
        <w:r w:rsidRPr="00E1531A">
          <w:rPr>
            <w:rStyle w:val="Hyperlink"/>
          </w:rPr>
          <w:t>SCV-TD04</w:t>
        </w:r>
      </w:hyperlink>
      <w:r w:rsidRPr="00E1531A">
        <w:t>, ITU-T SG16 indicates it will adapt the definitions for "Surface-defect detection", "Feature</w:t>
      </w:r>
      <w:r w:rsidR="001B13B9" w:rsidRPr="00E1531A">
        <w:t>"</w:t>
      </w:r>
      <w:r w:rsidRPr="00E1531A">
        <w:t xml:space="preserve">, </w:t>
      </w:r>
      <w:r w:rsidR="001B13B9" w:rsidRPr="00E1531A">
        <w:t>"</w:t>
      </w:r>
      <w:r w:rsidRPr="00E1531A">
        <w:t xml:space="preserve">Super-resolution" and "Real time resolution service" in accordance with the comments received from ITU-T SG2. </w:t>
      </w:r>
      <w:r w:rsidR="001B13B9" w:rsidRPr="00E1531A">
        <w:t xml:space="preserve">As </w:t>
      </w:r>
      <w:r w:rsidR="009232C9" w:rsidRPr="00E1531A">
        <w:t xml:space="preserve">the </w:t>
      </w:r>
      <w:r w:rsidR="001B13B9" w:rsidRPr="00E1531A">
        <w:t>terms "Super-resolution" and "Real time resolution service" could be related to the work of ITU-R SG</w:t>
      </w:r>
      <w:r w:rsidR="0091035A" w:rsidRPr="00E1531A">
        <w:t xml:space="preserve"> </w:t>
      </w:r>
      <w:r w:rsidR="001B13B9" w:rsidRPr="00E1531A">
        <w:t xml:space="preserve">6, it was decided that </w:t>
      </w:r>
      <w:r w:rsidR="0091035A" w:rsidRPr="00E1531A">
        <w:t xml:space="preserve">a </w:t>
      </w:r>
      <w:r w:rsidR="001B13B9" w:rsidRPr="00E1531A">
        <w:t>liaison statement be sent to ITU-R SG</w:t>
      </w:r>
      <w:r w:rsidR="0091035A" w:rsidRPr="00E1531A">
        <w:t xml:space="preserve"> </w:t>
      </w:r>
      <w:r w:rsidR="001B13B9" w:rsidRPr="00E1531A">
        <w:t>6 for comments</w:t>
      </w:r>
      <w:r w:rsidR="000B46D3" w:rsidRPr="00E1531A">
        <w:t>, if any</w:t>
      </w:r>
      <w:r w:rsidR="001B13B9" w:rsidRPr="00E1531A">
        <w:t>.</w:t>
      </w:r>
    </w:p>
    <w:p w14:paraId="28E1ACC7" w14:textId="1D86C70A" w:rsidR="00AA5336" w:rsidRPr="00E1531A" w:rsidRDefault="00AA5336" w:rsidP="00AA5336">
      <w:pPr>
        <w:pStyle w:val="Heading2"/>
        <w:rPr>
          <w:color w:val="000000"/>
        </w:rPr>
      </w:pPr>
      <w:r w:rsidRPr="00E1531A">
        <w:rPr>
          <w:color w:val="000000"/>
        </w:rPr>
        <w:t>4.6</w:t>
      </w:r>
      <w:r w:rsidRPr="00E1531A">
        <w:rPr>
          <w:color w:val="000000"/>
        </w:rPr>
        <w:tab/>
        <w:t>Definitions being developed by ITU-T SG20</w:t>
      </w:r>
    </w:p>
    <w:p w14:paraId="2468D161" w14:textId="43513548" w:rsidR="00AA5336" w:rsidRPr="00E1531A" w:rsidRDefault="00B812A0" w:rsidP="00753EC5">
      <w:pPr>
        <w:tabs>
          <w:tab w:val="left" w:pos="851"/>
        </w:tabs>
      </w:pPr>
      <w:r w:rsidRPr="00E1531A">
        <w:t xml:space="preserve">Document </w:t>
      </w:r>
      <w:hyperlink r:id="rId37" w:history="1">
        <w:r w:rsidRPr="00E1531A">
          <w:rPr>
            <w:rStyle w:val="Hyperlink"/>
            <w:sz w:val="23"/>
            <w:szCs w:val="23"/>
          </w:rPr>
          <w:t>SCV-TD173</w:t>
        </w:r>
      </w:hyperlink>
      <w:r w:rsidRPr="00E1531A">
        <w:t xml:space="preserve">, containing a draft Recommendation </w:t>
      </w:r>
      <w:r w:rsidR="00DA5E17" w:rsidRPr="00E1531A">
        <w:t xml:space="preserve">on blockchain vocabulary was presented, as well as </w:t>
      </w:r>
      <w:r w:rsidR="00DA5E17" w:rsidRPr="00E1531A">
        <w:rPr>
          <w:color w:val="000000"/>
          <w:sz w:val="23"/>
          <w:szCs w:val="23"/>
        </w:rPr>
        <w:t xml:space="preserve"> </w:t>
      </w:r>
      <w:hyperlink r:id="rId38" w:history="1">
        <w:r w:rsidR="00DA5E17" w:rsidRPr="00E1531A">
          <w:rPr>
            <w:rStyle w:val="Hyperlink"/>
            <w:sz w:val="23"/>
            <w:szCs w:val="23"/>
          </w:rPr>
          <w:t>SCV-LS42</w:t>
        </w:r>
      </w:hyperlink>
      <w:r w:rsidR="00DA5E17" w:rsidRPr="00E1531A">
        <w:t xml:space="preserve"> whereby the CCT makes other study groups aware of the draft Recommendation</w:t>
      </w:r>
      <w:r w:rsidR="00D66654" w:rsidRPr="00E1531A">
        <w:t xml:space="preserve"> and asks them to send any comments directly to ITU-T SG20</w:t>
      </w:r>
      <w:r w:rsidR="00DA5E17" w:rsidRPr="00E1531A">
        <w:t xml:space="preserve">. </w:t>
      </w:r>
      <w:r w:rsidR="00D66654" w:rsidRPr="00E1531A">
        <w:t>As only two ITU-T study groups had had a chance to reply, it was decided that a response from the CCT would be given a later time.</w:t>
      </w:r>
    </w:p>
    <w:p w14:paraId="7643D16C" w14:textId="372682A6" w:rsidR="004E5B98" w:rsidRPr="00E1531A" w:rsidRDefault="004E5B98" w:rsidP="004E5B98">
      <w:pPr>
        <w:pStyle w:val="Heading2"/>
        <w:rPr>
          <w:color w:val="000000"/>
        </w:rPr>
      </w:pPr>
      <w:r w:rsidRPr="00E1531A">
        <w:rPr>
          <w:color w:val="000000"/>
        </w:rPr>
        <w:lastRenderedPageBreak/>
        <w:t>4.7</w:t>
      </w:r>
      <w:r w:rsidRPr="00E1531A">
        <w:rPr>
          <w:color w:val="000000"/>
        </w:rPr>
        <w:tab/>
        <w:t>Improvement of Annex B of the Author’s guide</w:t>
      </w:r>
    </w:p>
    <w:p w14:paraId="5B6EDA5E" w14:textId="01D306E1" w:rsidR="004E5B98" w:rsidRPr="00E1531A" w:rsidRDefault="00481725" w:rsidP="00753EC5">
      <w:pPr>
        <w:tabs>
          <w:tab w:val="left" w:pos="851"/>
        </w:tabs>
      </w:pPr>
      <w:r w:rsidRPr="00E1531A">
        <w:t xml:space="preserve">Document </w:t>
      </w:r>
      <w:hyperlink r:id="rId39" w:history="1">
        <w:r w:rsidRPr="00E1531A">
          <w:rPr>
            <w:rStyle w:val="Hyperlink"/>
          </w:rPr>
          <w:t>SCV-TD165</w:t>
        </w:r>
      </w:hyperlink>
      <w:r w:rsidRPr="00E1531A">
        <w:rPr>
          <w:rStyle w:val="Hyperlink"/>
        </w:rPr>
        <w:t xml:space="preserve"> | </w:t>
      </w:r>
      <w:hyperlink r:id="rId40" w:history="1">
        <w:r w:rsidRPr="00E1531A">
          <w:rPr>
            <w:rStyle w:val="Hyperlink"/>
          </w:rPr>
          <w:t>CCV/25</w:t>
        </w:r>
      </w:hyperlink>
      <w:r w:rsidRPr="00E1531A">
        <w:t>, part 1, which was brought forward from previous meetings and proposes that Annex B to the Author's guide be improved, was presented. It was decided to address this matter at a later occasion as no further contributions had been received on the subject.</w:t>
      </w:r>
    </w:p>
    <w:p w14:paraId="0343AEC0" w14:textId="74AE955A" w:rsidR="00481725" w:rsidRPr="00E1531A" w:rsidRDefault="00BC573B" w:rsidP="001C3658">
      <w:pPr>
        <w:pStyle w:val="Heading2"/>
        <w:rPr>
          <w:color w:val="000000"/>
        </w:rPr>
      </w:pPr>
      <w:r w:rsidRPr="00E1531A">
        <w:rPr>
          <w:color w:val="000000"/>
        </w:rPr>
        <w:t>4.8</w:t>
      </w:r>
      <w:r w:rsidRPr="00E1531A">
        <w:rPr>
          <w:color w:val="000000"/>
        </w:rPr>
        <w:tab/>
        <w:t>Terms and definitions proposed by ITU-R SG 6</w:t>
      </w:r>
    </w:p>
    <w:p w14:paraId="25988FA6" w14:textId="6078B84F" w:rsidR="00CD1AEA" w:rsidRPr="00E1531A" w:rsidRDefault="000A35B8" w:rsidP="00A83D39">
      <w:pPr>
        <w:rPr>
          <w:rFonts w:eastAsia="SimSun"/>
          <w:lang w:eastAsia="en-US"/>
        </w:rPr>
      </w:pPr>
      <w:r w:rsidRPr="00E1531A">
        <w:rPr>
          <w:rFonts w:eastAsia="SimSun"/>
          <w:lang w:eastAsia="en-US"/>
        </w:rPr>
        <w:t xml:space="preserve">Document </w:t>
      </w:r>
      <w:hyperlink r:id="rId41" w:history="1">
        <w:r w:rsidRPr="00E1531A">
          <w:rPr>
            <w:rFonts w:eastAsia="SimSun"/>
            <w:color w:val="0000FF"/>
            <w:u w:val="single"/>
            <w:lang w:eastAsia="en-US"/>
          </w:rPr>
          <w:t>CCV/</w:t>
        </w:r>
        <w:r w:rsidR="009D741E" w:rsidRPr="00E1531A">
          <w:rPr>
            <w:rFonts w:eastAsia="SimSun"/>
            <w:color w:val="0000FF"/>
            <w:u w:val="single"/>
            <w:lang w:eastAsia="en-US"/>
          </w:rPr>
          <w:t>34</w:t>
        </w:r>
      </w:hyperlink>
      <w:r w:rsidRPr="00E1531A">
        <w:rPr>
          <w:rFonts w:eastAsia="SimSun"/>
          <w:lang w:eastAsia="en-US"/>
        </w:rPr>
        <w:t xml:space="preserve"> was presented. ITU-R SG 6 </w:t>
      </w:r>
      <w:r w:rsidR="00CD1AEA" w:rsidRPr="00E1531A">
        <w:rPr>
          <w:rFonts w:eastAsia="SimSun"/>
          <w:lang w:eastAsia="en-US"/>
        </w:rPr>
        <w:t xml:space="preserve">fully concurs with the proposed changes to the definition of </w:t>
      </w:r>
      <w:r w:rsidR="00271D82" w:rsidRPr="00E1531A">
        <w:rPr>
          <w:rFonts w:eastAsia="SimSun"/>
          <w:lang w:eastAsia="en-US"/>
        </w:rPr>
        <w:t>the term “</w:t>
      </w:r>
      <w:r w:rsidR="00CD1AEA" w:rsidRPr="00E1531A">
        <w:rPr>
          <w:rFonts w:eastAsia="SimSun"/>
          <w:lang w:eastAsia="en-US"/>
        </w:rPr>
        <w:t>Componentized Content</w:t>
      </w:r>
      <w:r w:rsidR="00271D82" w:rsidRPr="00E1531A">
        <w:rPr>
          <w:rFonts w:eastAsia="SimSun"/>
          <w:lang w:eastAsia="en-US"/>
        </w:rPr>
        <w:t>”</w:t>
      </w:r>
      <w:r w:rsidR="00CD1AEA" w:rsidRPr="00E1531A">
        <w:rPr>
          <w:rFonts w:eastAsia="SimSun"/>
          <w:lang w:eastAsia="en-US"/>
        </w:rPr>
        <w:t xml:space="preserve"> as proposed by the CCT:</w:t>
      </w:r>
    </w:p>
    <w:p w14:paraId="293811EA" w14:textId="561B348A" w:rsidR="00D77AD3" w:rsidRPr="00E1531A" w:rsidRDefault="00D77AD3" w:rsidP="00A83D39">
      <w:pPr>
        <w:ind w:left="2880" w:hanging="2880"/>
        <w:rPr>
          <w:lang w:eastAsia="zh-CN"/>
        </w:rPr>
      </w:pPr>
      <w:r w:rsidRPr="00E1531A">
        <w:rPr>
          <w:lang w:eastAsia="zh-CN"/>
        </w:rPr>
        <w:t>Componentized Content:</w:t>
      </w:r>
      <w:r w:rsidRPr="00E1531A">
        <w:rPr>
          <w:lang w:eastAsia="zh-CN"/>
        </w:rPr>
        <w:tab/>
        <w:t>Media that consists of a group or groups of assets (audio, video, captions etc.) which can be processed to produce different versions of the media.</w:t>
      </w:r>
    </w:p>
    <w:p w14:paraId="68A4A1CB" w14:textId="5290F5C4" w:rsidR="00BC573B" w:rsidRPr="00E1531A" w:rsidRDefault="000F4E5C" w:rsidP="00A83D39">
      <w:pPr>
        <w:rPr>
          <w:rFonts w:eastAsia="SimSun"/>
          <w:lang w:eastAsia="en-US"/>
        </w:rPr>
      </w:pPr>
      <w:r w:rsidRPr="00E1531A">
        <w:rPr>
          <w:rFonts w:eastAsia="SimSun"/>
          <w:lang w:eastAsia="en-US"/>
        </w:rPr>
        <w:t>T</w:t>
      </w:r>
      <w:r w:rsidR="000A35B8" w:rsidRPr="00E1531A">
        <w:rPr>
          <w:rFonts w:eastAsia="SimSun"/>
          <w:lang w:eastAsia="en-US"/>
        </w:rPr>
        <w:t xml:space="preserve">he meeting agreed to </w:t>
      </w:r>
      <w:r w:rsidRPr="00E1531A">
        <w:rPr>
          <w:rFonts w:eastAsia="SimSun"/>
          <w:lang w:eastAsia="en-US"/>
        </w:rPr>
        <w:t>move</w:t>
      </w:r>
      <w:r w:rsidR="000A35B8" w:rsidRPr="00E1531A">
        <w:rPr>
          <w:rFonts w:eastAsia="SimSun"/>
          <w:lang w:eastAsia="en-US"/>
        </w:rPr>
        <w:t xml:space="preserve"> the term with the above improved definition </w:t>
      </w:r>
      <w:r w:rsidR="00123E7A" w:rsidRPr="00E1531A">
        <w:rPr>
          <w:rFonts w:eastAsia="SimSun"/>
          <w:lang w:eastAsia="en-US"/>
        </w:rPr>
        <w:t xml:space="preserve">from Part 3 </w:t>
      </w:r>
      <w:r w:rsidRPr="00E1531A">
        <w:rPr>
          <w:rFonts w:eastAsia="SimSun"/>
          <w:lang w:eastAsia="en-US"/>
        </w:rPr>
        <w:t>to</w:t>
      </w:r>
      <w:r w:rsidR="000A35B8" w:rsidRPr="00E1531A">
        <w:rPr>
          <w:rFonts w:eastAsia="SimSun"/>
          <w:lang w:eastAsia="en-US"/>
        </w:rPr>
        <w:t xml:space="preserve"> Part </w:t>
      </w:r>
      <w:r w:rsidR="00123E7A" w:rsidRPr="00E1531A">
        <w:rPr>
          <w:rFonts w:eastAsia="SimSun"/>
          <w:lang w:eastAsia="en-US"/>
        </w:rPr>
        <w:t>2</w:t>
      </w:r>
      <w:r w:rsidR="000A35B8" w:rsidRPr="00E1531A">
        <w:rPr>
          <w:rFonts w:eastAsia="SimSun"/>
          <w:lang w:eastAsia="en-US"/>
        </w:rPr>
        <w:t xml:space="preserve"> of the ITU terminology database.</w:t>
      </w:r>
    </w:p>
    <w:p w14:paraId="57A8BC05" w14:textId="77777777" w:rsidR="00E540B5" w:rsidRPr="00E1531A" w:rsidRDefault="00E540B5" w:rsidP="00E540B5">
      <w:pPr>
        <w:pStyle w:val="Heading2"/>
        <w:rPr>
          <w:color w:val="000000"/>
          <w:sz w:val="23"/>
          <w:szCs w:val="23"/>
        </w:rPr>
      </w:pPr>
      <w:r w:rsidRPr="00E1531A">
        <w:rPr>
          <w:rFonts w:asciiTheme="majorBidi" w:hAnsiTheme="majorBidi" w:cstheme="majorBidi"/>
          <w:szCs w:val="24"/>
        </w:rPr>
        <w:t>4.9</w:t>
      </w:r>
      <w:r w:rsidRPr="00E1531A">
        <w:rPr>
          <w:rFonts w:asciiTheme="majorBidi" w:hAnsiTheme="majorBidi" w:cstheme="majorBidi"/>
          <w:szCs w:val="24"/>
        </w:rPr>
        <w:tab/>
      </w:r>
      <w:r w:rsidRPr="00E1531A">
        <w:rPr>
          <w:color w:val="000000"/>
          <w:sz w:val="23"/>
          <w:szCs w:val="23"/>
        </w:rPr>
        <w:t>Symbols in Recommendation ITU-R V.431-8 inconsistent with SI definitions</w:t>
      </w:r>
    </w:p>
    <w:p w14:paraId="7F41EE45" w14:textId="4594AEB9" w:rsidR="00E540B5" w:rsidRPr="00E1531A" w:rsidRDefault="00E540B5" w:rsidP="00E540B5">
      <w:pPr>
        <w:rPr>
          <w:lang w:eastAsia="en-US"/>
        </w:rPr>
      </w:pPr>
      <w:r w:rsidRPr="00E1531A">
        <w:rPr>
          <w:lang w:eastAsia="en-US"/>
        </w:rPr>
        <w:t xml:space="preserve">Document </w:t>
      </w:r>
      <w:hyperlink r:id="rId42" w:history="1">
        <w:r w:rsidRPr="00E1531A">
          <w:rPr>
            <w:rStyle w:val="Hyperlink"/>
            <w:lang w:eastAsia="en-US"/>
          </w:rPr>
          <w:t>CCV/35</w:t>
        </w:r>
      </w:hyperlink>
      <w:r w:rsidRPr="00E1531A">
        <w:rPr>
          <w:lang w:eastAsia="en-US"/>
        </w:rPr>
        <w:t xml:space="preserve">, whereby ATDI proposes to add a new symbol “THF” </w:t>
      </w:r>
      <w:r w:rsidR="00B47FAA" w:rsidRPr="00E1531A">
        <w:rPr>
          <w:lang w:eastAsia="en-US"/>
        </w:rPr>
        <w:t xml:space="preserve">in No. </w:t>
      </w:r>
      <w:r w:rsidR="00B47FAA" w:rsidRPr="00E1531A">
        <w:rPr>
          <w:b/>
          <w:bCs/>
          <w:lang w:eastAsia="en-US"/>
        </w:rPr>
        <w:t xml:space="preserve">2.1 </w:t>
      </w:r>
      <w:r w:rsidR="00B47FAA" w:rsidRPr="00E1531A">
        <w:rPr>
          <w:lang w:eastAsia="en-US"/>
        </w:rPr>
        <w:t xml:space="preserve">of the Radio Regulations (RR) and Table 1 of Recommendation </w:t>
      </w:r>
      <w:hyperlink r:id="rId43" w:history="1">
        <w:r w:rsidR="00B47FAA" w:rsidRPr="00E1531A">
          <w:rPr>
            <w:rStyle w:val="Hyperlink"/>
            <w:lang w:eastAsia="en-US"/>
          </w:rPr>
          <w:t>ITU-R V.431-8</w:t>
        </w:r>
      </w:hyperlink>
      <w:r w:rsidR="00B47FAA" w:rsidRPr="00E1531A">
        <w:rPr>
          <w:lang w:eastAsia="en-US"/>
        </w:rPr>
        <w:t xml:space="preserve">, </w:t>
      </w:r>
      <w:r w:rsidRPr="00E1531A">
        <w:rPr>
          <w:lang w:eastAsia="en-US"/>
        </w:rPr>
        <w:t xml:space="preserve">and suppress the last column in Table 1 of Recommendation ITU-R V.431-8, and Document </w:t>
      </w:r>
      <w:hyperlink r:id="rId44" w:history="1">
        <w:r w:rsidRPr="00E1531A">
          <w:rPr>
            <w:rStyle w:val="Hyperlink"/>
            <w:lang w:eastAsia="en-US"/>
          </w:rPr>
          <w:t>CCV/37</w:t>
        </w:r>
      </w:hyperlink>
      <w:r w:rsidRPr="00E1531A">
        <w:rPr>
          <w:lang w:eastAsia="en-US"/>
        </w:rPr>
        <w:t xml:space="preserve">, whereby ITU-R WP 7D identifies </w:t>
      </w:r>
      <w:r w:rsidRPr="00E1531A">
        <w:rPr>
          <w:bCs/>
          <w:iCs/>
          <w:lang w:eastAsia="en-US"/>
        </w:rPr>
        <w:t xml:space="preserve">in </w:t>
      </w:r>
      <w:r w:rsidRPr="00E1531A">
        <w:rPr>
          <w:lang w:eastAsia="en-US"/>
        </w:rPr>
        <w:t xml:space="preserve">Tables 1 and 2 of </w:t>
      </w:r>
      <w:r w:rsidRPr="00E1531A">
        <w:rPr>
          <w:bCs/>
          <w:iCs/>
          <w:lang w:eastAsia="en-US"/>
        </w:rPr>
        <w:t xml:space="preserve">Recommendation ITU-R V.431-8 </w:t>
      </w:r>
      <w:r w:rsidRPr="00E1531A">
        <w:rPr>
          <w:lang w:eastAsia="en-US"/>
        </w:rPr>
        <w:t xml:space="preserve">several inconsistent prefix usages with those defined in the </w:t>
      </w:r>
      <w:r w:rsidR="005008E5" w:rsidRPr="00E1531A">
        <w:rPr>
          <w:lang w:eastAsia="en-US"/>
        </w:rPr>
        <w:t>SI, the International System of Units</w:t>
      </w:r>
      <w:r w:rsidRPr="00E1531A">
        <w:rPr>
          <w:lang w:eastAsia="en-US"/>
        </w:rPr>
        <w:t>, were presented.</w:t>
      </w:r>
    </w:p>
    <w:p w14:paraId="7943E028" w14:textId="77777777" w:rsidR="00445EE7" w:rsidRPr="00E1531A" w:rsidRDefault="00445EE7" w:rsidP="00445EE7">
      <w:r w:rsidRPr="00E1531A">
        <w:t>It was mentioned that many active fixed/mobile and passive wireless applications operate above 300 GHz. There is no specific symbol for the ITU Radio Regulations band 12, 300 to 3 000 GHz.</w:t>
      </w:r>
    </w:p>
    <w:p w14:paraId="1F5EC0D5" w14:textId="3F15B7F8" w:rsidR="00E540B5" w:rsidRPr="00E1531A" w:rsidRDefault="00E540B5" w:rsidP="00E540B5">
      <w:pPr>
        <w:rPr>
          <w:lang w:eastAsia="en-US"/>
        </w:rPr>
      </w:pPr>
      <w:r w:rsidRPr="00E1531A">
        <w:rPr>
          <w:lang w:eastAsia="en-US"/>
        </w:rPr>
        <w:t xml:space="preserve">It was </w:t>
      </w:r>
      <w:r w:rsidR="00445EE7" w:rsidRPr="00E1531A">
        <w:rPr>
          <w:lang w:eastAsia="en-US"/>
        </w:rPr>
        <w:t xml:space="preserve">also </w:t>
      </w:r>
      <w:r w:rsidRPr="00E1531A">
        <w:rPr>
          <w:lang w:eastAsia="en-US"/>
        </w:rPr>
        <w:t xml:space="preserve">mentioned that in column 4 (Corresponding metric </w:t>
      </w:r>
      <w:r w:rsidR="004B669F" w:rsidRPr="00E1531A">
        <w:rPr>
          <w:lang w:eastAsia="en-US"/>
        </w:rPr>
        <w:t>s</w:t>
      </w:r>
      <w:r w:rsidRPr="00E1531A">
        <w:rPr>
          <w:lang w:eastAsia="en-US"/>
        </w:rPr>
        <w:t>ubdivision), there are several nomenclatures with double prefix: Hectokilometric waves, Decimillimetric waves, Centimillimetric waves, Decimicrometric waves (Table 1) and Hectomegametric waves and Decamegametric (Table 2). On page 143 of the SI brochure</w:t>
      </w:r>
      <w:r w:rsidRPr="00E1531A">
        <w:rPr>
          <w:vertAlign w:val="superscript"/>
          <w:lang w:eastAsia="en-US"/>
        </w:rPr>
        <w:footnoteReference w:id="1"/>
      </w:r>
      <w:r w:rsidRPr="00E1531A">
        <w:rPr>
          <w:lang w:eastAsia="en-US"/>
        </w:rPr>
        <w:t xml:space="preserve">, it is found, “Compound prefix symbols, i.e. prefix symbols formed by the juxtaposition of two or more prefix symbols, are not permitted. This rule also applies to two or more compound prefix names”. Therefore, the double prefix symbols in Tables 1 and 2 are not compliant with the </w:t>
      </w:r>
      <w:r w:rsidR="00A45F71" w:rsidRPr="00E1531A">
        <w:rPr>
          <w:lang w:eastAsia="en-US"/>
        </w:rPr>
        <w:t xml:space="preserve">definitions of the </w:t>
      </w:r>
      <w:r w:rsidRPr="00E1531A">
        <w:rPr>
          <w:lang w:eastAsia="en-US"/>
        </w:rPr>
        <w:t xml:space="preserve">SI </w:t>
      </w:r>
      <w:r w:rsidR="00357F55" w:rsidRPr="00E1531A">
        <w:rPr>
          <w:lang w:eastAsia="en-US"/>
        </w:rPr>
        <w:t>units</w:t>
      </w:r>
      <w:r w:rsidRPr="00E1531A">
        <w:rPr>
          <w:lang w:eastAsia="en-US"/>
        </w:rPr>
        <w:t xml:space="preserve">. Further, the SI </w:t>
      </w:r>
      <w:r w:rsidR="00357F55" w:rsidRPr="00E1531A">
        <w:rPr>
          <w:lang w:eastAsia="en-US"/>
        </w:rPr>
        <w:t>brochure</w:t>
      </w:r>
      <w:r w:rsidRPr="00E1531A">
        <w:rPr>
          <w:lang w:eastAsia="en-US"/>
        </w:rPr>
        <w:t xml:space="preserve"> does not define a prefix expressing a factor of 10</w:t>
      </w:r>
      <w:r w:rsidRPr="00E1531A">
        <w:rPr>
          <w:vertAlign w:val="superscript"/>
          <w:lang w:eastAsia="en-US"/>
        </w:rPr>
        <w:t>4</w:t>
      </w:r>
      <w:r w:rsidRPr="00E1531A">
        <w:rPr>
          <w:lang w:eastAsia="en-US"/>
        </w:rPr>
        <w:t xml:space="preserve"> (myria); myria is an obsolete prefix.</w:t>
      </w:r>
    </w:p>
    <w:p w14:paraId="11187749" w14:textId="60952842" w:rsidR="00E540B5" w:rsidRPr="00E1531A" w:rsidRDefault="00E540B5" w:rsidP="00E540B5">
      <w:pPr>
        <w:rPr>
          <w:lang w:eastAsia="en-US"/>
        </w:rPr>
      </w:pPr>
      <w:r w:rsidRPr="00E1531A">
        <w:rPr>
          <w:lang w:eastAsia="en-US"/>
        </w:rPr>
        <w:t xml:space="preserve">It was also noted that Recommendation ITU-R V.430 recommends the use of the </w:t>
      </w:r>
      <w:r w:rsidR="00357F55" w:rsidRPr="00E1531A">
        <w:rPr>
          <w:lang w:eastAsia="en-US"/>
        </w:rPr>
        <w:t>SI</w:t>
      </w:r>
      <w:r w:rsidRPr="00E1531A">
        <w:rPr>
          <w:lang w:eastAsia="en-US"/>
        </w:rPr>
        <w:t xml:space="preserve">, together with the symbols for their representation. As such, the CCT was invited to consider and correct the above inconsistencies with the </w:t>
      </w:r>
      <w:r w:rsidR="00357F55" w:rsidRPr="00E1531A">
        <w:rPr>
          <w:lang w:eastAsia="en-US"/>
        </w:rPr>
        <w:t>definitions of the SI units</w:t>
      </w:r>
      <w:r w:rsidRPr="00E1531A">
        <w:rPr>
          <w:lang w:eastAsia="en-US"/>
        </w:rPr>
        <w:t>.</w:t>
      </w:r>
    </w:p>
    <w:p w14:paraId="72A4DF11" w14:textId="07B395E8" w:rsidR="00E540B5" w:rsidRPr="00E1531A" w:rsidRDefault="00E540B5" w:rsidP="00E540B5">
      <w:pPr>
        <w:rPr>
          <w:lang w:eastAsia="en-US"/>
        </w:rPr>
      </w:pPr>
      <w:r w:rsidRPr="00E1531A">
        <w:rPr>
          <w:lang w:eastAsia="en-US"/>
        </w:rPr>
        <w:t xml:space="preserve">In addition, it was highlighted that the same nomenclature is used in </w:t>
      </w:r>
      <w:r w:rsidR="00572E07" w:rsidRPr="00E1531A">
        <w:rPr>
          <w:lang w:eastAsia="en-US"/>
        </w:rPr>
        <w:t xml:space="preserve">RR </w:t>
      </w:r>
      <w:r w:rsidRPr="00E1531A">
        <w:rPr>
          <w:lang w:eastAsia="en-US"/>
        </w:rPr>
        <w:t>No. </w:t>
      </w:r>
      <w:r w:rsidRPr="00E1531A">
        <w:rPr>
          <w:b/>
          <w:bCs/>
          <w:lang w:eastAsia="en-US"/>
        </w:rPr>
        <w:t>2.1</w:t>
      </w:r>
      <w:r w:rsidRPr="00E1531A">
        <w:rPr>
          <w:lang w:eastAsia="en-US"/>
        </w:rPr>
        <w:t>. Moreover, as RR No. </w:t>
      </w:r>
      <w:r w:rsidRPr="00E1531A">
        <w:rPr>
          <w:b/>
          <w:bCs/>
          <w:lang w:eastAsia="en-US"/>
        </w:rPr>
        <w:t>2.1</w:t>
      </w:r>
      <w:r w:rsidRPr="00E1531A">
        <w:rPr>
          <w:lang w:eastAsia="en-US"/>
        </w:rPr>
        <w:t xml:space="preserve"> is also referred to in </w:t>
      </w:r>
      <w:r w:rsidRPr="00E1531A">
        <w:rPr>
          <w:i/>
          <w:iCs/>
          <w:lang w:eastAsia="en-US"/>
        </w:rPr>
        <w:t>recommends</w:t>
      </w:r>
      <w:r w:rsidRPr="00E1531A">
        <w:rPr>
          <w:lang w:eastAsia="en-US"/>
        </w:rPr>
        <w:t xml:space="preserve"> 2 of </w:t>
      </w:r>
      <w:r w:rsidRPr="00E1531A">
        <w:rPr>
          <w:bCs/>
          <w:iCs/>
          <w:lang w:eastAsia="en-US"/>
        </w:rPr>
        <w:t>Recommendation ITU-R V.431-8, t</w:t>
      </w:r>
      <w:r w:rsidRPr="00E1531A">
        <w:rPr>
          <w:lang w:eastAsia="en-US"/>
        </w:rPr>
        <w:t>he meeting agreed that an in-depth consideration of the above inconsistencies would be advisable, before taking any course of action towards the correction of these inconsistencies.</w:t>
      </w:r>
    </w:p>
    <w:p w14:paraId="1E314D00" w14:textId="3A0E8E2E" w:rsidR="00E540B5" w:rsidRPr="00E1531A" w:rsidRDefault="00E540B5" w:rsidP="00E540B5">
      <w:pPr>
        <w:rPr>
          <w:color w:val="000000"/>
          <w:sz w:val="23"/>
          <w:szCs w:val="23"/>
        </w:rPr>
      </w:pPr>
      <w:r w:rsidRPr="00E1531A">
        <w:rPr>
          <w:lang w:eastAsia="en-US"/>
        </w:rPr>
        <w:t xml:space="preserve">Considering the above, the meeting decided to send a liaison statement to the ITU-R SGs asking their views on the </w:t>
      </w:r>
      <w:r w:rsidRPr="00E1531A">
        <w:rPr>
          <w:bCs/>
          <w:iCs/>
          <w:lang w:eastAsia="en-US"/>
        </w:rPr>
        <w:t>above comments/inconsistencies/suggestions</w:t>
      </w:r>
      <w:r w:rsidRPr="00E1531A">
        <w:rPr>
          <w:lang w:eastAsia="en-US"/>
        </w:rPr>
        <w:t>.</w:t>
      </w:r>
    </w:p>
    <w:p w14:paraId="39DF9EDC" w14:textId="77777777" w:rsidR="00BC573B" w:rsidRPr="00E1531A" w:rsidRDefault="00BC573B" w:rsidP="001C3658">
      <w:pPr>
        <w:pStyle w:val="Heading2"/>
        <w:rPr>
          <w:color w:val="000000"/>
        </w:rPr>
      </w:pPr>
      <w:r w:rsidRPr="00E1531A">
        <w:rPr>
          <w:color w:val="000000"/>
        </w:rPr>
        <w:lastRenderedPageBreak/>
        <w:t>4.10</w:t>
      </w:r>
      <w:r w:rsidRPr="00E1531A">
        <w:rPr>
          <w:color w:val="000000"/>
        </w:rPr>
        <w:tab/>
        <w:t>Further improvement of the definition of the term "Quasi Error Free" (QEF)</w:t>
      </w:r>
    </w:p>
    <w:p w14:paraId="11DBBE1A" w14:textId="4CB13F75" w:rsidR="00C922E8" w:rsidRPr="00E1531A" w:rsidRDefault="00141D34" w:rsidP="00A83D39">
      <w:pPr>
        <w:rPr>
          <w:rFonts w:eastAsia="Times New Roman"/>
          <w:szCs w:val="20"/>
          <w:lang w:eastAsia="zh-CN"/>
        </w:rPr>
      </w:pPr>
      <w:r w:rsidRPr="00E1531A">
        <w:rPr>
          <w:rFonts w:eastAsia="SimSun"/>
          <w:lang w:eastAsia="en-US"/>
        </w:rPr>
        <w:t xml:space="preserve">Document </w:t>
      </w:r>
      <w:hyperlink r:id="rId45" w:history="1">
        <w:r w:rsidRPr="00E1531A">
          <w:rPr>
            <w:rFonts w:eastAsia="SimSun"/>
            <w:color w:val="0000FF"/>
            <w:u w:val="single"/>
            <w:lang w:eastAsia="en-US"/>
          </w:rPr>
          <w:t>CCV/3</w:t>
        </w:r>
        <w:r w:rsidR="00D24362" w:rsidRPr="00E1531A">
          <w:rPr>
            <w:rFonts w:eastAsia="SimSun"/>
            <w:color w:val="0000FF"/>
            <w:u w:val="single"/>
            <w:lang w:eastAsia="en-US"/>
          </w:rPr>
          <w:t>6</w:t>
        </w:r>
      </w:hyperlink>
      <w:r w:rsidRPr="00E1531A">
        <w:rPr>
          <w:rFonts w:eastAsia="SimSun"/>
          <w:lang w:eastAsia="en-US"/>
        </w:rPr>
        <w:t xml:space="preserve"> was presented. </w:t>
      </w:r>
      <w:r w:rsidR="009B2367" w:rsidRPr="00E1531A">
        <w:rPr>
          <w:rFonts w:eastAsia="SimSun"/>
          <w:lang w:eastAsia="en-US"/>
        </w:rPr>
        <w:t>T</w:t>
      </w:r>
      <w:r w:rsidR="00574BC9" w:rsidRPr="00E1531A">
        <w:rPr>
          <w:rFonts w:eastAsia="SimSun"/>
          <w:lang w:eastAsia="en-US"/>
        </w:rPr>
        <w:t xml:space="preserve">he </w:t>
      </w:r>
      <w:r w:rsidRPr="00E1531A">
        <w:rPr>
          <w:rFonts w:eastAsia="SimSun"/>
          <w:lang w:eastAsia="en-US"/>
        </w:rPr>
        <w:t xml:space="preserve">ITU-R SG 6 </w:t>
      </w:r>
      <w:r w:rsidR="00574BC9" w:rsidRPr="00E1531A">
        <w:rPr>
          <w:lang w:eastAsia="zh-CN"/>
        </w:rPr>
        <w:t>Rapporteur for Vocabulary</w:t>
      </w:r>
      <w:r w:rsidR="00500E59" w:rsidRPr="00E1531A">
        <w:rPr>
          <w:lang w:eastAsia="zh-CN"/>
        </w:rPr>
        <w:t xml:space="preserve"> propose</w:t>
      </w:r>
      <w:r w:rsidR="00BE6056" w:rsidRPr="00E1531A">
        <w:rPr>
          <w:lang w:eastAsia="zh-CN"/>
        </w:rPr>
        <w:t>s</w:t>
      </w:r>
      <w:r w:rsidR="00500E59" w:rsidRPr="00E1531A">
        <w:rPr>
          <w:lang w:eastAsia="zh-CN"/>
        </w:rPr>
        <w:t xml:space="preserve"> a further improved definition for the term “Quasi Error Free” (QEF) in the terrestrial broadcasting context</w:t>
      </w:r>
      <w:r w:rsidR="00574BC9" w:rsidRPr="00E1531A">
        <w:rPr>
          <w:rFonts w:eastAsia="SimSun"/>
          <w:lang w:eastAsia="en-US"/>
        </w:rPr>
        <w:t xml:space="preserve"> </w:t>
      </w:r>
      <w:r w:rsidR="00C922E8" w:rsidRPr="00E1531A">
        <w:rPr>
          <w:rFonts w:eastAsia="Times New Roman"/>
          <w:szCs w:val="20"/>
          <w:lang w:eastAsia="zh-CN"/>
        </w:rPr>
        <w:t xml:space="preserve">to better align it with the format in Recommendation </w:t>
      </w:r>
      <w:hyperlink r:id="rId46" w:history="1">
        <w:r w:rsidR="00C922E8" w:rsidRPr="00E1531A">
          <w:rPr>
            <w:rFonts w:eastAsia="Times New Roman"/>
            <w:color w:val="0000FF"/>
            <w:szCs w:val="20"/>
            <w:u w:val="single"/>
            <w:lang w:eastAsia="zh-CN"/>
          </w:rPr>
          <w:t>ITU-R V.2130</w:t>
        </w:r>
      </w:hyperlink>
      <w:r w:rsidR="00C922E8" w:rsidRPr="00E1531A">
        <w:rPr>
          <w:rFonts w:eastAsia="Times New Roman"/>
          <w:szCs w:val="20"/>
          <w:lang w:eastAsia="zh-CN"/>
        </w:rPr>
        <w:t>, i.e. to be more in line with the three essential elements mentioned in section 3.2 of the Annex to Recommendation ITU-R V.2130 as it is indicated below:</w:t>
      </w:r>
    </w:p>
    <w:p w14:paraId="60FC3BD9" w14:textId="59E762EB" w:rsidR="00247536" w:rsidRPr="00E1531A" w:rsidRDefault="00247536" w:rsidP="00A83D39">
      <w:pPr>
        <w:pStyle w:val="enumlev1"/>
        <w:ind w:left="1871" w:hanging="1871"/>
        <w:rPr>
          <w:i/>
          <w:iCs/>
          <w:lang w:eastAsia="zh-CN"/>
        </w:rPr>
      </w:pPr>
      <w:r w:rsidRPr="00E1531A">
        <w:rPr>
          <w:lang w:eastAsia="zh-CN"/>
        </w:rPr>
        <w:t>Quasi Error Free:</w:t>
      </w:r>
      <w:r w:rsidRPr="00E1531A">
        <w:rPr>
          <w:lang w:eastAsia="zh-CN"/>
        </w:rPr>
        <w:tab/>
        <w:t xml:space="preserve">A condition </w:t>
      </w:r>
      <w:bookmarkStart w:id="10" w:name="_Hlk105843565"/>
      <w:r w:rsidRPr="00E1531A">
        <w:rPr>
          <w:lang w:eastAsia="zh-CN"/>
        </w:rPr>
        <w:t xml:space="preserve">in the context of Digital Television Broadcasting </w:t>
      </w:r>
      <w:bookmarkEnd w:id="10"/>
      <w:r w:rsidRPr="00E1531A">
        <w:rPr>
          <w:lang w:eastAsia="zh-CN"/>
        </w:rPr>
        <w:t>that corresponds to less than one uncorrected error event per hour.</w:t>
      </w:r>
    </w:p>
    <w:p w14:paraId="1F1C6AE5" w14:textId="075E9C8B" w:rsidR="00BC573B" w:rsidRPr="00E1531A" w:rsidRDefault="00141D34" w:rsidP="00A83D39">
      <w:pPr>
        <w:rPr>
          <w:color w:val="000000"/>
          <w:sz w:val="23"/>
          <w:szCs w:val="23"/>
        </w:rPr>
      </w:pPr>
      <w:r w:rsidRPr="00E1531A">
        <w:rPr>
          <w:rFonts w:eastAsia="SimSun"/>
          <w:lang w:eastAsia="en-US"/>
        </w:rPr>
        <w:t xml:space="preserve">The meeting agreed to move the term with the above improved definition </w:t>
      </w:r>
      <w:r w:rsidR="00F76EE6" w:rsidRPr="00E1531A">
        <w:rPr>
          <w:rFonts w:eastAsia="SimSun"/>
          <w:lang w:eastAsia="en-US"/>
        </w:rPr>
        <w:t xml:space="preserve">from Part 3 to Part 2 </w:t>
      </w:r>
      <w:r w:rsidRPr="00E1531A">
        <w:rPr>
          <w:rFonts w:eastAsia="SimSun"/>
          <w:lang w:eastAsia="en-US"/>
        </w:rPr>
        <w:t>of the ITU terminology database.</w:t>
      </w:r>
    </w:p>
    <w:p w14:paraId="5DFEF37D" w14:textId="22F5939D" w:rsidR="001C3658" w:rsidRPr="00E1531A" w:rsidRDefault="001C3658" w:rsidP="00753EC5">
      <w:pPr>
        <w:tabs>
          <w:tab w:val="left" w:pos="851"/>
        </w:tabs>
        <w:rPr>
          <w:color w:val="000000"/>
        </w:rPr>
      </w:pPr>
      <w:r w:rsidRPr="00E1531A">
        <w:rPr>
          <w:b/>
          <w:bCs/>
          <w:color w:val="000000"/>
        </w:rPr>
        <w:t>4.11</w:t>
      </w:r>
      <w:r w:rsidRPr="00E1531A">
        <w:rPr>
          <w:color w:val="000000"/>
        </w:rPr>
        <w:tab/>
      </w:r>
      <w:r w:rsidRPr="00E1531A">
        <w:rPr>
          <w:b/>
          <w:bCs/>
          <w:color w:val="000000"/>
        </w:rPr>
        <w:t>New space weather definition</w:t>
      </w:r>
    </w:p>
    <w:p w14:paraId="3D3D730E" w14:textId="4DE4589F" w:rsidR="009B2367" w:rsidRPr="00E1531A" w:rsidRDefault="00CC5394" w:rsidP="00A83D39">
      <w:pPr>
        <w:rPr>
          <w:rFonts w:eastAsia="SimSun"/>
          <w:lang w:eastAsia="en-US"/>
        </w:rPr>
      </w:pPr>
      <w:r w:rsidRPr="00E1531A">
        <w:rPr>
          <w:rFonts w:eastAsia="SimSun"/>
          <w:lang w:eastAsia="en-US"/>
        </w:rPr>
        <w:t xml:space="preserve">Document </w:t>
      </w:r>
      <w:hyperlink r:id="rId47" w:history="1">
        <w:r w:rsidRPr="00E1531A">
          <w:rPr>
            <w:rFonts w:eastAsia="SimSun"/>
            <w:color w:val="0000FF"/>
            <w:u w:val="single"/>
            <w:lang w:eastAsia="en-US"/>
          </w:rPr>
          <w:t>CCV/3</w:t>
        </w:r>
        <w:r w:rsidR="004A45FD" w:rsidRPr="00E1531A">
          <w:rPr>
            <w:rFonts w:eastAsia="SimSun"/>
            <w:color w:val="0000FF"/>
            <w:u w:val="single"/>
            <w:lang w:eastAsia="en-US"/>
          </w:rPr>
          <w:t>8</w:t>
        </w:r>
      </w:hyperlink>
      <w:r w:rsidRPr="00E1531A">
        <w:rPr>
          <w:rFonts w:eastAsia="SimSun"/>
          <w:lang w:eastAsia="en-US"/>
        </w:rPr>
        <w:t xml:space="preserve"> was presented. ITU-R </w:t>
      </w:r>
      <w:r w:rsidR="00BE6056" w:rsidRPr="00E1531A">
        <w:rPr>
          <w:rFonts w:eastAsia="SimSun"/>
          <w:lang w:eastAsia="en-US"/>
        </w:rPr>
        <w:t>WP 7C</w:t>
      </w:r>
      <w:r w:rsidR="001223BF" w:rsidRPr="00E1531A">
        <w:rPr>
          <w:rFonts w:eastAsia="SimSun"/>
          <w:lang w:eastAsia="en-US"/>
        </w:rPr>
        <w:t xml:space="preserve">, </w:t>
      </w:r>
      <w:r w:rsidR="001223BF" w:rsidRPr="00E1531A">
        <w:rPr>
          <w:spacing w:val="-2"/>
        </w:rPr>
        <w:t>in the framework of WRC-23 agenda item 9.1, topic a),</w:t>
      </w:r>
      <w:r w:rsidR="001223BF" w:rsidRPr="00E1531A">
        <w:t xml:space="preserve"> </w:t>
      </w:r>
      <w:r w:rsidR="0094238C" w:rsidRPr="00E1531A">
        <w:rPr>
          <w:lang w:eastAsia="zh-CN"/>
        </w:rPr>
        <w:t xml:space="preserve">is currently considering </w:t>
      </w:r>
      <w:r w:rsidR="009F414C" w:rsidRPr="00E1531A">
        <w:t xml:space="preserve">in the draft CPM text </w:t>
      </w:r>
      <w:r w:rsidR="009B2367" w:rsidRPr="00E1531A">
        <w:rPr>
          <w:rFonts w:eastAsia="SimSun"/>
          <w:lang w:eastAsia="en-US"/>
        </w:rPr>
        <w:t>a preliminary space weather definition as follows:</w:t>
      </w:r>
    </w:p>
    <w:p w14:paraId="7973C77C" w14:textId="0B115FDD" w:rsidR="009B2367" w:rsidRPr="00E1531A" w:rsidRDefault="009B2367" w:rsidP="0069528C">
      <w:pPr>
        <w:pStyle w:val="enumlev1"/>
        <w:ind w:left="1871" w:hanging="1871"/>
        <w:rPr>
          <w:rFonts w:eastAsia="SimSun"/>
        </w:rPr>
      </w:pPr>
      <w:r w:rsidRPr="00E1531A">
        <w:rPr>
          <w:rFonts w:eastAsia="SimSun"/>
        </w:rPr>
        <w:t>Space weather:</w:t>
      </w:r>
      <w:r w:rsidRPr="00E1531A">
        <w:rPr>
          <w:rFonts w:eastAsia="SimSun"/>
        </w:rPr>
        <w:tab/>
        <w:t>information relating to the characteristics of natural phenomena occurring in space and in high atmosphere that impact Earth’s environment and human activities.</w:t>
      </w:r>
    </w:p>
    <w:p w14:paraId="15A4CF96" w14:textId="59F1306B" w:rsidR="001C0315" w:rsidRPr="00E1531A" w:rsidRDefault="00541454" w:rsidP="00A83D39">
      <w:pPr>
        <w:rPr>
          <w:color w:val="000000"/>
        </w:rPr>
      </w:pPr>
      <w:r w:rsidRPr="00E1531A">
        <w:rPr>
          <w:color w:val="000000"/>
        </w:rPr>
        <w:t>It was</w:t>
      </w:r>
      <w:r w:rsidR="001D7E1B" w:rsidRPr="00E1531A">
        <w:rPr>
          <w:color w:val="000000"/>
        </w:rPr>
        <w:t xml:space="preserve"> mentioned that </w:t>
      </w:r>
      <w:r w:rsidR="001C0315" w:rsidRPr="00E1531A">
        <w:rPr>
          <w:color w:val="000000"/>
        </w:rPr>
        <w:t xml:space="preserve">the expression </w:t>
      </w:r>
      <w:r w:rsidR="001D7E1B" w:rsidRPr="00E1531A">
        <w:rPr>
          <w:color w:val="000000"/>
        </w:rPr>
        <w:t>"</w:t>
      </w:r>
      <w:r w:rsidRPr="00E1531A">
        <w:rPr>
          <w:color w:val="000000"/>
        </w:rPr>
        <w:t>high atmosphere</w:t>
      </w:r>
      <w:r w:rsidR="001D7E1B" w:rsidRPr="00E1531A">
        <w:rPr>
          <w:color w:val="000000"/>
        </w:rPr>
        <w:t xml:space="preserve">" is </w:t>
      </w:r>
      <w:r w:rsidRPr="00E1531A">
        <w:rPr>
          <w:color w:val="000000"/>
        </w:rPr>
        <w:t>too vague</w:t>
      </w:r>
      <w:r w:rsidR="001C0315" w:rsidRPr="00E1531A">
        <w:rPr>
          <w:color w:val="000000"/>
        </w:rPr>
        <w:t xml:space="preserve"> and does not correspond to a precise level. It was </w:t>
      </w:r>
      <w:r w:rsidR="00255A45" w:rsidRPr="00E1531A">
        <w:rPr>
          <w:color w:val="000000"/>
        </w:rPr>
        <w:t>also</w:t>
      </w:r>
      <w:r w:rsidR="001C0315" w:rsidRPr="00E1531A">
        <w:rPr>
          <w:color w:val="000000"/>
        </w:rPr>
        <w:t xml:space="preserve"> </w:t>
      </w:r>
      <w:r w:rsidR="00B6123D" w:rsidRPr="00E1531A">
        <w:rPr>
          <w:color w:val="000000"/>
        </w:rPr>
        <w:t>highlighted</w:t>
      </w:r>
      <w:r w:rsidR="001C0315" w:rsidRPr="00E1531A">
        <w:rPr>
          <w:color w:val="000000"/>
        </w:rPr>
        <w:t xml:space="preserve"> that </w:t>
      </w:r>
      <w:r w:rsidR="004D6271" w:rsidRPr="00E1531A">
        <w:rPr>
          <w:color w:val="000000"/>
        </w:rPr>
        <w:t>usually proposed term</w:t>
      </w:r>
      <w:r w:rsidR="00255A45" w:rsidRPr="00E1531A">
        <w:rPr>
          <w:color w:val="000000"/>
        </w:rPr>
        <w:t>s</w:t>
      </w:r>
      <w:r w:rsidR="004D6271" w:rsidRPr="00E1531A">
        <w:rPr>
          <w:color w:val="000000"/>
        </w:rPr>
        <w:t xml:space="preserve"> and definition</w:t>
      </w:r>
      <w:r w:rsidR="00255A45" w:rsidRPr="00E1531A">
        <w:rPr>
          <w:color w:val="000000"/>
        </w:rPr>
        <w:t>s</w:t>
      </w:r>
      <w:r w:rsidR="004D6271" w:rsidRPr="00E1531A">
        <w:rPr>
          <w:color w:val="000000"/>
        </w:rPr>
        <w:t xml:space="preserve"> </w:t>
      </w:r>
      <w:r w:rsidR="00255A45" w:rsidRPr="00E1531A">
        <w:rPr>
          <w:color w:val="000000"/>
        </w:rPr>
        <w:t>are</w:t>
      </w:r>
      <w:r w:rsidR="004D6271" w:rsidRPr="00E1531A">
        <w:rPr>
          <w:color w:val="000000"/>
        </w:rPr>
        <w:t xml:space="preserve"> included in source draft recommendation</w:t>
      </w:r>
      <w:r w:rsidR="00255A45" w:rsidRPr="00E1531A">
        <w:rPr>
          <w:color w:val="000000"/>
        </w:rPr>
        <w:t>s</w:t>
      </w:r>
      <w:r w:rsidR="004D6271" w:rsidRPr="00E1531A">
        <w:rPr>
          <w:color w:val="000000"/>
        </w:rPr>
        <w:t xml:space="preserve"> or report</w:t>
      </w:r>
      <w:r w:rsidR="00255A45" w:rsidRPr="00E1531A">
        <w:rPr>
          <w:color w:val="000000"/>
        </w:rPr>
        <w:t>s</w:t>
      </w:r>
      <w:r w:rsidR="004D6271" w:rsidRPr="00E1531A">
        <w:rPr>
          <w:color w:val="000000"/>
        </w:rPr>
        <w:t xml:space="preserve"> being developed.</w:t>
      </w:r>
    </w:p>
    <w:p w14:paraId="422CA3E9" w14:textId="11C7E747" w:rsidR="001C3658" w:rsidRPr="00E1531A" w:rsidRDefault="001C0315" w:rsidP="00A83D39">
      <w:pPr>
        <w:rPr>
          <w:color w:val="000000"/>
        </w:rPr>
      </w:pPr>
      <w:r w:rsidRPr="00E1531A">
        <w:rPr>
          <w:color w:val="000000"/>
        </w:rPr>
        <w:t xml:space="preserve">The meeting </w:t>
      </w:r>
      <w:r w:rsidR="001D7E1B" w:rsidRPr="00E1531A">
        <w:rPr>
          <w:color w:val="000000"/>
        </w:rPr>
        <w:t xml:space="preserve">thus decided to send a liaison statement to ITU-R </w:t>
      </w:r>
      <w:r w:rsidR="000C10CA" w:rsidRPr="00E1531A">
        <w:rPr>
          <w:color w:val="000000"/>
        </w:rPr>
        <w:t>WP 7C</w:t>
      </w:r>
      <w:r w:rsidR="001D7E1B" w:rsidRPr="00E1531A">
        <w:rPr>
          <w:color w:val="000000"/>
        </w:rPr>
        <w:t xml:space="preserve"> asking their views on the</w:t>
      </w:r>
      <w:r w:rsidR="000C10CA" w:rsidRPr="00E1531A">
        <w:rPr>
          <w:color w:val="000000"/>
        </w:rPr>
        <w:t xml:space="preserve"> above comments as well as information on any draft recommendation</w:t>
      </w:r>
      <w:r w:rsidR="000B1F6A" w:rsidRPr="00E1531A">
        <w:rPr>
          <w:color w:val="000000"/>
        </w:rPr>
        <w:t xml:space="preserve"> or </w:t>
      </w:r>
      <w:r w:rsidR="000C10CA" w:rsidRPr="00E1531A">
        <w:rPr>
          <w:color w:val="000000"/>
        </w:rPr>
        <w:t>report</w:t>
      </w:r>
      <w:r w:rsidR="00E1641A" w:rsidRPr="00E1531A">
        <w:rPr>
          <w:color w:val="000000"/>
        </w:rPr>
        <w:t xml:space="preserve"> being developed</w:t>
      </w:r>
      <w:r w:rsidR="000C10CA" w:rsidRPr="00E1531A">
        <w:rPr>
          <w:color w:val="000000"/>
        </w:rPr>
        <w:t>.</w:t>
      </w:r>
    </w:p>
    <w:p w14:paraId="6766E4A2" w14:textId="373BB5CF" w:rsidR="001C3658" w:rsidRPr="00E1531A" w:rsidRDefault="001C3658" w:rsidP="001C3658">
      <w:pPr>
        <w:pStyle w:val="Heading2"/>
        <w:rPr>
          <w:color w:val="000000"/>
        </w:rPr>
      </w:pPr>
      <w:r w:rsidRPr="00E1531A">
        <w:rPr>
          <w:color w:val="000000"/>
        </w:rPr>
        <w:t>5</w:t>
      </w:r>
      <w:r w:rsidRPr="00E1531A">
        <w:rPr>
          <w:color w:val="000000"/>
        </w:rPr>
        <w:tab/>
        <w:t>CCT working methods – Workflow and translation of official terminology</w:t>
      </w:r>
    </w:p>
    <w:p w14:paraId="08BA8525" w14:textId="031B1CD5" w:rsidR="001C3658" w:rsidRPr="00E1531A" w:rsidRDefault="00347BC6" w:rsidP="00753EC5">
      <w:pPr>
        <w:tabs>
          <w:tab w:val="left" w:pos="851"/>
        </w:tabs>
      </w:pPr>
      <w:r w:rsidRPr="00E1531A">
        <w:t>Document</w:t>
      </w:r>
      <w:r w:rsidRPr="00E1531A">
        <w:rPr>
          <w:color w:val="000000"/>
          <w:sz w:val="23"/>
          <w:szCs w:val="23"/>
        </w:rPr>
        <w:t xml:space="preserve"> </w:t>
      </w:r>
      <w:hyperlink r:id="rId48" w:history="1">
        <w:r w:rsidRPr="00E1531A">
          <w:rPr>
            <w:rStyle w:val="Hyperlink"/>
            <w:sz w:val="23"/>
            <w:szCs w:val="23"/>
          </w:rPr>
          <w:t>SCV-TD06</w:t>
        </w:r>
      </w:hyperlink>
      <w:r w:rsidRPr="00E1531A">
        <w:rPr>
          <w:rStyle w:val="Hyperlink"/>
          <w:sz w:val="23"/>
          <w:szCs w:val="23"/>
        </w:rPr>
        <w:t xml:space="preserve"> | </w:t>
      </w:r>
      <w:hyperlink r:id="rId49" w:history="1">
        <w:r w:rsidRPr="00E1531A">
          <w:rPr>
            <w:rStyle w:val="Hyperlink"/>
            <w:sz w:val="23"/>
            <w:szCs w:val="23"/>
          </w:rPr>
          <w:t>CCV/39</w:t>
        </w:r>
      </w:hyperlink>
      <w:r w:rsidRPr="00E1531A">
        <w:rPr>
          <w:color w:val="000000"/>
          <w:sz w:val="23"/>
          <w:szCs w:val="23"/>
        </w:rPr>
        <w:t xml:space="preserve"> </w:t>
      </w:r>
      <w:r w:rsidRPr="00E1531A">
        <w:t>containing the workflow for the terms submitted to the CCT was presented. The workflow describes all steps from the moment the terms and definitions are received by CCT to the exchanges with the relevant parties, the translation of the terms and definitions</w:t>
      </w:r>
      <w:r w:rsidR="00F861C8" w:rsidRPr="00E1531A">
        <w:t xml:space="preserve"> and their </w:t>
      </w:r>
      <w:r w:rsidR="009E1835" w:rsidRPr="00E1531A">
        <w:t>inclusion</w:t>
      </w:r>
      <w:r w:rsidR="00F861C8" w:rsidRPr="00E1531A">
        <w:t xml:space="preserve"> in the </w:t>
      </w:r>
      <w:r w:rsidR="009E1835" w:rsidRPr="00E1531A">
        <w:t xml:space="preserve">ITU </w:t>
      </w:r>
      <w:r w:rsidR="00F861C8" w:rsidRPr="00E1531A">
        <w:t>Terminology database.</w:t>
      </w:r>
    </w:p>
    <w:p w14:paraId="77AF11A0" w14:textId="0C1AE912" w:rsidR="00F861C8" w:rsidRPr="00E1531A" w:rsidRDefault="00F861C8" w:rsidP="00753EC5">
      <w:pPr>
        <w:tabs>
          <w:tab w:val="left" w:pos="851"/>
        </w:tabs>
      </w:pPr>
      <w:r w:rsidRPr="00E1531A">
        <w:t>It was also highlighted that given that ITU is the leading agency on telecommunications and radiocommunications, the terminology approved by CCT would be shared with the United Nations for inclusion in the information and communication (ICT) module within UNTERM.</w:t>
      </w:r>
    </w:p>
    <w:p w14:paraId="072E0534" w14:textId="693D08B2" w:rsidR="001C3658" w:rsidRPr="00E1531A" w:rsidRDefault="001C3658" w:rsidP="001C3658">
      <w:pPr>
        <w:pStyle w:val="Heading2"/>
        <w:rPr>
          <w:color w:val="000000"/>
        </w:rPr>
      </w:pPr>
      <w:r w:rsidRPr="00E1531A">
        <w:rPr>
          <w:color w:val="000000"/>
        </w:rPr>
        <w:t>6</w:t>
      </w:r>
      <w:r w:rsidRPr="00E1531A">
        <w:rPr>
          <w:color w:val="000000"/>
        </w:rPr>
        <w:tab/>
        <w:t>ITU terminology within the Policy Framework on Multilingualism</w:t>
      </w:r>
    </w:p>
    <w:p w14:paraId="22DA498B" w14:textId="16C8D377" w:rsidR="000A7B9D" w:rsidRPr="00E1531A" w:rsidRDefault="002C65A5" w:rsidP="00753EC5">
      <w:pPr>
        <w:tabs>
          <w:tab w:val="left" w:pos="851"/>
        </w:tabs>
        <w:rPr>
          <w:color w:val="000000"/>
        </w:rPr>
      </w:pPr>
      <w:r w:rsidRPr="00E1531A">
        <w:rPr>
          <w:color w:val="000000"/>
        </w:rPr>
        <w:t xml:space="preserve">Document </w:t>
      </w:r>
      <w:hyperlink r:id="rId50" w:history="1">
        <w:r w:rsidRPr="00E1531A">
          <w:rPr>
            <w:rStyle w:val="Hyperlink"/>
          </w:rPr>
          <w:t>SCV-TD08</w:t>
        </w:r>
      </w:hyperlink>
      <w:r w:rsidRPr="00E1531A">
        <w:rPr>
          <w:rStyle w:val="Hyperlink"/>
        </w:rPr>
        <w:t xml:space="preserve"> | </w:t>
      </w:r>
      <w:hyperlink r:id="rId51" w:history="1">
        <w:r w:rsidRPr="00E1531A">
          <w:rPr>
            <w:rStyle w:val="Hyperlink"/>
          </w:rPr>
          <w:t>CCV/40</w:t>
        </w:r>
      </w:hyperlink>
      <w:r w:rsidRPr="00E1531A">
        <w:rPr>
          <w:color w:val="000000"/>
        </w:rPr>
        <w:t xml:space="preserve"> </w:t>
      </w:r>
      <w:r w:rsidR="007708F0" w:rsidRPr="00E1531A">
        <w:rPr>
          <w:color w:val="000000"/>
        </w:rPr>
        <w:t>was presented.</w:t>
      </w:r>
      <w:r w:rsidR="00E21A98" w:rsidRPr="00E1531A">
        <w:rPr>
          <w:color w:val="000000"/>
        </w:rPr>
        <w:t xml:space="preserve"> </w:t>
      </w:r>
      <w:r w:rsidR="00C22A02" w:rsidRPr="00E1531A">
        <w:rPr>
          <w:color w:val="000000"/>
        </w:rPr>
        <w:t>A draft Policy Framework on Multilingualism</w:t>
      </w:r>
      <w:r w:rsidR="00C22A02" w:rsidRPr="00E1531A">
        <w:rPr>
          <w:rFonts w:eastAsia="Times New Roman"/>
          <w:szCs w:val="20"/>
          <w:lang w:eastAsia="en-US"/>
        </w:rPr>
        <w:t xml:space="preserve"> </w:t>
      </w:r>
      <w:r w:rsidR="00C22A02" w:rsidRPr="00E1531A">
        <w:rPr>
          <w:color w:val="000000"/>
        </w:rPr>
        <w:t>was presented and endorsed at the Council 2022 meeting.</w:t>
      </w:r>
      <w:r w:rsidR="00DE0462" w:rsidRPr="00E1531A">
        <w:rPr>
          <w:rFonts w:eastAsia="Times New Roman"/>
          <w:szCs w:val="20"/>
          <w:lang w:eastAsia="en-US"/>
        </w:rPr>
        <w:t xml:space="preserve"> </w:t>
      </w:r>
      <w:r w:rsidR="00DE0462" w:rsidRPr="00E1531A">
        <w:rPr>
          <w:color w:val="000000"/>
        </w:rPr>
        <w:t>Council requested the Secretariat to develop the administrative and operational guidelines to implement the policy.</w:t>
      </w:r>
      <w:r w:rsidR="000A7B9D" w:rsidRPr="00E1531A">
        <w:rPr>
          <w:color w:val="000000"/>
        </w:rPr>
        <w:t xml:space="preserve"> </w:t>
      </w:r>
      <w:r w:rsidR="007919CA" w:rsidRPr="00E1531A">
        <w:rPr>
          <w:rFonts w:eastAsia="Times New Roman"/>
          <w:szCs w:val="20"/>
          <w:lang w:eastAsia="en-US"/>
        </w:rPr>
        <w:t xml:space="preserve">Further </w:t>
      </w:r>
      <w:r w:rsidR="00EA04E2" w:rsidRPr="00E1531A">
        <w:rPr>
          <w:rFonts w:eastAsia="Times New Roman"/>
          <w:szCs w:val="20"/>
          <w:lang w:eastAsia="en-US"/>
        </w:rPr>
        <w:t>to that, t</w:t>
      </w:r>
      <w:r w:rsidR="003C0775" w:rsidRPr="00E1531A">
        <w:rPr>
          <w:color w:val="000000"/>
        </w:rPr>
        <w:t>he RAG encouraged that relevant sections of the draft administrative and operational guidelines that refer to terminology be provided to the CCT for feedback.</w:t>
      </w:r>
    </w:p>
    <w:p w14:paraId="65837FCF" w14:textId="31C00368" w:rsidR="001C3658" w:rsidRPr="00E1531A" w:rsidRDefault="003B077A" w:rsidP="00753EC5">
      <w:pPr>
        <w:tabs>
          <w:tab w:val="left" w:pos="851"/>
        </w:tabs>
        <w:rPr>
          <w:color w:val="000000"/>
        </w:rPr>
      </w:pPr>
      <w:r w:rsidRPr="00E1531A">
        <w:rPr>
          <w:color w:val="000000"/>
        </w:rPr>
        <w:t>The close cooperation between CCT and the Secretariat will be reflected in the administrative and operational guidelines to the Policy Framework on Multilingualism in the form of the workflow mentioned in § 5 above.</w:t>
      </w:r>
      <w:r w:rsidR="004B1847" w:rsidRPr="00E1531A">
        <w:rPr>
          <w:rFonts w:eastAsia="Times New Roman"/>
          <w:szCs w:val="20"/>
          <w:lang w:eastAsia="en-US"/>
        </w:rPr>
        <w:t xml:space="preserve"> </w:t>
      </w:r>
      <w:r w:rsidR="004B1847" w:rsidRPr="00E1531A">
        <w:rPr>
          <w:color w:val="000000"/>
        </w:rPr>
        <w:t>The inclusion of the CCT workflow in the guidelines serves to emphasize and raise awareness of the important work of managing ITU terminology definitions, validations, translations and databases.</w:t>
      </w:r>
    </w:p>
    <w:p w14:paraId="7870B4CE" w14:textId="2516E8D9" w:rsidR="00DB29FF" w:rsidRPr="00E1531A" w:rsidRDefault="00DB29FF" w:rsidP="00753EC5">
      <w:pPr>
        <w:tabs>
          <w:tab w:val="left" w:pos="851"/>
        </w:tabs>
        <w:rPr>
          <w:color w:val="000000"/>
        </w:rPr>
      </w:pPr>
      <w:r w:rsidRPr="00E1531A">
        <w:rPr>
          <w:color w:val="000000"/>
        </w:rPr>
        <w:t xml:space="preserve">The meeting expressed its appreciation </w:t>
      </w:r>
      <w:r w:rsidR="00D9212C" w:rsidRPr="00E1531A">
        <w:rPr>
          <w:color w:val="000000"/>
        </w:rPr>
        <w:t xml:space="preserve">for the document and discussed some issues related to the proposal, which will increase the </w:t>
      </w:r>
      <w:r w:rsidR="009063B4" w:rsidRPr="00E1531A">
        <w:rPr>
          <w:color w:val="000000"/>
        </w:rPr>
        <w:t>visibility</w:t>
      </w:r>
      <w:r w:rsidR="00D377A9" w:rsidRPr="00E1531A">
        <w:rPr>
          <w:color w:val="000000"/>
        </w:rPr>
        <w:t>/awareness</w:t>
      </w:r>
      <w:r w:rsidR="009063B4" w:rsidRPr="00E1531A">
        <w:rPr>
          <w:color w:val="000000"/>
        </w:rPr>
        <w:t xml:space="preserve"> of the CCT work.</w:t>
      </w:r>
      <w:r w:rsidR="000D391A" w:rsidRPr="00E1531A">
        <w:rPr>
          <w:color w:val="000000"/>
        </w:rPr>
        <w:t xml:space="preserve"> </w:t>
      </w:r>
      <w:r w:rsidRPr="00E1531A">
        <w:rPr>
          <w:color w:val="000000"/>
        </w:rPr>
        <w:t xml:space="preserve">The </w:t>
      </w:r>
      <w:r w:rsidR="0075559C" w:rsidRPr="00E1531A">
        <w:rPr>
          <w:rFonts w:eastAsia="SimSun"/>
          <w:lang w:eastAsia="en-US"/>
        </w:rPr>
        <w:t xml:space="preserve">meeting </w:t>
      </w:r>
      <w:r w:rsidR="00030B68" w:rsidRPr="00E1531A">
        <w:rPr>
          <w:rFonts w:eastAsia="SimSun"/>
          <w:lang w:eastAsia="en-US"/>
        </w:rPr>
        <w:t xml:space="preserve">further </w:t>
      </w:r>
      <w:r w:rsidR="0075559C" w:rsidRPr="00E1531A">
        <w:rPr>
          <w:rFonts w:eastAsia="SimSun"/>
          <w:lang w:eastAsia="en-US"/>
        </w:rPr>
        <w:t xml:space="preserve">agreed </w:t>
      </w:r>
      <w:r w:rsidR="0075559C" w:rsidRPr="00E1531A">
        <w:rPr>
          <w:rFonts w:eastAsia="SimSun"/>
          <w:lang w:eastAsia="en-US"/>
        </w:rPr>
        <w:lastRenderedPageBreak/>
        <w:t xml:space="preserve">to attach </w:t>
      </w:r>
      <w:r w:rsidR="00030B68" w:rsidRPr="00E1531A">
        <w:rPr>
          <w:rFonts w:eastAsia="SimSun"/>
          <w:lang w:eastAsia="en-US"/>
        </w:rPr>
        <w:t xml:space="preserve">the </w:t>
      </w:r>
      <w:r w:rsidR="00030B68" w:rsidRPr="00E1531A">
        <w:rPr>
          <w:color w:val="000000"/>
        </w:rPr>
        <w:t>draft Policy Framework on Multilingualism</w:t>
      </w:r>
      <w:r w:rsidR="000112E9" w:rsidRPr="00E1531A">
        <w:rPr>
          <w:color w:val="000000"/>
        </w:rPr>
        <w:t>,</w:t>
      </w:r>
      <w:r w:rsidR="00030B68" w:rsidRPr="00E1531A">
        <w:rPr>
          <w:rFonts w:eastAsia="Times New Roman"/>
          <w:szCs w:val="20"/>
          <w:lang w:eastAsia="en-US"/>
        </w:rPr>
        <w:t xml:space="preserve"> as </w:t>
      </w:r>
      <w:r w:rsidR="00030B68" w:rsidRPr="00E1531A">
        <w:rPr>
          <w:color w:val="000000"/>
        </w:rPr>
        <w:t>endorsed by Council 2022</w:t>
      </w:r>
      <w:r w:rsidR="000112E9" w:rsidRPr="00E1531A">
        <w:rPr>
          <w:color w:val="000000"/>
        </w:rPr>
        <w:t>,</w:t>
      </w:r>
      <w:r w:rsidR="00030B68" w:rsidRPr="00E1531A">
        <w:rPr>
          <w:color w:val="000000"/>
        </w:rPr>
        <w:t xml:space="preserve"> to this report (see Annex 2)</w:t>
      </w:r>
      <w:r w:rsidRPr="00E1531A">
        <w:rPr>
          <w:color w:val="000000"/>
        </w:rPr>
        <w:t>.</w:t>
      </w:r>
    </w:p>
    <w:p w14:paraId="3C403987" w14:textId="40F1C715" w:rsidR="001C3658" w:rsidRPr="00E1531A" w:rsidRDefault="001C3658" w:rsidP="001C3658">
      <w:pPr>
        <w:pStyle w:val="Heading2"/>
        <w:rPr>
          <w:color w:val="000000"/>
        </w:rPr>
      </w:pPr>
      <w:r w:rsidRPr="00E1531A">
        <w:rPr>
          <w:color w:val="000000"/>
        </w:rPr>
        <w:t>7</w:t>
      </w:r>
      <w:r w:rsidRPr="00E1531A">
        <w:rPr>
          <w:color w:val="000000"/>
        </w:rPr>
        <w:tab/>
        <w:t>Candidacy for Vice-Chairman of the ITU-R Coordination Committee for Vocabulary</w:t>
      </w:r>
    </w:p>
    <w:p w14:paraId="137D8205" w14:textId="0FC07DFE" w:rsidR="00B24834" w:rsidRPr="00E1531A" w:rsidRDefault="00B24834" w:rsidP="00B24834">
      <w:pPr>
        <w:tabs>
          <w:tab w:val="left" w:pos="1134"/>
          <w:tab w:val="left" w:pos="1871"/>
          <w:tab w:val="left" w:pos="2268"/>
        </w:tabs>
        <w:overflowPunct w:val="0"/>
        <w:autoSpaceDE w:val="0"/>
        <w:autoSpaceDN w:val="0"/>
        <w:adjustRightInd w:val="0"/>
        <w:textAlignment w:val="baseline"/>
        <w:rPr>
          <w:rFonts w:eastAsia="Times New Roman"/>
          <w:bCs/>
          <w:iCs/>
          <w:szCs w:val="20"/>
          <w:lang w:eastAsia="en-US"/>
        </w:rPr>
      </w:pPr>
      <w:r w:rsidRPr="00E1531A">
        <w:rPr>
          <w:rFonts w:eastAsia="Times New Roman"/>
          <w:iCs/>
          <w:szCs w:val="20"/>
          <w:lang w:eastAsia="en-US"/>
        </w:rPr>
        <w:t xml:space="preserve">Document </w:t>
      </w:r>
      <w:hyperlink r:id="rId52" w:history="1">
        <w:r w:rsidRPr="00E1531A">
          <w:rPr>
            <w:rStyle w:val="Hyperlink"/>
            <w:rFonts w:eastAsia="Times New Roman"/>
            <w:szCs w:val="20"/>
          </w:rPr>
          <w:t>CCV/</w:t>
        </w:r>
        <w:r w:rsidRPr="00E1531A">
          <w:rPr>
            <w:rStyle w:val="Hyperlink"/>
          </w:rPr>
          <w:t>4</w:t>
        </w:r>
        <w:r w:rsidR="00C25E5E" w:rsidRPr="00E1531A">
          <w:rPr>
            <w:rStyle w:val="Hyperlink"/>
            <w:rFonts w:eastAsia="Times New Roman"/>
            <w:szCs w:val="20"/>
            <w:lang w:eastAsia="en-US"/>
          </w:rPr>
          <w:t>1</w:t>
        </w:r>
      </w:hyperlink>
      <w:r w:rsidRPr="00E1531A">
        <w:t>:</w:t>
      </w:r>
      <w:r w:rsidRPr="00E1531A">
        <w:rPr>
          <w:rFonts w:eastAsia="Times New Roman"/>
          <w:bCs/>
          <w:iCs/>
          <w:szCs w:val="20"/>
          <w:lang w:eastAsia="en-US" w:bidi="en-US"/>
        </w:rPr>
        <w:t xml:space="preserve"> Candidacy for Vice-Chairman of the ITU-R Coordination Committee for Vocabulary</w:t>
      </w:r>
    </w:p>
    <w:p w14:paraId="166F49B9" w14:textId="3ED6A96F" w:rsidR="001C3658" w:rsidRPr="00E1531A" w:rsidRDefault="00B24834" w:rsidP="00A83D39">
      <w:pPr>
        <w:tabs>
          <w:tab w:val="left" w:pos="1134"/>
          <w:tab w:val="left" w:pos="1871"/>
          <w:tab w:val="left" w:pos="2268"/>
        </w:tabs>
        <w:overflowPunct w:val="0"/>
        <w:autoSpaceDE w:val="0"/>
        <w:autoSpaceDN w:val="0"/>
        <w:adjustRightInd w:val="0"/>
        <w:textAlignment w:val="baseline"/>
        <w:rPr>
          <w:sz w:val="23"/>
          <w:szCs w:val="23"/>
        </w:rPr>
      </w:pPr>
      <w:r w:rsidRPr="00E1531A">
        <w:rPr>
          <w:rFonts w:eastAsia="Times New Roman"/>
          <w:bCs/>
          <w:iCs/>
          <w:szCs w:val="20"/>
          <w:lang w:eastAsia="en-US"/>
        </w:rPr>
        <w:t xml:space="preserve">The document </w:t>
      </w:r>
      <w:r w:rsidR="00F423DB" w:rsidRPr="00E1531A">
        <w:rPr>
          <w:rFonts w:eastAsia="Times New Roman"/>
          <w:bCs/>
          <w:iCs/>
          <w:szCs w:val="20"/>
          <w:lang w:eastAsia="en-US" w:bidi="en-US"/>
        </w:rPr>
        <w:t xml:space="preserve">from the BR Study Groups Department </w:t>
      </w:r>
      <w:r w:rsidRPr="00E1531A">
        <w:rPr>
          <w:rFonts w:eastAsia="Times New Roman"/>
          <w:bCs/>
          <w:iCs/>
          <w:szCs w:val="20"/>
          <w:lang w:eastAsia="en-US"/>
        </w:rPr>
        <w:t>was presented. In accordance with No. 244 of the ITU Convention, the CC</w:t>
      </w:r>
      <w:r w:rsidR="00C25E5E" w:rsidRPr="00E1531A">
        <w:rPr>
          <w:rFonts w:eastAsia="Times New Roman"/>
          <w:bCs/>
          <w:iCs/>
          <w:szCs w:val="20"/>
          <w:lang w:eastAsia="en-US"/>
        </w:rPr>
        <w:t>T</w:t>
      </w:r>
      <w:r w:rsidRPr="00E1531A">
        <w:rPr>
          <w:rFonts w:eastAsia="Times New Roman"/>
          <w:bCs/>
          <w:iCs/>
          <w:szCs w:val="20"/>
          <w:lang w:eastAsia="en-US"/>
        </w:rPr>
        <w:t xml:space="preserve"> elected Ms. </w:t>
      </w:r>
      <w:r w:rsidR="00C25E5E" w:rsidRPr="00E1531A">
        <w:rPr>
          <w:rFonts w:eastAsia="Times New Roman"/>
          <w:bCs/>
          <w:iCs/>
          <w:szCs w:val="20"/>
          <w:lang w:eastAsia="en-US"/>
        </w:rPr>
        <w:t xml:space="preserve">Isabel Martínez Ponte </w:t>
      </w:r>
      <w:r w:rsidRPr="00E1531A">
        <w:rPr>
          <w:rFonts w:eastAsia="Times New Roman"/>
          <w:bCs/>
          <w:iCs/>
          <w:szCs w:val="20"/>
          <w:lang w:eastAsia="en-US"/>
        </w:rPr>
        <w:t xml:space="preserve">as Vice-Chairman of the CCV, in replacement of Mr. </w:t>
      </w:r>
      <w:r w:rsidR="008D22F6" w:rsidRPr="00E1531A">
        <w:rPr>
          <w:rFonts w:eastAsia="Times New Roman"/>
          <w:bCs/>
          <w:iCs/>
          <w:szCs w:val="20"/>
          <w:lang w:eastAsia="en-US"/>
        </w:rPr>
        <w:t>Celestino Menéndez</w:t>
      </w:r>
      <w:r w:rsidRPr="00E1531A">
        <w:rPr>
          <w:rFonts w:eastAsia="Times New Roman"/>
          <w:bCs/>
          <w:iCs/>
          <w:szCs w:val="20"/>
          <w:lang w:eastAsia="en-US"/>
        </w:rPr>
        <w:t xml:space="preserve">. </w:t>
      </w:r>
      <w:r w:rsidRPr="00E1531A">
        <w:rPr>
          <w:rFonts w:eastAsia="Times New Roman"/>
          <w:bCs/>
          <w:iCs/>
          <w:szCs w:val="20"/>
          <w:lang w:eastAsia="en-US" w:bidi="en-US"/>
        </w:rPr>
        <w:t>On behalf of all CC</w:t>
      </w:r>
      <w:r w:rsidR="00430CBD" w:rsidRPr="00E1531A">
        <w:rPr>
          <w:rFonts w:eastAsia="Times New Roman"/>
          <w:bCs/>
          <w:iCs/>
          <w:szCs w:val="20"/>
          <w:lang w:eastAsia="en-US" w:bidi="en-US"/>
        </w:rPr>
        <w:t>T</w:t>
      </w:r>
      <w:r w:rsidRPr="00E1531A">
        <w:rPr>
          <w:rFonts w:eastAsia="Times New Roman"/>
          <w:bCs/>
          <w:iCs/>
          <w:szCs w:val="20"/>
          <w:lang w:eastAsia="en-US" w:bidi="en-US"/>
        </w:rPr>
        <w:t xml:space="preserve"> participants, the Chairm</w:t>
      </w:r>
      <w:r w:rsidR="00430CBD" w:rsidRPr="00E1531A">
        <w:rPr>
          <w:rFonts w:eastAsia="Times New Roman"/>
          <w:bCs/>
          <w:iCs/>
          <w:szCs w:val="20"/>
          <w:lang w:eastAsia="en-US" w:bidi="en-US"/>
        </w:rPr>
        <w:t>a</w:t>
      </w:r>
      <w:r w:rsidRPr="00E1531A">
        <w:rPr>
          <w:rFonts w:eastAsia="Times New Roman"/>
          <w:bCs/>
          <w:iCs/>
          <w:szCs w:val="20"/>
          <w:lang w:eastAsia="en-US" w:bidi="en-US"/>
        </w:rPr>
        <w:t xml:space="preserve">n of the CCV expressed </w:t>
      </w:r>
      <w:r w:rsidR="000A35AA" w:rsidRPr="00E1531A">
        <w:rPr>
          <w:rFonts w:eastAsia="Times New Roman"/>
          <w:bCs/>
          <w:iCs/>
          <w:szCs w:val="20"/>
          <w:lang w:eastAsia="en-US" w:bidi="en-US"/>
        </w:rPr>
        <w:t>his</w:t>
      </w:r>
      <w:r w:rsidRPr="00E1531A">
        <w:rPr>
          <w:rFonts w:eastAsia="Times New Roman"/>
          <w:bCs/>
          <w:iCs/>
          <w:szCs w:val="20"/>
          <w:lang w:eastAsia="en-US" w:bidi="en-US"/>
        </w:rPr>
        <w:t xml:space="preserve"> sincere gratitude to </w:t>
      </w:r>
      <w:r w:rsidRPr="00E1531A">
        <w:rPr>
          <w:rFonts w:eastAsia="Times New Roman"/>
          <w:bCs/>
          <w:iCs/>
          <w:szCs w:val="20"/>
          <w:lang w:eastAsia="en-US"/>
        </w:rPr>
        <w:t xml:space="preserve">Mr. </w:t>
      </w:r>
      <w:r w:rsidR="000A35AA" w:rsidRPr="00E1531A">
        <w:rPr>
          <w:rFonts w:eastAsia="Times New Roman"/>
          <w:bCs/>
          <w:iCs/>
          <w:szCs w:val="20"/>
          <w:lang w:eastAsia="en-US"/>
        </w:rPr>
        <w:t>Celestino Menéndez</w:t>
      </w:r>
      <w:r w:rsidRPr="00E1531A">
        <w:rPr>
          <w:rFonts w:eastAsia="Times New Roman"/>
          <w:bCs/>
          <w:iCs/>
          <w:szCs w:val="20"/>
          <w:lang w:eastAsia="en-US" w:bidi="en-US"/>
        </w:rPr>
        <w:t xml:space="preserve"> for his excellent work as former Vice-Chairman of the CCV.</w:t>
      </w:r>
    </w:p>
    <w:p w14:paraId="29229DD6" w14:textId="7D12CE16" w:rsidR="001C3658" w:rsidRPr="00E1531A" w:rsidRDefault="001C3658" w:rsidP="001C3658">
      <w:pPr>
        <w:pStyle w:val="Heading2"/>
        <w:rPr>
          <w:color w:val="000000"/>
        </w:rPr>
      </w:pPr>
      <w:r w:rsidRPr="00E1531A">
        <w:rPr>
          <w:color w:val="000000"/>
        </w:rPr>
        <w:t>8</w:t>
      </w:r>
      <w:r w:rsidRPr="00E1531A">
        <w:rPr>
          <w:color w:val="000000"/>
        </w:rPr>
        <w:tab/>
        <w:t>Vocabulary rapporteur for ITU-T SG3</w:t>
      </w:r>
    </w:p>
    <w:p w14:paraId="55792B56" w14:textId="0FAD4677" w:rsidR="001C3658" w:rsidRPr="00E1531A" w:rsidRDefault="00054854" w:rsidP="00753EC5">
      <w:pPr>
        <w:tabs>
          <w:tab w:val="left" w:pos="851"/>
        </w:tabs>
        <w:rPr>
          <w:sz w:val="23"/>
          <w:szCs w:val="23"/>
        </w:rPr>
      </w:pPr>
      <w:r w:rsidRPr="00E1531A">
        <w:rPr>
          <w:sz w:val="23"/>
          <w:szCs w:val="23"/>
        </w:rPr>
        <w:t xml:space="preserve">Document </w:t>
      </w:r>
      <w:hyperlink r:id="rId53" w:history="1">
        <w:r w:rsidRPr="00E1531A">
          <w:rPr>
            <w:rStyle w:val="Hyperlink"/>
            <w:sz w:val="23"/>
            <w:szCs w:val="23"/>
          </w:rPr>
          <w:t>SCV-TD09</w:t>
        </w:r>
      </w:hyperlink>
      <w:r w:rsidRPr="00E1531A">
        <w:rPr>
          <w:sz w:val="23"/>
          <w:szCs w:val="23"/>
        </w:rPr>
        <w:t xml:space="preserve"> whereby ITU-T SG3 informs CCT that Mr Paul Najarian had been appointed as their representative to CCT, was presented. The meeting congratulated Mr Najarian on his appointment.</w:t>
      </w:r>
    </w:p>
    <w:p w14:paraId="20F1082B" w14:textId="02385187" w:rsidR="001C3658" w:rsidRPr="00E1531A" w:rsidRDefault="001C3658" w:rsidP="001C3658">
      <w:pPr>
        <w:pStyle w:val="Heading2"/>
        <w:rPr>
          <w:color w:val="000000"/>
        </w:rPr>
      </w:pPr>
      <w:r w:rsidRPr="00E1531A">
        <w:rPr>
          <w:color w:val="000000"/>
        </w:rPr>
        <w:t>9</w:t>
      </w:r>
      <w:r w:rsidRPr="00E1531A">
        <w:rPr>
          <w:color w:val="000000"/>
        </w:rPr>
        <w:tab/>
        <w:t>ITU terminology database – follow-up</w:t>
      </w:r>
    </w:p>
    <w:p w14:paraId="2E5F4ED6" w14:textId="78AD5831" w:rsidR="00EC56E5" w:rsidRPr="00E1531A" w:rsidRDefault="00EC56E5" w:rsidP="00EC56E5">
      <w:pPr>
        <w:tabs>
          <w:tab w:val="left" w:pos="851"/>
        </w:tabs>
      </w:pPr>
      <w:r w:rsidRPr="00E1531A">
        <w:t>Document </w:t>
      </w:r>
      <w:bookmarkStart w:id="11" w:name="_Hlk60295028"/>
      <w:r w:rsidRPr="00E1531A">
        <w:fldChar w:fldCharType="begin"/>
      </w:r>
      <w:r w:rsidRPr="00E1531A">
        <w:instrText xml:space="preserve"> HYPERLINK "https://www.itu.int/md/R19-CCV-C-0002/en" </w:instrText>
      </w:r>
      <w:r w:rsidRPr="00E1531A">
        <w:fldChar w:fldCharType="separate"/>
      </w:r>
      <w:r w:rsidRPr="00E1531A">
        <w:rPr>
          <w:rStyle w:val="Hyperlink"/>
        </w:rPr>
        <w:t>CCV/2(Rev.</w:t>
      </w:r>
      <w:r w:rsidR="000256FA" w:rsidRPr="00E1531A">
        <w:rPr>
          <w:rStyle w:val="Hyperlink"/>
        </w:rPr>
        <w:t>4</w:t>
      </w:r>
      <w:r w:rsidRPr="00E1531A">
        <w:rPr>
          <w:rStyle w:val="Hyperlink"/>
        </w:rPr>
        <w:t>)</w:t>
      </w:r>
      <w:r w:rsidRPr="00E1531A">
        <w:fldChar w:fldCharType="end"/>
      </w:r>
      <w:bookmarkEnd w:id="11"/>
      <w:r w:rsidRPr="00E1531A">
        <w:t>: Terms, acronyms and definitions in Part 3 of the ITU terminology database.</w:t>
      </w:r>
    </w:p>
    <w:p w14:paraId="70C39987" w14:textId="77A3E53F" w:rsidR="00720C97" w:rsidRPr="00E1531A" w:rsidRDefault="00EC56E5" w:rsidP="00753EC5">
      <w:pPr>
        <w:tabs>
          <w:tab w:val="left" w:pos="851"/>
        </w:tabs>
      </w:pPr>
      <w:r w:rsidRPr="00E1531A">
        <w:t>The document was presented.</w:t>
      </w:r>
      <w:r w:rsidR="00720C97" w:rsidRPr="00E1531A">
        <w:t xml:space="preserve"> The meeting agreed to include the terms "Communication network health", "Communication network health index" and "Network toughness",</w:t>
      </w:r>
      <w:r w:rsidR="00720C97" w:rsidRPr="00E1531A">
        <w:rPr>
          <w:rFonts w:eastAsia="SimSun"/>
        </w:rPr>
        <w:t xml:space="preserve"> with their </w:t>
      </w:r>
      <w:r w:rsidR="00720C97" w:rsidRPr="00E1531A">
        <w:rPr>
          <w:rFonts w:eastAsia="SimSun"/>
          <w:bCs/>
          <w:iCs/>
        </w:rPr>
        <w:t>definitions,</w:t>
      </w:r>
      <w:r w:rsidR="00720C97" w:rsidRPr="00E1531A">
        <w:t xml:space="preserve"> in Part 3 of the ITU terminology database.</w:t>
      </w:r>
    </w:p>
    <w:p w14:paraId="459C4AE2" w14:textId="2D780DFA" w:rsidR="001C3658" w:rsidRPr="00E1531A" w:rsidRDefault="00EC56E5" w:rsidP="00753EC5">
      <w:pPr>
        <w:tabs>
          <w:tab w:val="left" w:pos="851"/>
        </w:tabs>
      </w:pPr>
      <w:r w:rsidRPr="00E1531A">
        <w:t xml:space="preserve">The meeting </w:t>
      </w:r>
      <w:r w:rsidR="00720C97" w:rsidRPr="00E1531A">
        <w:t xml:space="preserve">further </w:t>
      </w:r>
      <w:r w:rsidRPr="00E1531A">
        <w:t xml:space="preserve">agreed </w:t>
      </w:r>
      <w:r w:rsidR="00D77E84" w:rsidRPr="00E1531A">
        <w:t xml:space="preserve">to move </w:t>
      </w:r>
      <w:r w:rsidRPr="00E1531A">
        <w:t>the terms “</w:t>
      </w:r>
      <w:r w:rsidR="00830CF6" w:rsidRPr="00E1531A">
        <w:t>Componentized Content</w:t>
      </w:r>
      <w:r w:rsidRPr="00E1531A">
        <w:t>” and “</w:t>
      </w:r>
      <w:r w:rsidR="00E231C6" w:rsidRPr="00E1531A">
        <w:t>Quasi Error Free</w:t>
      </w:r>
      <w:r w:rsidRPr="00E1531A">
        <w:t>”</w:t>
      </w:r>
      <w:r w:rsidR="00F71C43" w:rsidRPr="00E1531A">
        <w:rPr>
          <w:rFonts w:eastAsia="SimSun"/>
        </w:rPr>
        <w:t xml:space="preserve">, with their improved </w:t>
      </w:r>
      <w:r w:rsidR="00F71C43" w:rsidRPr="00E1531A">
        <w:rPr>
          <w:rFonts w:eastAsia="SimSun"/>
          <w:bCs/>
          <w:iCs/>
        </w:rPr>
        <w:t xml:space="preserve">definitions, </w:t>
      </w:r>
      <w:r w:rsidRPr="00E1531A">
        <w:t>from Part 3 to Part 2 of the ITU terminology database. As usual, an updated version of the document will be prepared reflecting the decisions of the meeting.</w:t>
      </w:r>
    </w:p>
    <w:p w14:paraId="489AA2E4" w14:textId="35EEC8DC" w:rsidR="001C3658" w:rsidRPr="00E1531A" w:rsidRDefault="001C3658" w:rsidP="001C3658">
      <w:pPr>
        <w:pStyle w:val="Heading2"/>
        <w:rPr>
          <w:color w:val="000000"/>
        </w:rPr>
      </w:pPr>
      <w:r w:rsidRPr="00E1531A">
        <w:rPr>
          <w:color w:val="000000"/>
        </w:rPr>
        <w:t>10</w:t>
      </w:r>
      <w:r w:rsidRPr="00E1531A">
        <w:rPr>
          <w:color w:val="000000"/>
        </w:rPr>
        <w:tab/>
        <w:t>Next CCT conference call meeting</w:t>
      </w:r>
    </w:p>
    <w:p w14:paraId="249C7F15" w14:textId="467C5A0B" w:rsidR="001C3658" w:rsidRPr="00E1531A" w:rsidRDefault="00054854" w:rsidP="00054854">
      <w:pPr>
        <w:tabs>
          <w:tab w:val="left" w:pos="34"/>
          <w:tab w:val="left" w:pos="1168"/>
        </w:tabs>
        <w:rPr>
          <w:rFonts w:asciiTheme="majorBidi" w:hAnsiTheme="majorBidi" w:cstheme="majorBidi"/>
          <w:bCs/>
          <w:i/>
          <w:iCs/>
        </w:rPr>
      </w:pPr>
      <w:r w:rsidRPr="00E1531A">
        <w:rPr>
          <w:rFonts w:asciiTheme="majorBidi" w:hAnsiTheme="majorBidi" w:cstheme="majorBidi"/>
          <w:bCs/>
        </w:rPr>
        <w:t xml:space="preserve">The meeting decided that the next meeting would take place on </w:t>
      </w:r>
      <w:r w:rsidR="006A61EA" w:rsidRPr="00E1531A">
        <w:rPr>
          <w:rFonts w:asciiTheme="majorBidi" w:hAnsiTheme="majorBidi" w:cstheme="majorBidi"/>
          <w:bCs/>
        </w:rPr>
        <w:t>10 November 2022 at 1300 Geneva time.</w:t>
      </w:r>
    </w:p>
    <w:p w14:paraId="03A9177B" w14:textId="3C8F0310" w:rsidR="001C3658" w:rsidRPr="00E1531A" w:rsidRDefault="001C3658" w:rsidP="001C3658">
      <w:pPr>
        <w:pStyle w:val="Heading2"/>
        <w:rPr>
          <w:color w:val="000000"/>
        </w:rPr>
      </w:pPr>
      <w:r w:rsidRPr="00E1531A">
        <w:rPr>
          <w:color w:val="000000"/>
        </w:rPr>
        <w:t>11</w:t>
      </w:r>
      <w:r w:rsidRPr="00E1531A">
        <w:rPr>
          <w:color w:val="000000"/>
        </w:rPr>
        <w:tab/>
        <w:t>Any other business</w:t>
      </w:r>
    </w:p>
    <w:p w14:paraId="5575415F" w14:textId="72D09D6A" w:rsidR="001C3658" w:rsidRPr="00E1531A" w:rsidRDefault="00DC6129" w:rsidP="00753EC5">
      <w:pPr>
        <w:tabs>
          <w:tab w:val="left" w:pos="851"/>
        </w:tabs>
        <w:rPr>
          <w:sz w:val="23"/>
          <w:szCs w:val="23"/>
        </w:rPr>
      </w:pPr>
      <w:r w:rsidRPr="00E1531A">
        <w:rPr>
          <w:sz w:val="23"/>
          <w:szCs w:val="23"/>
        </w:rPr>
        <w:t>None</w:t>
      </w:r>
      <w:r w:rsidR="002250CE" w:rsidRPr="00E1531A">
        <w:rPr>
          <w:sz w:val="23"/>
          <w:szCs w:val="23"/>
        </w:rPr>
        <w:t>.</w:t>
      </w:r>
    </w:p>
    <w:p w14:paraId="77244285" w14:textId="3726E387" w:rsidR="00054854" w:rsidRPr="00E1531A" w:rsidRDefault="001C3658" w:rsidP="001C3658">
      <w:pPr>
        <w:pStyle w:val="Heading2"/>
        <w:rPr>
          <w:color w:val="000000"/>
        </w:rPr>
      </w:pPr>
      <w:r w:rsidRPr="00E1531A">
        <w:rPr>
          <w:color w:val="000000"/>
        </w:rPr>
        <w:t>12</w:t>
      </w:r>
      <w:r w:rsidRPr="00E1531A">
        <w:rPr>
          <w:color w:val="000000"/>
        </w:rPr>
        <w:tab/>
        <w:t>Closing remarks</w:t>
      </w:r>
      <w:r w:rsidR="00BC573B" w:rsidRPr="00E1531A">
        <w:rPr>
          <w:color w:val="000000"/>
        </w:rPr>
        <w:tab/>
      </w:r>
    </w:p>
    <w:p w14:paraId="69F38FC7" w14:textId="4610A66F" w:rsidR="00C064BA" w:rsidRPr="00E1531A" w:rsidRDefault="00F13577">
      <w:pPr>
        <w:spacing w:before="0" w:after="160" w:line="259" w:lineRule="auto"/>
        <w:rPr>
          <w:color w:val="000000"/>
        </w:rPr>
      </w:pPr>
      <w:r w:rsidRPr="00E1531A">
        <w:rPr>
          <w:color w:val="000000"/>
        </w:rPr>
        <w:t xml:space="preserve">After expressing his </w:t>
      </w:r>
      <w:r w:rsidR="00C064BA" w:rsidRPr="00E1531A">
        <w:rPr>
          <w:color w:val="000000"/>
        </w:rPr>
        <w:t>satisfaction for the progress done during the meeting and the new topics being addressed, t</w:t>
      </w:r>
      <w:r w:rsidRPr="00E1531A">
        <w:rPr>
          <w:color w:val="000000"/>
        </w:rPr>
        <w:t xml:space="preserve">he Chairman </w:t>
      </w:r>
      <w:r w:rsidR="00C064BA" w:rsidRPr="00E1531A">
        <w:rPr>
          <w:color w:val="000000"/>
        </w:rPr>
        <w:t>closed the meeting.</w:t>
      </w:r>
    </w:p>
    <w:p w14:paraId="07CDD0E9" w14:textId="3D66D7C9" w:rsidR="00A83D39" w:rsidRPr="00E1531A" w:rsidRDefault="00A83D39">
      <w:pPr>
        <w:spacing w:before="0" w:after="160" w:line="259" w:lineRule="auto"/>
        <w:rPr>
          <w:color w:val="000000"/>
        </w:rPr>
      </w:pPr>
    </w:p>
    <w:p w14:paraId="2D7103C0" w14:textId="6F020728" w:rsidR="0000387F" w:rsidRPr="00E1531A" w:rsidRDefault="0000387F">
      <w:pPr>
        <w:spacing w:before="0" w:after="160" w:line="259" w:lineRule="auto"/>
        <w:rPr>
          <w:color w:val="000000"/>
        </w:rPr>
      </w:pPr>
    </w:p>
    <w:p w14:paraId="3BD986D0" w14:textId="2EB60EEF" w:rsidR="0000387F" w:rsidRPr="00E1531A" w:rsidRDefault="0000387F">
      <w:pPr>
        <w:spacing w:before="0" w:after="160" w:line="259" w:lineRule="auto"/>
        <w:rPr>
          <w:color w:val="000000"/>
        </w:rPr>
      </w:pPr>
    </w:p>
    <w:p w14:paraId="6C587850" w14:textId="77777777" w:rsidR="0000387F" w:rsidRPr="00E1531A" w:rsidRDefault="0000387F">
      <w:pPr>
        <w:spacing w:before="0" w:after="160" w:line="259" w:lineRule="auto"/>
        <w:rPr>
          <w:color w:val="000000"/>
        </w:rPr>
      </w:pPr>
    </w:p>
    <w:p w14:paraId="1A86C254" w14:textId="4727CCF7" w:rsidR="00A83D39" w:rsidRPr="00E1531A" w:rsidRDefault="00A83D39" w:rsidP="00A83D39">
      <w:pPr>
        <w:tabs>
          <w:tab w:val="left" w:pos="851"/>
        </w:tabs>
        <w:rPr>
          <w:rFonts w:eastAsia="SimSun"/>
        </w:rPr>
      </w:pPr>
      <w:r w:rsidRPr="00E1531A">
        <w:rPr>
          <w:rFonts w:eastAsia="SimSun"/>
        </w:rPr>
        <w:t>Annexes: 2</w:t>
      </w:r>
    </w:p>
    <w:p w14:paraId="17596223" w14:textId="77777777" w:rsidR="00C064BA" w:rsidRPr="00E1531A" w:rsidRDefault="00C064BA">
      <w:pPr>
        <w:spacing w:before="0" w:after="160" w:line="259" w:lineRule="auto"/>
        <w:rPr>
          <w:color w:val="000000"/>
        </w:rPr>
      </w:pPr>
      <w:r w:rsidRPr="00E1531A">
        <w:rPr>
          <w:color w:val="000000"/>
        </w:rPr>
        <w:br w:type="page"/>
      </w:r>
    </w:p>
    <w:p w14:paraId="413F4889" w14:textId="77777777" w:rsidR="00054854" w:rsidRPr="00E1531A" w:rsidRDefault="00054854">
      <w:pPr>
        <w:spacing w:before="0" w:after="160" w:line="259" w:lineRule="auto"/>
        <w:rPr>
          <w:rFonts w:eastAsia="Times New Roman"/>
          <w:b/>
          <w:color w:val="000000"/>
          <w:szCs w:val="20"/>
          <w:lang w:eastAsia="en-US"/>
        </w:rPr>
      </w:pPr>
    </w:p>
    <w:p w14:paraId="0FB3A34A" w14:textId="494CC62C" w:rsidR="009A5EC6" w:rsidRPr="00E1531A" w:rsidRDefault="00054854" w:rsidP="009A5EC6">
      <w:pPr>
        <w:pStyle w:val="AnnexNotitle"/>
      </w:pPr>
      <w:r w:rsidRPr="00E1531A">
        <w:t>Annex</w:t>
      </w:r>
      <w:r w:rsidR="00DC6129" w:rsidRPr="00E1531A">
        <w:t xml:space="preserve"> 1</w:t>
      </w:r>
      <w:r w:rsidR="0000387F" w:rsidRPr="00E1531A">
        <w:br/>
      </w:r>
      <w:r w:rsidR="006151EC" w:rsidRPr="00E1531A">
        <w:br/>
      </w:r>
      <w:r w:rsidR="009A5EC6" w:rsidRPr="00E1531A">
        <w:t>List of participants</w:t>
      </w:r>
    </w:p>
    <w:p w14:paraId="4AA196D9" w14:textId="77777777" w:rsidR="006151EC" w:rsidRPr="00E1531A" w:rsidRDefault="006151EC" w:rsidP="006151EC">
      <w:pPr>
        <w:rPr>
          <w:lang w:eastAsia="en-US"/>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684"/>
        <w:gridCol w:w="4253"/>
      </w:tblGrid>
      <w:tr w:rsidR="009A5EC6" w:rsidRPr="00E1531A" w14:paraId="146FCB6E" w14:textId="77777777" w:rsidTr="001563A1">
        <w:trPr>
          <w:jc w:val="center"/>
        </w:trPr>
        <w:tc>
          <w:tcPr>
            <w:tcW w:w="1055" w:type="pct"/>
          </w:tcPr>
          <w:p w14:paraId="798BF8F7" w14:textId="77777777" w:rsidR="009A5EC6" w:rsidRPr="00E1531A" w:rsidRDefault="009A5EC6" w:rsidP="00C961F5">
            <w:pPr>
              <w:spacing w:before="40" w:after="40"/>
              <w:rPr>
                <w:rFonts w:asciiTheme="majorBidi" w:hAnsiTheme="majorBidi" w:cstheme="majorBidi"/>
                <w:sz w:val="22"/>
                <w:szCs w:val="22"/>
              </w:rPr>
            </w:pPr>
            <w:bookmarkStart w:id="12" w:name="_Hlk43012114"/>
            <w:r w:rsidRPr="00E1531A">
              <w:rPr>
                <w:rFonts w:asciiTheme="majorBidi" w:hAnsiTheme="majorBidi" w:cstheme="majorBidi"/>
                <w:iCs/>
                <w:sz w:val="22"/>
                <w:szCs w:val="22"/>
              </w:rPr>
              <w:t>R. Belhaj</w:t>
            </w:r>
          </w:p>
        </w:tc>
        <w:tc>
          <w:tcPr>
            <w:tcW w:w="1831" w:type="pct"/>
          </w:tcPr>
          <w:p w14:paraId="09DB0695"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Chairman SCV</w:t>
            </w:r>
          </w:p>
        </w:tc>
        <w:tc>
          <w:tcPr>
            <w:tcW w:w="2114" w:type="pct"/>
          </w:tcPr>
          <w:p w14:paraId="32983681"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iCs/>
                <w:sz w:val="22"/>
                <w:szCs w:val="22"/>
              </w:rPr>
              <w:t>Tunisia</w:t>
            </w:r>
          </w:p>
        </w:tc>
      </w:tr>
      <w:tr w:rsidR="009A5EC6" w:rsidRPr="00E1531A" w14:paraId="2AC88C61" w14:textId="77777777" w:rsidTr="001563A1">
        <w:trPr>
          <w:jc w:val="center"/>
        </w:trPr>
        <w:tc>
          <w:tcPr>
            <w:tcW w:w="1055" w:type="pct"/>
          </w:tcPr>
          <w:p w14:paraId="1FDC0943"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C. Rissone</w:t>
            </w:r>
          </w:p>
        </w:tc>
        <w:tc>
          <w:tcPr>
            <w:tcW w:w="1831" w:type="pct"/>
          </w:tcPr>
          <w:p w14:paraId="575C220F"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Chairman CCV</w:t>
            </w:r>
          </w:p>
        </w:tc>
        <w:tc>
          <w:tcPr>
            <w:tcW w:w="2114" w:type="pct"/>
          </w:tcPr>
          <w:p w14:paraId="049387AC" w14:textId="77777777" w:rsidR="009A5EC6" w:rsidRPr="00E1531A" w:rsidRDefault="009A5EC6" w:rsidP="00C961F5">
            <w:pPr>
              <w:spacing w:before="40" w:after="40"/>
              <w:rPr>
                <w:rFonts w:asciiTheme="majorBidi" w:hAnsiTheme="majorBidi" w:cstheme="majorBidi"/>
                <w:i/>
                <w:iCs/>
                <w:sz w:val="22"/>
                <w:szCs w:val="22"/>
              </w:rPr>
            </w:pPr>
            <w:r w:rsidRPr="00E1531A">
              <w:rPr>
                <w:rFonts w:asciiTheme="majorBidi" w:hAnsiTheme="majorBidi" w:cstheme="majorBidi"/>
                <w:sz w:val="22"/>
                <w:szCs w:val="22"/>
              </w:rPr>
              <w:t>France</w:t>
            </w:r>
          </w:p>
        </w:tc>
      </w:tr>
      <w:tr w:rsidR="003703AB" w:rsidRPr="00E1531A" w14:paraId="1EB850D9" w14:textId="77777777" w:rsidTr="009C5CC6">
        <w:trPr>
          <w:jc w:val="center"/>
        </w:trPr>
        <w:tc>
          <w:tcPr>
            <w:tcW w:w="1055" w:type="pct"/>
          </w:tcPr>
          <w:p w14:paraId="64C0B753" w14:textId="77777777" w:rsidR="003703AB" w:rsidRPr="00E1531A" w:rsidRDefault="003703AB" w:rsidP="009C5CC6">
            <w:pPr>
              <w:spacing w:before="40" w:after="40"/>
              <w:rPr>
                <w:rFonts w:asciiTheme="majorBidi" w:hAnsiTheme="majorBidi" w:cstheme="majorBidi"/>
                <w:iCs/>
                <w:sz w:val="22"/>
                <w:szCs w:val="22"/>
              </w:rPr>
            </w:pPr>
            <w:r w:rsidRPr="00E1531A">
              <w:rPr>
                <w:rFonts w:asciiTheme="majorBidi" w:hAnsiTheme="majorBidi" w:cstheme="majorBidi"/>
                <w:iCs/>
                <w:sz w:val="22"/>
                <w:szCs w:val="22"/>
              </w:rPr>
              <w:t>I. Martínez Ponte</w:t>
            </w:r>
          </w:p>
        </w:tc>
        <w:tc>
          <w:tcPr>
            <w:tcW w:w="1831" w:type="pct"/>
          </w:tcPr>
          <w:p w14:paraId="5045DBEB" w14:textId="77777777" w:rsidR="003703AB" w:rsidRPr="00E1531A" w:rsidRDefault="003703AB" w:rsidP="009C5CC6">
            <w:pPr>
              <w:spacing w:before="40" w:after="40"/>
              <w:rPr>
                <w:rFonts w:asciiTheme="majorBidi" w:hAnsiTheme="majorBidi" w:cstheme="majorBidi"/>
                <w:sz w:val="22"/>
                <w:szCs w:val="22"/>
              </w:rPr>
            </w:pPr>
            <w:r w:rsidRPr="00E1531A">
              <w:rPr>
                <w:rFonts w:asciiTheme="majorBidi" w:hAnsiTheme="majorBidi" w:cstheme="majorBidi"/>
                <w:sz w:val="22"/>
                <w:szCs w:val="22"/>
              </w:rPr>
              <w:t>Vice-Chairman CCV</w:t>
            </w:r>
          </w:p>
        </w:tc>
        <w:tc>
          <w:tcPr>
            <w:tcW w:w="2114" w:type="pct"/>
          </w:tcPr>
          <w:p w14:paraId="2312AE60" w14:textId="77777777" w:rsidR="003703AB" w:rsidRPr="00E1531A" w:rsidRDefault="003703AB" w:rsidP="009C5CC6">
            <w:pPr>
              <w:spacing w:before="40" w:after="40"/>
              <w:rPr>
                <w:rFonts w:asciiTheme="majorBidi" w:hAnsiTheme="majorBidi" w:cstheme="majorBidi"/>
                <w:iCs/>
                <w:sz w:val="22"/>
                <w:szCs w:val="22"/>
              </w:rPr>
            </w:pPr>
            <w:r w:rsidRPr="00E1531A">
              <w:rPr>
                <w:rFonts w:asciiTheme="majorBidi" w:hAnsiTheme="majorBidi" w:cstheme="majorBidi"/>
                <w:iCs/>
                <w:sz w:val="22"/>
                <w:szCs w:val="22"/>
              </w:rPr>
              <w:t>Spain</w:t>
            </w:r>
          </w:p>
        </w:tc>
      </w:tr>
      <w:tr w:rsidR="009A5EC6" w:rsidRPr="00E1531A" w14:paraId="757B1F10" w14:textId="77777777" w:rsidTr="001563A1">
        <w:trPr>
          <w:jc w:val="center"/>
        </w:trPr>
        <w:tc>
          <w:tcPr>
            <w:tcW w:w="1055" w:type="pct"/>
            <w:shd w:val="clear" w:color="auto" w:fill="auto"/>
          </w:tcPr>
          <w:p w14:paraId="6ABE363C"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P. Najarian</w:t>
            </w:r>
          </w:p>
        </w:tc>
        <w:tc>
          <w:tcPr>
            <w:tcW w:w="1831" w:type="pct"/>
            <w:shd w:val="clear" w:color="auto" w:fill="auto"/>
          </w:tcPr>
          <w:p w14:paraId="1E338333"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 xml:space="preserve">Vice-Chairman SCV, </w:t>
            </w:r>
            <w:r w:rsidRPr="00E1531A">
              <w:rPr>
                <w:rFonts w:asciiTheme="majorBidi" w:hAnsiTheme="majorBidi" w:cstheme="majorBidi"/>
                <w:sz w:val="22"/>
                <w:szCs w:val="22"/>
              </w:rPr>
              <w:br/>
              <w:t>ITU-T SG3 V</w:t>
            </w:r>
            <w:r w:rsidRPr="00E1531A">
              <w:rPr>
                <w:rFonts w:cstheme="majorBidi"/>
                <w:sz w:val="22"/>
                <w:szCs w:val="22"/>
              </w:rPr>
              <w:t>ocabulary Rapporteur</w:t>
            </w:r>
          </w:p>
        </w:tc>
        <w:tc>
          <w:tcPr>
            <w:tcW w:w="2114" w:type="pct"/>
          </w:tcPr>
          <w:p w14:paraId="393D087B"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sz w:val="22"/>
                <w:szCs w:val="22"/>
              </w:rPr>
              <w:t>United States</w:t>
            </w:r>
          </w:p>
        </w:tc>
      </w:tr>
      <w:tr w:rsidR="009A5EC6" w:rsidRPr="00E1531A" w14:paraId="2892F1F6" w14:textId="77777777" w:rsidTr="001563A1">
        <w:trPr>
          <w:jc w:val="center"/>
        </w:trPr>
        <w:tc>
          <w:tcPr>
            <w:tcW w:w="1055" w:type="pct"/>
          </w:tcPr>
          <w:p w14:paraId="3757B410"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T. Wu</w:t>
            </w:r>
          </w:p>
        </w:tc>
        <w:tc>
          <w:tcPr>
            <w:tcW w:w="1831" w:type="pct"/>
          </w:tcPr>
          <w:p w14:paraId="3AA398B6"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Vice-Chairman SCV</w:t>
            </w:r>
          </w:p>
        </w:tc>
        <w:tc>
          <w:tcPr>
            <w:tcW w:w="2114" w:type="pct"/>
          </w:tcPr>
          <w:p w14:paraId="31266239"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China</w:t>
            </w:r>
          </w:p>
        </w:tc>
      </w:tr>
      <w:tr w:rsidR="003703AB" w:rsidRPr="00E1531A" w14:paraId="04AD6C4E" w14:textId="77777777" w:rsidTr="002173C9">
        <w:trPr>
          <w:jc w:val="center"/>
        </w:trPr>
        <w:tc>
          <w:tcPr>
            <w:tcW w:w="1055" w:type="pct"/>
          </w:tcPr>
          <w:p w14:paraId="3076E710" w14:textId="77777777" w:rsidR="003703AB" w:rsidRPr="00E1531A" w:rsidRDefault="003703AB" w:rsidP="002173C9">
            <w:pPr>
              <w:spacing w:before="40" w:after="40"/>
              <w:rPr>
                <w:rFonts w:asciiTheme="majorBidi" w:hAnsiTheme="majorBidi" w:cstheme="majorBidi"/>
                <w:iCs/>
                <w:sz w:val="22"/>
                <w:szCs w:val="22"/>
              </w:rPr>
            </w:pPr>
            <w:r w:rsidRPr="00E1531A">
              <w:rPr>
                <w:rFonts w:asciiTheme="majorBidi" w:hAnsiTheme="majorBidi" w:cstheme="majorBidi"/>
                <w:iCs/>
                <w:sz w:val="22"/>
                <w:szCs w:val="22"/>
              </w:rPr>
              <w:t>K. Trofimov</w:t>
            </w:r>
          </w:p>
        </w:tc>
        <w:tc>
          <w:tcPr>
            <w:tcW w:w="1831" w:type="pct"/>
          </w:tcPr>
          <w:p w14:paraId="5C8B2029" w14:textId="07E745DC" w:rsidR="003703AB" w:rsidRPr="00745E77" w:rsidRDefault="003703AB" w:rsidP="002173C9">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 xml:space="preserve">ITU-T SG20 </w:t>
            </w:r>
            <w:r w:rsidR="006151EC" w:rsidRPr="00745E77">
              <w:rPr>
                <w:rFonts w:asciiTheme="majorBidi" w:hAnsiTheme="majorBidi" w:cstheme="majorBidi"/>
                <w:sz w:val="22"/>
                <w:szCs w:val="22"/>
                <w:lang w:val="fr-CH"/>
              </w:rPr>
              <w:t>Vocabulary</w:t>
            </w:r>
            <w:r w:rsidRPr="00745E77">
              <w:rPr>
                <w:rFonts w:asciiTheme="majorBidi" w:hAnsiTheme="majorBidi" w:cstheme="majorBidi"/>
                <w:sz w:val="22"/>
                <w:szCs w:val="22"/>
                <w:lang w:val="fr-CH"/>
              </w:rPr>
              <w:t xml:space="preserve"> Rapporteur</w:t>
            </w:r>
          </w:p>
        </w:tc>
        <w:tc>
          <w:tcPr>
            <w:tcW w:w="2114" w:type="pct"/>
          </w:tcPr>
          <w:p w14:paraId="605DAC72" w14:textId="77777777" w:rsidR="003703AB" w:rsidRPr="00E1531A" w:rsidRDefault="003703AB" w:rsidP="002173C9">
            <w:pPr>
              <w:spacing w:before="40" w:after="40"/>
              <w:rPr>
                <w:rFonts w:asciiTheme="majorBidi" w:hAnsiTheme="majorBidi" w:cstheme="majorBidi"/>
                <w:iCs/>
                <w:sz w:val="22"/>
                <w:szCs w:val="22"/>
              </w:rPr>
            </w:pPr>
            <w:r w:rsidRPr="00E1531A">
              <w:rPr>
                <w:rFonts w:asciiTheme="majorBidi" w:hAnsiTheme="majorBidi" w:cstheme="majorBidi"/>
                <w:sz w:val="22"/>
                <w:szCs w:val="22"/>
              </w:rPr>
              <w:t>Russian Federation</w:t>
            </w:r>
          </w:p>
        </w:tc>
      </w:tr>
      <w:tr w:rsidR="009A5EC6" w:rsidRPr="00E1531A" w14:paraId="42B31D01" w14:textId="77777777" w:rsidTr="001563A1">
        <w:trPr>
          <w:jc w:val="center"/>
        </w:trPr>
        <w:tc>
          <w:tcPr>
            <w:tcW w:w="1055" w:type="pct"/>
          </w:tcPr>
          <w:p w14:paraId="28592842"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J. Achkar</w:t>
            </w:r>
          </w:p>
        </w:tc>
        <w:tc>
          <w:tcPr>
            <w:tcW w:w="1831" w:type="pct"/>
          </w:tcPr>
          <w:p w14:paraId="7F6A4729"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ITU-R SG 7 Vocabulary Rapporteur</w:t>
            </w:r>
          </w:p>
        </w:tc>
        <w:tc>
          <w:tcPr>
            <w:tcW w:w="2114" w:type="pct"/>
          </w:tcPr>
          <w:p w14:paraId="2B38F245"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France</w:t>
            </w:r>
          </w:p>
        </w:tc>
      </w:tr>
      <w:tr w:rsidR="009A5EC6" w:rsidRPr="00E1531A" w14:paraId="6EFB0C4E" w14:textId="77777777" w:rsidTr="001563A1">
        <w:trPr>
          <w:jc w:val="center"/>
        </w:trPr>
        <w:tc>
          <w:tcPr>
            <w:tcW w:w="1055" w:type="pct"/>
          </w:tcPr>
          <w:p w14:paraId="6C6C8454"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C. Allen</w:t>
            </w:r>
          </w:p>
        </w:tc>
        <w:tc>
          <w:tcPr>
            <w:tcW w:w="1831" w:type="pct"/>
          </w:tcPr>
          <w:p w14:paraId="1A1D89F9"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ITU-R SG 3 Vocabulary Rapporteur</w:t>
            </w:r>
          </w:p>
        </w:tc>
        <w:tc>
          <w:tcPr>
            <w:tcW w:w="2114" w:type="pct"/>
          </w:tcPr>
          <w:p w14:paraId="7A42C7E1"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United Kingdom</w:t>
            </w:r>
          </w:p>
        </w:tc>
      </w:tr>
      <w:tr w:rsidR="009A5EC6" w:rsidRPr="00E1531A" w14:paraId="1CE93B14" w14:textId="77777777" w:rsidTr="001563A1">
        <w:trPr>
          <w:jc w:val="center"/>
        </w:trPr>
        <w:tc>
          <w:tcPr>
            <w:tcW w:w="1055" w:type="pct"/>
          </w:tcPr>
          <w:p w14:paraId="7FEFA5B2"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R. Belhassine-Cherif</w:t>
            </w:r>
          </w:p>
        </w:tc>
        <w:tc>
          <w:tcPr>
            <w:tcW w:w="1831" w:type="pct"/>
          </w:tcPr>
          <w:p w14:paraId="27B4AC54"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ITU-T SG13 Vocabulary Rapporteur</w:t>
            </w:r>
          </w:p>
        </w:tc>
        <w:tc>
          <w:tcPr>
            <w:tcW w:w="2114" w:type="pct"/>
          </w:tcPr>
          <w:p w14:paraId="5943E65C"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iCs/>
                <w:sz w:val="22"/>
                <w:szCs w:val="22"/>
              </w:rPr>
              <w:t>Tunisia</w:t>
            </w:r>
          </w:p>
        </w:tc>
      </w:tr>
      <w:tr w:rsidR="009A5EC6" w:rsidRPr="00E1531A" w14:paraId="03B5B0BD" w14:textId="77777777" w:rsidTr="001563A1">
        <w:trPr>
          <w:jc w:val="center"/>
        </w:trPr>
        <w:tc>
          <w:tcPr>
            <w:tcW w:w="1055" w:type="pct"/>
          </w:tcPr>
          <w:p w14:paraId="3A8C3812"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D. Cherkesov</w:t>
            </w:r>
          </w:p>
        </w:tc>
        <w:tc>
          <w:tcPr>
            <w:tcW w:w="1831" w:type="pct"/>
          </w:tcPr>
          <w:p w14:paraId="304FE128"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ITU-T SG2 Vocabulary Rapporteur</w:t>
            </w:r>
          </w:p>
        </w:tc>
        <w:tc>
          <w:tcPr>
            <w:tcW w:w="2114" w:type="pct"/>
          </w:tcPr>
          <w:p w14:paraId="037D947A"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iCs/>
                <w:sz w:val="22"/>
                <w:szCs w:val="22"/>
              </w:rPr>
              <w:t>Russian Federation</w:t>
            </w:r>
          </w:p>
        </w:tc>
      </w:tr>
      <w:tr w:rsidR="000260EA" w:rsidRPr="00E1531A" w14:paraId="70DC4B06" w14:textId="77777777" w:rsidTr="001563A1">
        <w:trPr>
          <w:jc w:val="center"/>
        </w:trPr>
        <w:tc>
          <w:tcPr>
            <w:tcW w:w="1055" w:type="pct"/>
          </w:tcPr>
          <w:p w14:paraId="5038655A" w14:textId="6C50855C" w:rsidR="000260EA" w:rsidRPr="00E1531A" w:rsidRDefault="000260EA"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H. Mazar</w:t>
            </w:r>
          </w:p>
        </w:tc>
        <w:tc>
          <w:tcPr>
            <w:tcW w:w="1831" w:type="pct"/>
          </w:tcPr>
          <w:p w14:paraId="1E94FACD" w14:textId="02A26074" w:rsidR="000260EA" w:rsidRPr="00E1531A" w:rsidRDefault="001563A1"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Vice-Chairman ITU-R SG 5 &amp; WP 5C</w:t>
            </w:r>
          </w:p>
        </w:tc>
        <w:tc>
          <w:tcPr>
            <w:tcW w:w="2114" w:type="pct"/>
          </w:tcPr>
          <w:p w14:paraId="54663A6D" w14:textId="36FB1F6F" w:rsidR="000260EA" w:rsidRPr="00E1531A" w:rsidRDefault="000260EA"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Israel</w:t>
            </w:r>
          </w:p>
        </w:tc>
      </w:tr>
      <w:tr w:rsidR="009A5EC6" w:rsidRPr="00E1531A" w14:paraId="1317DF28" w14:textId="77777777" w:rsidTr="001563A1">
        <w:trPr>
          <w:jc w:val="center"/>
        </w:trPr>
        <w:tc>
          <w:tcPr>
            <w:tcW w:w="1055" w:type="pct"/>
            <w:shd w:val="clear" w:color="auto" w:fill="auto"/>
          </w:tcPr>
          <w:p w14:paraId="6C4A00C6"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M. Maytum</w:t>
            </w:r>
          </w:p>
        </w:tc>
        <w:tc>
          <w:tcPr>
            <w:tcW w:w="1831" w:type="pct"/>
          </w:tcPr>
          <w:p w14:paraId="6E0C9C05"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ITU-T SG5 V</w:t>
            </w:r>
            <w:r w:rsidRPr="00745E77">
              <w:rPr>
                <w:rFonts w:cstheme="majorBidi"/>
                <w:sz w:val="22"/>
                <w:szCs w:val="22"/>
                <w:lang w:val="fr-CH"/>
              </w:rPr>
              <w:t>ocabulary Rapporteur</w:t>
            </w:r>
          </w:p>
        </w:tc>
        <w:tc>
          <w:tcPr>
            <w:tcW w:w="2114" w:type="pct"/>
          </w:tcPr>
          <w:p w14:paraId="74CA61D3"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Bourns, United Kingdom</w:t>
            </w:r>
          </w:p>
        </w:tc>
      </w:tr>
      <w:tr w:rsidR="009A5EC6" w:rsidRPr="00E1531A" w14:paraId="68153DED" w14:textId="77777777" w:rsidTr="001563A1">
        <w:trPr>
          <w:jc w:val="center"/>
        </w:trPr>
        <w:tc>
          <w:tcPr>
            <w:tcW w:w="1055" w:type="pct"/>
            <w:shd w:val="clear" w:color="auto" w:fill="auto"/>
          </w:tcPr>
          <w:p w14:paraId="15D8AC9E"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G. Owen</w:t>
            </w:r>
          </w:p>
        </w:tc>
        <w:tc>
          <w:tcPr>
            <w:tcW w:w="1831" w:type="pct"/>
          </w:tcPr>
          <w:p w14:paraId="3462EDE2"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ITU-R SG 1 V</w:t>
            </w:r>
            <w:r w:rsidRPr="00745E77">
              <w:rPr>
                <w:rFonts w:cstheme="majorBidi"/>
                <w:sz w:val="22"/>
                <w:szCs w:val="22"/>
                <w:lang w:val="fr-CH"/>
              </w:rPr>
              <w:t>ocabulary Rapporteur</w:t>
            </w:r>
          </w:p>
        </w:tc>
        <w:tc>
          <w:tcPr>
            <w:tcW w:w="2114" w:type="pct"/>
          </w:tcPr>
          <w:p w14:paraId="524CD1B0"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Radiocommunications Agency, Netherlands</w:t>
            </w:r>
          </w:p>
        </w:tc>
      </w:tr>
      <w:tr w:rsidR="009A5EC6" w:rsidRPr="00E1531A" w14:paraId="00B6FD30" w14:textId="77777777" w:rsidTr="001563A1">
        <w:trPr>
          <w:jc w:val="center"/>
        </w:trPr>
        <w:tc>
          <w:tcPr>
            <w:tcW w:w="1055" w:type="pct"/>
            <w:shd w:val="clear" w:color="auto" w:fill="auto"/>
          </w:tcPr>
          <w:p w14:paraId="11F5AA02"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B. Patten</w:t>
            </w:r>
          </w:p>
        </w:tc>
        <w:tc>
          <w:tcPr>
            <w:tcW w:w="1831" w:type="pct"/>
          </w:tcPr>
          <w:p w14:paraId="1887BA56"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ITU-R SG 5 Vocabulary Rapporteur</w:t>
            </w:r>
          </w:p>
        </w:tc>
        <w:tc>
          <w:tcPr>
            <w:tcW w:w="2114" w:type="pct"/>
          </w:tcPr>
          <w:p w14:paraId="2A044425"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NTIA, United States</w:t>
            </w:r>
          </w:p>
        </w:tc>
      </w:tr>
      <w:tr w:rsidR="009A5EC6" w:rsidRPr="00E1531A" w14:paraId="3A19AB4B" w14:textId="77777777" w:rsidTr="001563A1">
        <w:trPr>
          <w:jc w:val="center"/>
        </w:trPr>
        <w:tc>
          <w:tcPr>
            <w:tcW w:w="1055" w:type="pct"/>
          </w:tcPr>
          <w:p w14:paraId="071BC154"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B. Price</w:t>
            </w:r>
          </w:p>
        </w:tc>
        <w:tc>
          <w:tcPr>
            <w:tcW w:w="1831" w:type="pct"/>
          </w:tcPr>
          <w:p w14:paraId="4ED47168"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ITU-R SG 4 Vocabulary Rapporteur</w:t>
            </w:r>
          </w:p>
        </w:tc>
        <w:tc>
          <w:tcPr>
            <w:tcW w:w="2114" w:type="pct"/>
          </w:tcPr>
          <w:p w14:paraId="470F8978"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United States</w:t>
            </w:r>
          </w:p>
        </w:tc>
      </w:tr>
      <w:tr w:rsidR="009A5EC6" w:rsidRPr="00E1531A" w14:paraId="1D1B5658" w14:textId="77777777" w:rsidTr="001563A1">
        <w:trPr>
          <w:jc w:val="center"/>
        </w:trPr>
        <w:tc>
          <w:tcPr>
            <w:tcW w:w="1055" w:type="pct"/>
          </w:tcPr>
          <w:p w14:paraId="05CD28E7"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S. Salvatori</w:t>
            </w:r>
          </w:p>
        </w:tc>
        <w:tc>
          <w:tcPr>
            <w:tcW w:w="1831" w:type="pct"/>
          </w:tcPr>
          <w:p w14:paraId="2AA6D26D" w14:textId="77777777" w:rsidR="009A5EC6" w:rsidRPr="00745E77" w:rsidRDefault="009A5EC6" w:rsidP="00C961F5">
            <w:pPr>
              <w:spacing w:before="40" w:after="40"/>
              <w:rPr>
                <w:rFonts w:asciiTheme="majorBidi" w:hAnsiTheme="majorBidi" w:cstheme="majorBidi"/>
                <w:sz w:val="22"/>
                <w:szCs w:val="22"/>
                <w:lang w:val="fr-CH"/>
              </w:rPr>
            </w:pPr>
            <w:r w:rsidRPr="00745E77">
              <w:rPr>
                <w:rFonts w:asciiTheme="majorBidi" w:hAnsiTheme="majorBidi" w:cstheme="majorBidi"/>
                <w:sz w:val="22"/>
                <w:szCs w:val="22"/>
                <w:lang w:val="fr-CH"/>
              </w:rPr>
              <w:t xml:space="preserve">ITU-R SG 6 Vocabulary Rapporteur </w:t>
            </w:r>
          </w:p>
        </w:tc>
        <w:tc>
          <w:tcPr>
            <w:tcW w:w="2114" w:type="pct"/>
          </w:tcPr>
          <w:p w14:paraId="5CE37564"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Vatican</w:t>
            </w:r>
          </w:p>
        </w:tc>
      </w:tr>
      <w:tr w:rsidR="009A5EC6" w:rsidRPr="00E1531A" w14:paraId="5C2997A5" w14:textId="77777777" w:rsidTr="001563A1">
        <w:trPr>
          <w:jc w:val="center"/>
        </w:trPr>
        <w:tc>
          <w:tcPr>
            <w:tcW w:w="1055" w:type="pct"/>
          </w:tcPr>
          <w:p w14:paraId="7A7B6A15"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O. Dubuisson</w:t>
            </w:r>
          </w:p>
        </w:tc>
        <w:tc>
          <w:tcPr>
            <w:tcW w:w="1831" w:type="pct"/>
          </w:tcPr>
          <w:p w14:paraId="6BA1B1CB"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ITU-T Expert</w:t>
            </w:r>
          </w:p>
        </w:tc>
        <w:tc>
          <w:tcPr>
            <w:tcW w:w="2114" w:type="pct"/>
          </w:tcPr>
          <w:p w14:paraId="352EB6DA"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Orange, France</w:t>
            </w:r>
          </w:p>
        </w:tc>
      </w:tr>
      <w:tr w:rsidR="009A5EC6" w:rsidRPr="00E1531A" w14:paraId="6D0B27F5" w14:textId="77777777" w:rsidTr="001563A1">
        <w:trPr>
          <w:jc w:val="center"/>
        </w:trPr>
        <w:tc>
          <w:tcPr>
            <w:tcW w:w="1055" w:type="pct"/>
          </w:tcPr>
          <w:p w14:paraId="42AB7599" w14:textId="77B3171B"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 xml:space="preserve">M. </w:t>
            </w:r>
            <w:r w:rsidR="000260EA" w:rsidRPr="00E1531A">
              <w:rPr>
                <w:rFonts w:asciiTheme="majorBidi" w:hAnsiTheme="majorBidi" w:cstheme="majorBidi"/>
                <w:iCs/>
                <w:sz w:val="22"/>
                <w:szCs w:val="22"/>
              </w:rPr>
              <w:t>Marin Merinero</w:t>
            </w:r>
          </w:p>
        </w:tc>
        <w:tc>
          <w:tcPr>
            <w:tcW w:w="1831" w:type="pct"/>
          </w:tcPr>
          <w:p w14:paraId="46CB548F"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ITU-R Expert</w:t>
            </w:r>
          </w:p>
        </w:tc>
        <w:tc>
          <w:tcPr>
            <w:tcW w:w="2114" w:type="pct"/>
          </w:tcPr>
          <w:p w14:paraId="0177D3F6"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Minetad, Spain</w:t>
            </w:r>
          </w:p>
        </w:tc>
      </w:tr>
      <w:tr w:rsidR="009A5EC6" w:rsidRPr="00E1531A" w14:paraId="1BCC18D5" w14:textId="77777777" w:rsidTr="001563A1">
        <w:trPr>
          <w:jc w:val="center"/>
        </w:trPr>
        <w:tc>
          <w:tcPr>
            <w:tcW w:w="1055" w:type="pct"/>
          </w:tcPr>
          <w:p w14:paraId="6B718A83"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R. Awotar-Mauree</w:t>
            </w:r>
          </w:p>
        </w:tc>
        <w:tc>
          <w:tcPr>
            <w:tcW w:w="1831" w:type="pct"/>
          </w:tcPr>
          <w:p w14:paraId="7DDBC1FE"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SG advisor</w:t>
            </w:r>
          </w:p>
        </w:tc>
        <w:tc>
          <w:tcPr>
            <w:tcW w:w="2114" w:type="pct"/>
          </w:tcPr>
          <w:p w14:paraId="72AE1798"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BDT, ITU</w:t>
            </w:r>
          </w:p>
        </w:tc>
      </w:tr>
      <w:tr w:rsidR="000260EA" w:rsidRPr="00E1531A" w14:paraId="23066E28" w14:textId="77777777" w:rsidTr="001563A1">
        <w:trPr>
          <w:jc w:val="center"/>
        </w:trPr>
        <w:tc>
          <w:tcPr>
            <w:tcW w:w="1055" w:type="pct"/>
          </w:tcPr>
          <w:p w14:paraId="2C268D32" w14:textId="732F7C91" w:rsidR="000260EA" w:rsidRPr="00E1531A" w:rsidRDefault="000260EA"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K. Carrara</w:t>
            </w:r>
          </w:p>
        </w:tc>
        <w:tc>
          <w:tcPr>
            <w:tcW w:w="1831" w:type="pct"/>
          </w:tcPr>
          <w:p w14:paraId="5E0389CF" w14:textId="1F523E63" w:rsidR="000260EA" w:rsidRPr="00E1531A" w:rsidRDefault="009A5E97"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Communications</w:t>
            </w:r>
          </w:p>
        </w:tc>
        <w:tc>
          <w:tcPr>
            <w:tcW w:w="2114" w:type="pct"/>
          </w:tcPr>
          <w:p w14:paraId="48CAB173" w14:textId="632F039C" w:rsidR="000260EA" w:rsidRPr="00E1531A" w:rsidRDefault="009A5E97"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GS, ITU</w:t>
            </w:r>
          </w:p>
        </w:tc>
      </w:tr>
      <w:tr w:rsidR="009A5EC6" w:rsidRPr="00E1531A" w14:paraId="3292EDC3" w14:textId="77777777" w:rsidTr="001563A1">
        <w:trPr>
          <w:jc w:val="center"/>
        </w:trPr>
        <w:tc>
          <w:tcPr>
            <w:tcW w:w="1055" w:type="pct"/>
          </w:tcPr>
          <w:p w14:paraId="6D824C88"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P. Pepin</w:t>
            </w:r>
          </w:p>
        </w:tc>
        <w:tc>
          <w:tcPr>
            <w:tcW w:w="1831" w:type="pct"/>
          </w:tcPr>
          <w:p w14:paraId="3ABEFC8F"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Terminologist</w:t>
            </w:r>
          </w:p>
        </w:tc>
        <w:tc>
          <w:tcPr>
            <w:tcW w:w="2114" w:type="pct"/>
          </w:tcPr>
          <w:p w14:paraId="4BEBDD3B" w14:textId="77777777" w:rsidR="009A5EC6" w:rsidRPr="00E1531A" w:rsidRDefault="009A5EC6" w:rsidP="00C961F5">
            <w:pPr>
              <w:spacing w:before="40" w:after="40"/>
              <w:rPr>
                <w:rFonts w:asciiTheme="majorBidi" w:hAnsiTheme="majorBidi" w:cstheme="majorBidi"/>
                <w:iCs/>
                <w:sz w:val="22"/>
                <w:szCs w:val="22"/>
              </w:rPr>
            </w:pPr>
            <w:r w:rsidRPr="00E1531A">
              <w:rPr>
                <w:rFonts w:asciiTheme="majorBidi" w:hAnsiTheme="majorBidi" w:cstheme="majorBidi"/>
                <w:iCs/>
                <w:sz w:val="22"/>
                <w:szCs w:val="22"/>
              </w:rPr>
              <w:t>GS, ITU</w:t>
            </w:r>
          </w:p>
        </w:tc>
      </w:tr>
      <w:tr w:rsidR="009A5EC6" w:rsidRPr="00E1531A" w14:paraId="35D84D3A" w14:textId="77777777" w:rsidTr="001563A1">
        <w:trPr>
          <w:jc w:val="center"/>
        </w:trPr>
        <w:tc>
          <w:tcPr>
            <w:tcW w:w="1055" w:type="pct"/>
          </w:tcPr>
          <w:p w14:paraId="49B816B3"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A. Cabrera</w:t>
            </w:r>
          </w:p>
        </w:tc>
        <w:tc>
          <w:tcPr>
            <w:tcW w:w="1831" w:type="pct"/>
          </w:tcPr>
          <w:p w14:paraId="364BA818"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 xml:space="preserve">TSB, Counsellor SCV </w:t>
            </w:r>
          </w:p>
        </w:tc>
        <w:tc>
          <w:tcPr>
            <w:tcW w:w="2114" w:type="pct"/>
          </w:tcPr>
          <w:p w14:paraId="0F7C7D1C"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TSB, ITU</w:t>
            </w:r>
          </w:p>
        </w:tc>
      </w:tr>
      <w:tr w:rsidR="009A5EC6" w:rsidRPr="00E1531A" w14:paraId="57615236" w14:textId="77777777" w:rsidTr="001563A1">
        <w:trPr>
          <w:jc w:val="center"/>
        </w:trPr>
        <w:tc>
          <w:tcPr>
            <w:tcW w:w="1055" w:type="pct"/>
          </w:tcPr>
          <w:p w14:paraId="46176A6F"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N. Malaguti</w:t>
            </w:r>
          </w:p>
        </w:tc>
        <w:tc>
          <w:tcPr>
            <w:tcW w:w="1831" w:type="pct"/>
          </w:tcPr>
          <w:p w14:paraId="0B5AFF4A"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BR, Counsellor CCV</w:t>
            </w:r>
          </w:p>
        </w:tc>
        <w:tc>
          <w:tcPr>
            <w:tcW w:w="2114" w:type="pct"/>
          </w:tcPr>
          <w:p w14:paraId="3D0080FE" w14:textId="77777777" w:rsidR="009A5EC6" w:rsidRPr="00E1531A" w:rsidRDefault="009A5EC6" w:rsidP="00C961F5">
            <w:pPr>
              <w:spacing w:before="40" w:after="40"/>
              <w:rPr>
                <w:rFonts w:asciiTheme="majorBidi" w:hAnsiTheme="majorBidi" w:cstheme="majorBidi"/>
                <w:sz w:val="22"/>
                <w:szCs w:val="22"/>
              </w:rPr>
            </w:pPr>
            <w:r w:rsidRPr="00E1531A">
              <w:rPr>
                <w:rFonts w:asciiTheme="majorBidi" w:hAnsiTheme="majorBidi" w:cstheme="majorBidi"/>
                <w:sz w:val="22"/>
                <w:szCs w:val="22"/>
              </w:rPr>
              <w:t>BR, ITU</w:t>
            </w:r>
          </w:p>
        </w:tc>
      </w:tr>
      <w:bookmarkEnd w:id="12"/>
    </w:tbl>
    <w:p w14:paraId="2F8D5386" w14:textId="77777777" w:rsidR="009A5EC6" w:rsidRPr="00E1531A" w:rsidRDefault="009A5EC6" w:rsidP="009A5EC6">
      <w:pPr>
        <w:pStyle w:val="Reasons"/>
      </w:pPr>
    </w:p>
    <w:p w14:paraId="117DBC34" w14:textId="175BBB4A" w:rsidR="000748CB" w:rsidRPr="00E1531A" w:rsidRDefault="000748CB">
      <w:pPr>
        <w:spacing w:before="0" w:after="160" w:line="259" w:lineRule="auto"/>
      </w:pPr>
      <w:r w:rsidRPr="00E1531A">
        <w:br w:type="page"/>
      </w:r>
    </w:p>
    <w:p w14:paraId="46907BA8" w14:textId="52AF9B90" w:rsidR="00DC6129" w:rsidRPr="00E1531A" w:rsidRDefault="00DC6129" w:rsidP="006151EC">
      <w:pPr>
        <w:pStyle w:val="AnnexNotitle"/>
        <w:rPr>
          <w:b w:val="0"/>
          <w:bCs/>
        </w:rPr>
      </w:pPr>
      <w:r w:rsidRPr="00E1531A">
        <w:lastRenderedPageBreak/>
        <w:t>Annex 2</w:t>
      </w:r>
      <w:r w:rsidR="0000387F" w:rsidRPr="00E1531A">
        <w:br/>
      </w:r>
      <w:r w:rsidR="006151EC" w:rsidRPr="00E1531A">
        <w:br/>
      </w:r>
      <w:r w:rsidR="007540FB" w:rsidRPr="00E1531A">
        <w:t>Draft policy framework on multilingualism in ITU</w:t>
      </w:r>
      <w:r w:rsidR="007540FB" w:rsidRPr="00E1531A">
        <w:rPr>
          <w:rStyle w:val="FootnoteReference"/>
          <w:bCs/>
        </w:rPr>
        <w:footnoteReference w:id="2"/>
      </w:r>
    </w:p>
    <w:p w14:paraId="520B20E2" w14:textId="77777777" w:rsidR="007540FB" w:rsidRPr="00E1531A" w:rsidRDefault="007540FB" w:rsidP="00DC6129">
      <w:pPr>
        <w:tabs>
          <w:tab w:val="left" w:pos="851"/>
        </w:tabs>
        <w:jc w:val="center"/>
        <w:rPr>
          <w:b/>
          <w:bCs/>
        </w:rPr>
      </w:pPr>
    </w:p>
    <w:p w14:paraId="5DA61211" w14:textId="77777777" w:rsidR="007540FB" w:rsidRPr="00E1531A" w:rsidRDefault="007540FB" w:rsidP="007540FB">
      <w:pPr>
        <w:pStyle w:val="ListParagraph"/>
        <w:numPr>
          <w:ilvl w:val="0"/>
          <w:numId w:val="6"/>
        </w:numPr>
        <w:spacing w:before="0" w:after="160" w:line="259" w:lineRule="auto"/>
        <w:rPr>
          <w:rFonts w:asciiTheme="minorHAnsi" w:hAnsiTheme="minorHAnsi" w:cstheme="minorHAnsi"/>
          <w:b/>
          <w:bCs/>
        </w:rPr>
      </w:pPr>
      <w:r w:rsidRPr="00E1531A">
        <w:rPr>
          <w:rFonts w:asciiTheme="minorHAnsi" w:hAnsiTheme="minorHAnsi" w:cstheme="minorHAnsi"/>
          <w:b/>
          <w:bCs/>
        </w:rPr>
        <w:t>Introduction</w:t>
      </w:r>
    </w:p>
    <w:p w14:paraId="4710018C" w14:textId="77777777" w:rsidR="007540FB" w:rsidRPr="00E1531A" w:rsidRDefault="007540FB" w:rsidP="007540FB">
      <w:pPr>
        <w:spacing w:after="120"/>
        <w:rPr>
          <w:rFonts w:asciiTheme="minorHAnsi" w:hAnsiTheme="minorHAnsi" w:cstheme="minorHAnsi"/>
        </w:rPr>
      </w:pPr>
      <w:r w:rsidRPr="00E1531A">
        <w:rPr>
          <w:rFonts w:asciiTheme="minorHAnsi" w:hAnsiTheme="minorHAnsi" w:cstheme="minorHAnsi"/>
        </w:rPr>
        <w:t>Considering the paramount importance of multilingualism in the work of the United Nations, the UN Joint Inspection Unit, in its 2020 report on Multilingualism in the UN system (JIU/REP/2020/6), recommended that executive heads of the United Nations organizations prepare a strategic policy framework for multilingualism, accompanied by administrative and operational guidelines for its implementation, and submit this for adoption by the end of 2022.</w:t>
      </w:r>
    </w:p>
    <w:p w14:paraId="4C183CDD" w14:textId="77777777" w:rsidR="007540FB" w:rsidRPr="00E1531A" w:rsidRDefault="007540FB" w:rsidP="007540FB">
      <w:pPr>
        <w:snapToGrid w:val="0"/>
        <w:spacing w:after="120"/>
        <w:jc w:val="both"/>
        <w:rPr>
          <w:rFonts w:asciiTheme="minorHAnsi" w:hAnsiTheme="minorHAnsi" w:cstheme="minorHAnsi"/>
          <w:i/>
          <w:iCs/>
        </w:rPr>
      </w:pPr>
      <w:r w:rsidRPr="00E1531A">
        <w:rPr>
          <w:rFonts w:asciiTheme="minorHAnsi" w:hAnsiTheme="minorHAnsi" w:cstheme="minorHAnsi"/>
        </w:rPr>
        <w:t xml:space="preserve">The Council Working Group on Languages (CWG-Lang) endorsed this recommendation and in its report to Council 21 (Document </w:t>
      </w:r>
      <w:hyperlink r:id="rId54" w:history="1">
        <w:r w:rsidRPr="00E1531A">
          <w:rPr>
            <w:rStyle w:val="Hyperlink"/>
            <w:rFonts w:asciiTheme="minorHAnsi" w:hAnsiTheme="minorHAnsi" w:cstheme="minorHAnsi"/>
          </w:rPr>
          <w:t>C21/12</w:t>
        </w:r>
      </w:hyperlink>
      <w:r w:rsidRPr="00E1531A">
        <w:rPr>
          <w:rFonts w:asciiTheme="minorHAnsi" w:hAnsiTheme="minorHAnsi" w:cstheme="minorHAnsi"/>
        </w:rPr>
        <w:t xml:space="preserve">) requested </w:t>
      </w:r>
      <w:r w:rsidRPr="00E1531A">
        <w:rPr>
          <w:rFonts w:asciiTheme="minorHAnsi" w:hAnsiTheme="minorHAnsi" w:cstheme="minorHAnsi"/>
          <w:i/>
          <w:iCs/>
        </w:rPr>
        <w:t>“the secretariat to follow-up on JIU’s recommendations on supporting the implementation of multilingualism in communications and knowledge-sharing, focusing on the multilingual content of the official websites and social media accounts globally.”</w:t>
      </w:r>
    </w:p>
    <w:p w14:paraId="58E3BE6E" w14:textId="77777777" w:rsidR="007540FB" w:rsidRPr="00E1531A" w:rsidRDefault="007540FB" w:rsidP="007540FB">
      <w:pPr>
        <w:spacing w:after="120"/>
        <w:rPr>
          <w:rFonts w:asciiTheme="minorHAnsi" w:hAnsiTheme="minorHAnsi" w:cstheme="minorHAnsi"/>
        </w:rPr>
      </w:pPr>
      <w:r w:rsidRPr="00E1531A">
        <w:rPr>
          <w:rFonts w:asciiTheme="minorHAnsi" w:hAnsiTheme="minorHAnsi" w:cstheme="minorHAnsi"/>
        </w:rPr>
        <w:t>Council 2021 approved the CWG-Lang report by correspondence as part of the package of Council Working Group (CWG) reports.</w:t>
      </w:r>
    </w:p>
    <w:p w14:paraId="340D5B20" w14:textId="77777777" w:rsidR="007540FB" w:rsidRPr="00E1531A" w:rsidRDefault="007540FB" w:rsidP="007540FB">
      <w:pPr>
        <w:pStyle w:val="ListParagraph"/>
        <w:numPr>
          <w:ilvl w:val="0"/>
          <w:numId w:val="6"/>
        </w:numPr>
        <w:spacing w:before="240" w:after="120"/>
        <w:ind w:left="714" w:hanging="357"/>
        <w:contextualSpacing w:val="0"/>
        <w:rPr>
          <w:rFonts w:asciiTheme="minorHAnsi" w:hAnsiTheme="minorHAnsi" w:cstheme="minorHAnsi"/>
          <w:b/>
          <w:bCs/>
        </w:rPr>
      </w:pPr>
      <w:r w:rsidRPr="00E1531A">
        <w:rPr>
          <w:rFonts w:asciiTheme="minorHAnsi" w:hAnsiTheme="minorHAnsi" w:cstheme="minorHAnsi"/>
          <w:b/>
          <w:bCs/>
        </w:rPr>
        <w:t xml:space="preserve">Definition </w:t>
      </w:r>
    </w:p>
    <w:p w14:paraId="7F6DBA4E" w14:textId="77777777" w:rsidR="007540FB" w:rsidRPr="00E1531A" w:rsidRDefault="007540FB" w:rsidP="007540FB">
      <w:pPr>
        <w:spacing w:after="120"/>
        <w:rPr>
          <w:rFonts w:asciiTheme="minorHAnsi" w:hAnsiTheme="minorHAnsi" w:cstheme="minorHAnsi"/>
        </w:rPr>
      </w:pPr>
      <w:r w:rsidRPr="00E1531A">
        <w:rPr>
          <w:rFonts w:asciiTheme="minorHAnsi" w:hAnsiTheme="minorHAnsi" w:cstheme="minorHAnsi"/>
        </w:rPr>
        <w:t>For the purpose of this policy framework, multilingualism is defined as the ability of individuals and the capacity of organizations to communicate verbally and in writing in multiple languages</w:t>
      </w:r>
      <w:r w:rsidRPr="00E1531A">
        <w:rPr>
          <w:rStyle w:val="FootnoteReference"/>
          <w:rFonts w:asciiTheme="minorHAnsi" w:hAnsiTheme="minorHAnsi" w:cstheme="minorHAnsi"/>
          <w:sz w:val="20"/>
        </w:rPr>
        <w:footnoteReference w:id="3"/>
      </w:r>
      <w:r w:rsidRPr="00E1531A">
        <w:rPr>
          <w:rFonts w:asciiTheme="minorHAnsi" w:hAnsiTheme="minorHAnsi" w:cstheme="minorHAnsi"/>
        </w:rPr>
        <w:t>.</w:t>
      </w:r>
    </w:p>
    <w:p w14:paraId="2F9140D1" w14:textId="77777777" w:rsidR="007540FB" w:rsidRPr="00E1531A" w:rsidRDefault="007540FB" w:rsidP="007540FB">
      <w:pPr>
        <w:pStyle w:val="ListParagraph"/>
        <w:numPr>
          <w:ilvl w:val="0"/>
          <w:numId w:val="6"/>
        </w:numPr>
        <w:spacing w:before="240" w:after="120"/>
        <w:ind w:left="714" w:hanging="357"/>
        <w:contextualSpacing w:val="0"/>
        <w:rPr>
          <w:rFonts w:asciiTheme="minorHAnsi" w:hAnsiTheme="minorHAnsi" w:cstheme="minorHAnsi"/>
          <w:b/>
          <w:bCs/>
        </w:rPr>
      </w:pPr>
      <w:r w:rsidRPr="00E1531A">
        <w:rPr>
          <w:rFonts w:asciiTheme="minorHAnsi" w:hAnsiTheme="minorHAnsi" w:cstheme="minorHAnsi"/>
          <w:b/>
          <w:bCs/>
        </w:rPr>
        <w:t xml:space="preserve">Principles </w:t>
      </w:r>
    </w:p>
    <w:p w14:paraId="72705CC7" w14:textId="77777777" w:rsidR="007540FB" w:rsidRPr="00E1531A" w:rsidRDefault="007540FB" w:rsidP="007540FB">
      <w:pPr>
        <w:pStyle w:val="ListParagraph"/>
        <w:numPr>
          <w:ilvl w:val="0"/>
          <w:numId w:val="4"/>
        </w:numPr>
        <w:spacing w:after="120"/>
        <w:ind w:left="357" w:hanging="357"/>
        <w:contextualSpacing w:val="0"/>
        <w:rPr>
          <w:rFonts w:asciiTheme="minorHAnsi" w:hAnsiTheme="minorHAnsi" w:cstheme="minorHAnsi"/>
        </w:rPr>
      </w:pPr>
      <w:r w:rsidRPr="00E1531A">
        <w:rPr>
          <w:rFonts w:asciiTheme="minorHAnsi" w:hAnsiTheme="minorHAnsi" w:cstheme="minorHAnsi"/>
        </w:rPr>
        <w:t xml:space="preserve"> ITU observes, respects and upholds the six UN languages in its work in furtherance of the promotion of linguistic diversity.</w:t>
      </w:r>
      <w:r w:rsidRPr="00E1531A" w:rsidDel="00EC6E66">
        <w:rPr>
          <w:rFonts w:asciiTheme="minorHAnsi" w:hAnsiTheme="minorHAnsi" w:cstheme="minorHAnsi"/>
        </w:rPr>
        <w:t xml:space="preserve"> </w:t>
      </w:r>
    </w:p>
    <w:p w14:paraId="5BA429BD" w14:textId="77777777" w:rsidR="007540FB" w:rsidRPr="00E1531A" w:rsidRDefault="007540FB" w:rsidP="007540FB">
      <w:pPr>
        <w:pStyle w:val="ListParagraph"/>
        <w:numPr>
          <w:ilvl w:val="0"/>
          <w:numId w:val="4"/>
        </w:numPr>
        <w:spacing w:after="120"/>
        <w:ind w:left="357" w:hanging="357"/>
        <w:contextualSpacing w:val="0"/>
        <w:rPr>
          <w:rFonts w:asciiTheme="minorHAnsi" w:hAnsiTheme="minorHAnsi" w:cstheme="minorHAnsi"/>
        </w:rPr>
      </w:pPr>
      <w:r w:rsidRPr="00E1531A">
        <w:rPr>
          <w:rFonts w:asciiTheme="minorHAnsi" w:hAnsiTheme="minorHAnsi" w:cstheme="minorHAnsi"/>
        </w:rPr>
        <w:t xml:space="preserve">Multilingualism is a means of improving the efficiency, performance and transparency of the Union. </w:t>
      </w:r>
    </w:p>
    <w:p w14:paraId="43E223C8" w14:textId="77777777" w:rsidR="007540FB" w:rsidRPr="00E1531A" w:rsidRDefault="007540FB" w:rsidP="007540FB">
      <w:pPr>
        <w:pStyle w:val="ListParagraph"/>
        <w:numPr>
          <w:ilvl w:val="0"/>
          <w:numId w:val="4"/>
        </w:numPr>
        <w:spacing w:after="120"/>
        <w:ind w:left="357" w:hanging="357"/>
        <w:contextualSpacing w:val="0"/>
        <w:rPr>
          <w:rFonts w:asciiTheme="minorHAnsi" w:hAnsiTheme="minorHAnsi" w:cstheme="minorHAnsi"/>
        </w:rPr>
      </w:pPr>
      <w:r w:rsidRPr="00E1531A">
        <w:rPr>
          <w:rFonts w:asciiTheme="minorHAnsi" w:hAnsiTheme="minorHAnsi" w:cstheme="minorHAnsi"/>
        </w:rPr>
        <w:t>Language competences contribute to the mobility, employability and personal development of ITU staff.</w:t>
      </w:r>
    </w:p>
    <w:p w14:paraId="55838D9E" w14:textId="77777777" w:rsidR="007540FB" w:rsidRPr="00E1531A" w:rsidRDefault="007540FB" w:rsidP="007540FB">
      <w:pPr>
        <w:pStyle w:val="ListParagraph"/>
        <w:numPr>
          <w:ilvl w:val="0"/>
          <w:numId w:val="4"/>
        </w:numPr>
        <w:spacing w:after="120"/>
        <w:ind w:left="357" w:hanging="357"/>
        <w:contextualSpacing w:val="0"/>
        <w:rPr>
          <w:rFonts w:asciiTheme="minorHAnsi" w:hAnsiTheme="minorHAnsi" w:cstheme="minorHAnsi"/>
        </w:rPr>
      </w:pPr>
      <w:r w:rsidRPr="00E1531A">
        <w:rPr>
          <w:rFonts w:asciiTheme="minorHAnsi" w:hAnsiTheme="minorHAnsi" w:cstheme="minorHAnsi"/>
        </w:rPr>
        <w:t>ITU gives utmost importance to the equal treatment of the six official languages of the Union, within the available financial resources of the Union.</w:t>
      </w:r>
    </w:p>
    <w:p w14:paraId="32DCB7B2" w14:textId="77777777" w:rsidR="007540FB" w:rsidRPr="00E1531A" w:rsidRDefault="007540FB" w:rsidP="007540FB">
      <w:pPr>
        <w:pStyle w:val="ListParagraph"/>
        <w:numPr>
          <w:ilvl w:val="0"/>
          <w:numId w:val="4"/>
        </w:numPr>
        <w:spacing w:after="120"/>
        <w:ind w:left="357" w:hanging="357"/>
        <w:contextualSpacing w:val="0"/>
        <w:rPr>
          <w:rFonts w:asciiTheme="minorHAnsi" w:hAnsiTheme="minorHAnsi" w:cstheme="minorHAnsi"/>
        </w:rPr>
      </w:pPr>
      <w:r w:rsidRPr="00E1531A">
        <w:rPr>
          <w:rFonts w:asciiTheme="minorHAnsi" w:hAnsiTheme="minorHAnsi" w:cstheme="minorHAnsi"/>
        </w:rPr>
        <w:t>ITU must take measures for implementation of all resolutions, decisions and recommendations of its governing bodies establishing language arrangements.</w:t>
      </w:r>
    </w:p>
    <w:p w14:paraId="58800493" w14:textId="77777777" w:rsidR="007540FB" w:rsidRPr="00E1531A" w:rsidRDefault="007540FB" w:rsidP="007540FB">
      <w:pPr>
        <w:pStyle w:val="ListParagraph"/>
        <w:numPr>
          <w:ilvl w:val="0"/>
          <w:numId w:val="4"/>
        </w:numPr>
        <w:spacing w:after="120"/>
        <w:ind w:hanging="357"/>
        <w:contextualSpacing w:val="0"/>
        <w:rPr>
          <w:rFonts w:asciiTheme="minorHAnsi" w:hAnsiTheme="minorHAnsi" w:cstheme="minorHAnsi"/>
        </w:rPr>
      </w:pPr>
      <w:r w:rsidRPr="00E1531A">
        <w:rPr>
          <w:rFonts w:asciiTheme="minorHAnsi" w:hAnsiTheme="minorHAnsi" w:cstheme="minorHAnsi"/>
        </w:rPr>
        <w:t>ITU is responsible for integrating multilingualism in respect of the six official UN languages into its day-to-day activities on an equitable basis, to the extent possible within available resources.</w:t>
      </w:r>
    </w:p>
    <w:p w14:paraId="423C5E3C" w14:textId="77777777" w:rsidR="007540FB" w:rsidRPr="00E1531A" w:rsidRDefault="007540FB" w:rsidP="007540FB">
      <w:pPr>
        <w:pStyle w:val="ListParagraph"/>
        <w:numPr>
          <w:ilvl w:val="0"/>
          <w:numId w:val="6"/>
        </w:numPr>
        <w:spacing w:before="240" w:after="120"/>
        <w:ind w:left="714" w:hanging="357"/>
        <w:contextualSpacing w:val="0"/>
        <w:rPr>
          <w:rFonts w:asciiTheme="minorHAnsi" w:hAnsiTheme="minorHAnsi" w:cstheme="minorHAnsi"/>
          <w:b/>
          <w:bCs/>
        </w:rPr>
      </w:pPr>
      <w:r w:rsidRPr="00E1531A">
        <w:rPr>
          <w:rFonts w:asciiTheme="minorHAnsi" w:hAnsiTheme="minorHAnsi" w:cstheme="minorHAnsi"/>
          <w:b/>
          <w:bCs/>
        </w:rPr>
        <w:t>Goals and Objectives</w:t>
      </w:r>
    </w:p>
    <w:p w14:paraId="20F7EDAE" w14:textId="77777777" w:rsidR="007540FB" w:rsidRPr="00E1531A" w:rsidRDefault="007540FB" w:rsidP="007540FB">
      <w:pPr>
        <w:spacing w:after="120"/>
        <w:rPr>
          <w:rFonts w:asciiTheme="minorHAnsi" w:hAnsiTheme="minorHAnsi" w:cstheme="minorHAnsi"/>
          <w:b/>
        </w:rPr>
      </w:pPr>
      <w:r w:rsidRPr="00E1531A">
        <w:rPr>
          <w:rFonts w:asciiTheme="minorHAnsi" w:hAnsiTheme="minorHAnsi" w:cstheme="minorHAnsi"/>
          <w:b/>
        </w:rPr>
        <w:t>Goals</w:t>
      </w:r>
    </w:p>
    <w:p w14:paraId="6265E36E" w14:textId="77777777" w:rsidR="007540FB" w:rsidRPr="00E1531A" w:rsidRDefault="007540FB" w:rsidP="007540FB">
      <w:pPr>
        <w:pStyle w:val="ListParagraph"/>
        <w:numPr>
          <w:ilvl w:val="0"/>
          <w:numId w:val="5"/>
        </w:numPr>
        <w:spacing w:after="120"/>
        <w:ind w:left="357" w:hanging="357"/>
        <w:contextualSpacing w:val="0"/>
        <w:rPr>
          <w:rFonts w:asciiTheme="minorHAnsi" w:hAnsiTheme="minorHAnsi" w:cstheme="minorHAnsi"/>
        </w:rPr>
      </w:pPr>
      <w:r w:rsidRPr="00E1531A">
        <w:rPr>
          <w:rFonts w:asciiTheme="minorHAnsi" w:hAnsiTheme="minorHAnsi" w:cstheme="minorHAnsi"/>
        </w:rPr>
        <w:lastRenderedPageBreak/>
        <w:t xml:space="preserve">The principal goal of an ITU policy framework on multilingualism is to ensure the effective implementation of multilingualism throughout all activities of the Union to the extent possible, raising awareness of the principles and importance of multilingualism throughout the Union. </w:t>
      </w:r>
    </w:p>
    <w:p w14:paraId="79D2EE24" w14:textId="77777777" w:rsidR="007540FB" w:rsidRPr="00E1531A" w:rsidRDefault="007540FB" w:rsidP="007540FB">
      <w:pPr>
        <w:pStyle w:val="ListParagraph"/>
        <w:numPr>
          <w:ilvl w:val="0"/>
          <w:numId w:val="5"/>
        </w:numPr>
        <w:spacing w:after="120"/>
        <w:ind w:left="357" w:hanging="357"/>
        <w:contextualSpacing w:val="0"/>
        <w:rPr>
          <w:rFonts w:asciiTheme="minorHAnsi" w:hAnsiTheme="minorHAnsi" w:cstheme="minorHAnsi"/>
        </w:rPr>
      </w:pPr>
      <w:r w:rsidRPr="00E1531A">
        <w:rPr>
          <w:rFonts w:asciiTheme="minorHAnsi" w:hAnsiTheme="minorHAnsi" w:cstheme="minorHAnsi"/>
        </w:rPr>
        <w:t>Integrating multilingualism into the activities of the Secretariat will result in making conscious and deliberate language choices on the basis of an analysis of the applicable mandates, client needs and the resources available.</w:t>
      </w:r>
    </w:p>
    <w:p w14:paraId="2C06CC99" w14:textId="77777777" w:rsidR="007540FB" w:rsidRPr="00E1531A" w:rsidRDefault="007540FB" w:rsidP="007540FB">
      <w:pPr>
        <w:pStyle w:val="ListParagraph"/>
        <w:numPr>
          <w:ilvl w:val="0"/>
          <w:numId w:val="5"/>
        </w:numPr>
        <w:spacing w:after="120"/>
        <w:ind w:left="357" w:hanging="357"/>
        <w:contextualSpacing w:val="0"/>
        <w:rPr>
          <w:rFonts w:asciiTheme="minorHAnsi" w:hAnsiTheme="minorHAnsi" w:cstheme="minorHAnsi"/>
        </w:rPr>
      </w:pPr>
      <w:r w:rsidRPr="00E1531A">
        <w:rPr>
          <w:rFonts w:asciiTheme="minorHAnsi" w:hAnsiTheme="minorHAnsi" w:cstheme="minorHAnsi"/>
        </w:rPr>
        <w:t xml:space="preserve">This framework should set out the necessary measures to be adopted and implemented by the Union, including the relevant guidelines to support the implementation of multilingualism </w:t>
      </w:r>
      <w:r w:rsidRPr="00E1531A">
        <w:rPr>
          <w:rFonts w:asciiTheme="minorHAnsi" w:hAnsiTheme="minorHAnsi" w:cstheme="minorHAnsi"/>
          <w:bCs/>
        </w:rPr>
        <w:t xml:space="preserve">throughout the Union as part of the “One ITU” approach, including the </w:t>
      </w:r>
      <w:r w:rsidRPr="00E1531A">
        <w:rPr>
          <w:rFonts w:asciiTheme="minorHAnsi" w:hAnsiTheme="minorHAnsi" w:cstheme="minorHAnsi"/>
        </w:rPr>
        <w:t>One ITU website, within existing resources and on an equitable basis (including in formats accessible to persons with disabilities and specific needs).</w:t>
      </w:r>
    </w:p>
    <w:p w14:paraId="1BE3C441" w14:textId="77777777" w:rsidR="007540FB" w:rsidRPr="00E1531A" w:rsidRDefault="007540FB" w:rsidP="007540FB">
      <w:pPr>
        <w:pStyle w:val="ListParagraph"/>
        <w:numPr>
          <w:ilvl w:val="0"/>
          <w:numId w:val="5"/>
        </w:numPr>
        <w:spacing w:after="120"/>
        <w:ind w:hanging="357"/>
        <w:contextualSpacing w:val="0"/>
        <w:rPr>
          <w:rFonts w:asciiTheme="minorHAnsi" w:hAnsiTheme="minorHAnsi" w:cstheme="minorHAnsi"/>
        </w:rPr>
      </w:pPr>
      <w:r w:rsidRPr="00E1531A">
        <w:rPr>
          <w:rFonts w:asciiTheme="minorHAnsi" w:hAnsiTheme="minorHAnsi" w:cstheme="minorHAnsi"/>
        </w:rPr>
        <w:t>Through these guidelines and measures, the framework on multilingualism should contribute to the growth and sustainability of the actions of the Union.</w:t>
      </w:r>
    </w:p>
    <w:p w14:paraId="0BECADB6" w14:textId="77777777" w:rsidR="007540FB" w:rsidRPr="00E1531A" w:rsidRDefault="007540FB" w:rsidP="007540FB">
      <w:pPr>
        <w:pStyle w:val="ListParagraph"/>
        <w:spacing w:after="120"/>
        <w:ind w:left="0"/>
        <w:contextualSpacing w:val="0"/>
        <w:rPr>
          <w:rFonts w:asciiTheme="minorHAnsi" w:hAnsiTheme="minorHAnsi" w:cstheme="minorHAnsi"/>
          <w:b/>
        </w:rPr>
      </w:pPr>
      <w:r w:rsidRPr="00E1531A">
        <w:rPr>
          <w:rFonts w:asciiTheme="minorHAnsi" w:hAnsiTheme="minorHAnsi" w:cstheme="minorHAnsi"/>
          <w:b/>
        </w:rPr>
        <w:t>Objectives</w:t>
      </w:r>
    </w:p>
    <w:p w14:paraId="11D0C628"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 xml:space="preserve">To accommodate the language needs of ITU’s international constituents, </w:t>
      </w:r>
      <w:r w:rsidRPr="00E1531A">
        <w:rPr>
          <w:rFonts w:asciiTheme="minorHAnsi" w:hAnsiTheme="minorHAnsi" w:cstheme="minorHAnsi"/>
        </w:rPr>
        <w:t>within the available financial resources,</w:t>
      </w:r>
      <w:r w:rsidRPr="00E1531A">
        <w:rPr>
          <w:rFonts w:asciiTheme="minorHAnsi" w:hAnsiTheme="minorHAnsi" w:cstheme="minorHAnsi"/>
          <w:lang w:eastAsia="zh-CN"/>
        </w:rPr>
        <w:t xml:space="preserve"> to ensure an adequate dissemination of their work, policies and regulations at the regional and global levels.</w:t>
      </w:r>
    </w:p>
    <w:p w14:paraId="114EB85D"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rPr>
        <w:t>To outline the</w:t>
      </w:r>
      <w:r w:rsidRPr="00E1531A">
        <w:rPr>
          <w:rFonts w:asciiTheme="minorHAnsi" w:hAnsiTheme="minorHAnsi" w:cstheme="minorHAnsi"/>
          <w:lang w:eastAsia="zh-CN"/>
        </w:rPr>
        <w:t xml:space="preserve"> responsibilities of the various stakeholders, including the ITU Focal Point for multilingualism, the network of Sector focal points, the Web Editorial Board, ITU leadership, senior managers, and ITU staff at large.</w:t>
      </w:r>
    </w:p>
    <w:p w14:paraId="1403745F"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To raise awareness between the secretariat and Member States on multilingualism-related matters and ensure continuous dialogue between these stakeholders.</w:t>
      </w:r>
    </w:p>
    <w:p w14:paraId="639416E8"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To ensure that the relevant global content created by ITU, including websites, videos and publications, are in line with the multilingualism requirements in force.</w:t>
      </w:r>
    </w:p>
    <w:p w14:paraId="433FBD8A"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 xml:space="preserve">To work towards expanding the use of languages on the ITU Website in order to reach more local audiences, noting that this may be critical in times of emergency. </w:t>
      </w:r>
    </w:p>
    <w:p w14:paraId="7F572940"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To strengthen collaboration on multilingualism-related matters within the UN Common System in order to build knowledge about best practices and lessons learned in relation to the implementation of multilingualism.</w:t>
      </w:r>
      <w:r w:rsidRPr="00E1531A" w:rsidDel="00D17DC6">
        <w:rPr>
          <w:rStyle w:val="CommentReference"/>
          <w:rFonts w:asciiTheme="minorHAnsi" w:hAnsiTheme="minorHAnsi" w:cstheme="minorHAnsi"/>
        </w:rPr>
        <w:t xml:space="preserve"> </w:t>
      </w:r>
    </w:p>
    <w:p w14:paraId="4DD67F73"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To enhance intersectoral collaboration on accessibility and digital accessibility issues with respect to multilingualism by leveraging internal knowledge and expertise.</w:t>
      </w:r>
    </w:p>
    <w:p w14:paraId="38E43AB7" w14:textId="77777777" w:rsidR="007540FB" w:rsidRPr="00E1531A" w:rsidRDefault="007540FB" w:rsidP="007540FB">
      <w:pPr>
        <w:numPr>
          <w:ilvl w:val="0"/>
          <w:numId w:val="7"/>
        </w:numPr>
        <w:spacing w:after="120"/>
        <w:rPr>
          <w:rFonts w:asciiTheme="minorHAnsi" w:hAnsiTheme="minorHAnsi" w:cstheme="minorHAnsi"/>
          <w:lang w:eastAsia="zh-CN"/>
        </w:rPr>
      </w:pPr>
      <w:r w:rsidRPr="00E1531A">
        <w:rPr>
          <w:rFonts w:asciiTheme="minorHAnsi" w:hAnsiTheme="minorHAnsi" w:cstheme="minorHAnsi"/>
          <w:lang w:eastAsia="zh-CN"/>
        </w:rPr>
        <w:t xml:space="preserve">To ensure that multilingualism is reflected in ITU policies. </w:t>
      </w:r>
    </w:p>
    <w:p w14:paraId="6ABA0CAB" w14:textId="77777777" w:rsidR="007540FB" w:rsidRPr="00E1531A" w:rsidRDefault="007540FB" w:rsidP="00DC6129">
      <w:pPr>
        <w:tabs>
          <w:tab w:val="left" w:pos="851"/>
        </w:tabs>
        <w:jc w:val="center"/>
        <w:rPr>
          <w:b/>
          <w:bCs/>
        </w:rPr>
      </w:pPr>
    </w:p>
    <w:sectPr w:rsidR="007540FB" w:rsidRPr="00E1531A" w:rsidSect="007E62F9">
      <w:headerReference w:type="default" r:id="rId55"/>
      <w:pgSz w:w="11906" w:h="16838"/>
      <w:pgMar w:top="1417" w:right="1134" w:bottom="141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76AB" w14:textId="77777777" w:rsidR="00583DAB" w:rsidRDefault="00583DAB" w:rsidP="0046424C">
      <w:pPr>
        <w:spacing w:before="0"/>
      </w:pPr>
      <w:r>
        <w:separator/>
      </w:r>
    </w:p>
  </w:endnote>
  <w:endnote w:type="continuationSeparator" w:id="0">
    <w:p w14:paraId="1E73CA81" w14:textId="77777777" w:rsidR="00583DAB" w:rsidRDefault="00583DAB" w:rsidP="004642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B100" w14:textId="77777777" w:rsidR="00583DAB" w:rsidRDefault="00583DAB" w:rsidP="0046424C">
      <w:pPr>
        <w:spacing w:before="0"/>
      </w:pPr>
      <w:r>
        <w:separator/>
      </w:r>
    </w:p>
  </w:footnote>
  <w:footnote w:type="continuationSeparator" w:id="0">
    <w:p w14:paraId="2AEA989D" w14:textId="77777777" w:rsidR="00583DAB" w:rsidRDefault="00583DAB" w:rsidP="0046424C">
      <w:pPr>
        <w:spacing w:before="0"/>
      </w:pPr>
      <w:r>
        <w:continuationSeparator/>
      </w:r>
    </w:p>
  </w:footnote>
  <w:footnote w:id="1">
    <w:p w14:paraId="5B71500E" w14:textId="77777777" w:rsidR="00E540B5" w:rsidRPr="00B270A3" w:rsidRDefault="00E540B5" w:rsidP="00E540B5">
      <w:pPr>
        <w:pStyle w:val="FootnoteText"/>
        <w:spacing w:after="120"/>
        <w:rPr>
          <w:sz w:val="22"/>
          <w:szCs w:val="22"/>
        </w:rPr>
      </w:pPr>
      <w:r>
        <w:rPr>
          <w:rStyle w:val="FootnoteReference"/>
        </w:rPr>
        <w:footnoteRef/>
      </w:r>
      <w:r>
        <w:t xml:space="preserve"> </w:t>
      </w:r>
      <w:hyperlink r:id="rId1" w:history="1">
        <w:r w:rsidRPr="00B270A3">
          <w:rPr>
            <w:rStyle w:val="Hyperlink"/>
            <w:sz w:val="22"/>
            <w:szCs w:val="22"/>
          </w:rPr>
          <w:t>https://www.bipm.org/en/search?p_p_id=search_portlet&amp;p_p_lifecycle=2&amp;p_p_state=normal&amp;p_p_mode=view&amp;p_p_resource_id=%2Fdownload%2Fpublication&amp;p_p_cacheability=cacheLevelPage&amp;_search_portlet_dlFileId=41483053&amp;p_p_lifecycle=1&amp;_search_portlet_javax.portlet.action=search&amp;_search_portlet_formDate=1650266993989&amp;_search_portlet_query=SI+prefixes&amp;_search_portlet_source=BIPM</w:t>
        </w:r>
      </w:hyperlink>
      <w:r>
        <w:rPr>
          <w:sz w:val="22"/>
          <w:szCs w:val="22"/>
        </w:rPr>
        <w:t>.</w:t>
      </w:r>
    </w:p>
  </w:footnote>
  <w:footnote w:id="2">
    <w:p w14:paraId="43B3BA0A" w14:textId="20D3D682" w:rsidR="007540FB" w:rsidRPr="007540FB" w:rsidRDefault="007540FB">
      <w:pPr>
        <w:pStyle w:val="FootnoteText"/>
      </w:pPr>
      <w:r>
        <w:rPr>
          <w:rStyle w:val="FootnoteReference"/>
        </w:rPr>
        <w:footnoteRef/>
      </w:r>
      <w:r>
        <w:t xml:space="preserve"> </w:t>
      </w:r>
      <w:r w:rsidR="00A77658" w:rsidRPr="00A77658">
        <w:t xml:space="preserve">This </w:t>
      </w:r>
      <w:r w:rsidR="00A77658">
        <w:t>draft policy framework was</w:t>
      </w:r>
      <w:r w:rsidR="00A77658" w:rsidRPr="00A77658">
        <w:t xml:space="preserve"> approved at Council with some amendments</w:t>
      </w:r>
      <w:r w:rsidR="00A77658">
        <w:t>. The final text ha</w:t>
      </w:r>
      <w:r w:rsidR="006151EC">
        <w:t>d</w:t>
      </w:r>
      <w:r w:rsidR="00A77658">
        <w:t xml:space="preserve"> not yet been finalized when this CCT meeting took place.</w:t>
      </w:r>
    </w:p>
  </w:footnote>
  <w:footnote w:id="3">
    <w:p w14:paraId="26AD5373" w14:textId="77777777" w:rsidR="007540FB" w:rsidRPr="00B1210D" w:rsidRDefault="007540FB" w:rsidP="007540FB">
      <w:pPr>
        <w:pStyle w:val="FootnoteText"/>
        <w:rPr>
          <w:lang w:val="en-US"/>
        </w:rPr>
      </w:pPr>
      <w:r w:rsidRPr="00B1210D">
        <w:rPr>
          <w:rStyle w:val="FootnoteReference"/>
          <w:lang w:val="en-US"/>
        </w:rPr>
        <w:footnoteRef/>
      </w:r>
      <w:r w:rsidRPr="00B1210D">
        <w:rPr>
          <w:lang w:val="en-US"/>
        </w:rPr>
        <w:t xml:space="preserve"> Multilingualism in the United Nations system, </w:t>
      </w:r>
      <w:hyperlink r:id="rId2" w:history="1">
        <w:r w:rsidRPr="00B1210D">
          <w:rPr>
            <w:rStyle w:val="Hyperlink"/>
            <w:lang w:val="en-US"/>
          </w:rPr>
          <w:t>JIU/REP/2020/6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6F7E" w14:textId="0C7A1FBF" w:rsidR="0046424C" w:rsidRPr="007E62F9" w:rsidRDefault="007E62F9" w:rsidP="007E62F9">
    <w:pPr>
      <w:pStyle w:val="Header"/>
      <w:jc w:val="center"/>
      <w:rPr>
        <w:sz w:val="18"/>
      </w:rPr>
    </w:pPr>
    <w:r w:rsidRPr="007E62F9">
      <w:rPr>
        <w:sz w:val="18"/>
      </w:rPr>
      <w:t xml:space="preserve">- </w:t>
    </w:r>
    <w:r w:rsidRPr="007E62F9">
      <w:rPr>
        <w:sz w:val="18"/>
      </w:rPr>
      <w:fldChar w:fldCharType="begin"/>
    </w:r>
    <w:r w:rsidRPr="007E62F9">
      <w:rPr>
        <w:sz w:val="18"/>
      </w:rPr>
      <w:instrText xml:space="preserve"> PAGE  \* MERGEFORMAT </w:instrText>
    </w:r>
    <w:r w:rsidRPr="007E62F9">
      <w:rPr>
        <w:sz w:val="18"/>
      </w:rPr>
      <w:fldChar w:fldCharType="separate"/>
    </w:r>
    <w:r w:rsidRPr="007E62F9">
      <w:rPr>
        <w:noProof/>
        <w:sz w:val="18"/>
      </w:rPr>
      <w:t>1</w:t>
    </w:r>
    <w:r w:rsidRPr="007E62F9">
      <w:rPr>
        <w:sz w:val="18"/>
      </w:rPr>
      <w:fldChar w:fldCharType="end"/>
    </w:r>
    <w:r w:rsidRPr="007E62F9">
      <w:rPr>
        <w:sz w:val="18"/>
      </w:rPr>
      <w:t xml:space="preserve"> -</w:t>
    </w:r>
  </w:p>
  <w:p w14:paraId="44208C46" w14:textId="16C98AF5" w:rsidR="007E62F9" w:rsidRPr="007E62F9" w:rsidRDefault="007E62F9" w:rsidP="007E62F9">
    <w:pPr>
      <w:pStyle w:val="Header"/>
      <w:spacing w:after="240"/>
      <w:jc w:val="center"/>
      <w:rPr>
        <w:sz w:val="18"/>
      </w:rPr>
    </w:pPr>
    <w:r w:rsidRPr="007E62F9">
      <w:rPr>
        <w:sz w:val="18"/>
      </w:rPr>
      <w:fldChar w:fldCharType="begin"/>
    </w:r>
    <w:r w:rsidRPr="007E62F9">
      <w:rPr>
        <w:sz w:val="18"/>
      </w:rPr>
      <w:instrText xml:space="preserve"> STYLEREF  Docnumber  </w:instrText>
    </w:r>
    <w:r w:rsidRPr="007E62F9">
      <w:rPr>
        <w:sz w:val="18"/>
      </w:rPr>
      <w:fldChar w:fldCharType="separate"/>
    </w:r>
    <w:r w:rsidR="00745E77">
      <w:rPr>
        <w:noProof/>
        <w:sz w:val="18"/>
      </w:rPr>
      <w:t>SCV-TD12</w:t>
    </w:r>
    <w:r w:rsidRPr="007E62F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7EE6"/>
    <w:multiLevelType w:val="hybridMultilevel"/>
    <w:tmpl w:val="1116D09E"/>
    <w:lvl w:ilvl="0" w:tplc="1FCC1A3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3FA43557"/>
    <w:multiLevelType w:val="hybridMultilevel"/>
    <w:tmpl w:val="9C32AD72"/>
    <w:lvl w:ilvl="0" w:tplc="4AB435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E938DA"/>
    <w:multiLevelType w:val="hybridMultilevel"/>
    <w:tmpl w:val="808E5BF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8E671AE"/>
    <w:multiLevelType w:val="hybridMultilevel"/>
    <w:tmpl w:val="CF80EC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81ABC"/>
    <w:multiLevelType w:val="hybridMultilevel"/>
    <w:tmpl w:val="4710BBDC"/>
    <w:lvl w:ilvl="0" w:tplc="489C17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60BB5"/>
    <w:multiLevelType w:val="hybridMultilevel"/>
    <w:tmpl w:val="AF18D5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F75DBB"/>
    <w:multiLevelType w:val="hybridMultilevel"/>
    <w:tmpl w:val="BFE06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7470316">
    <w:abstractNumId w:val="0"/>
  </w:num>
  <w:num w:numId="2" w16cid:durableId="894270329">
    <w:abstractNumId w:val="1"/>
  </w:num>
  <w:num w:numId="3" w16cid:durableId="220750411">
    <w:abstractNumId w:val="4"/>
  </w:num>
  <w:num w:numId="4" w16cid:durableId="1315178072">
    <w:abstractNumId w:val="5"/>
  </w:num>
  <w:num w:numId="5" w16cid:durableId="317808336">
    <w:abstractNumId w:val="6"/>
  </w:num>
  <w:num w:numId="6" w16cid:durableId="246621025">
    <w:abstractNumId w:val="3"/>
  </w:num>
  <w:num w:numId="7" w16cid:durableId="13665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4C"/>
    <w:rsid w:val="0000387F"/>
    <w:rsid w:val="000112E9"/>
    <w:rsid w:val="00012042"/>
    <w:rsid w:val="000139C0"/>
    <w:rsid w:val="0001699E"/>
    <w:rsid w:val="00020878"/>
    <w:rsid w:val="000256FA"/>
    <w:rsid w:val="000260EA"/>
    <w:rsid w:val="00030B68"/>
    <w:rsid w:val="00054854"/>
    <w:rsid w:val="00056D49"/>
    <w:rsid w:val="00061F00"/>
    <w:rsid w:val="000748CB"/>
    <w:rsid w:val="00081072"/>
    <w:rsid w:val="00091774"/>
    <w:rsid w:val="000965F4"/>
    <w:rsid w:val="000A35AA"/>
    <w:rsid w:val="000A35B8"/>
    <w:rsid w:val="000A686C"/>
    <w:rsid w:val="000A7B9D"/>
    <w:rsid w:val="000B0E06"/>
    <w:rsid w:val="000B1F6A"/>
    <w:rsid w:val="000B46D3"/>
    <w:rsid w:val="000C10CA"/>
    <w:rsid w:val="000C342D"/>
    <w:rsid w:val="000D391A"/>
    <w:rsid w:val="000F29AF"/>
    <w:rsid w:val="000F4E5C"/>
    <w:rsid w:val="001223BF"/>
    <w:rsid w:val="00123E7A"/>
    <w:rsid w:val="00141D34"/>
    <w:rsid w:val="001563A1"/>
    <w:rsid w:val="00164DF3"/>
    <w:rsid w:val="001674FA"/>
    <w:rsid w:val="001707B0"/>
    <w:rsid w:val="0017441C"/>
    <w:rsid w:val="00180DA7"/>
    <w:rsid w:val="00181484"/>
    <w:rsid w:val="001839B3"/>
    <w:rsid w:val="0018533F"/>
    <w:rsid w:val="0019440D"/>
    <w:rsid w:val="001B13B9"/>
    <w:rsid w:val="001B2C01"/>
    <w:rsid w:val="001B6C67"/>
    <w:rsid w:val="001C0315"/>
    <w:rsid w:val="001C3658"/>
    <w:rsid w:val="001D7E1B"/>
    <w:rsid w:val="001E1677"/>
    <w:rsid w:val="001E4FC0"/>
    <w:rsid w:val="001F46F5"/>
    <w:rsid w:val="00204964"/>
    <w:rsid w:val="0021405D"/>
    <w:rsid w:val="002241E9"/>
    <w:rsid w:val="002250CE"/>
    <w:rsid w:val="00247536"/>
    <w:rsid w:val="00252F87"/>
    <w:rsid w:val="00255A45"/>
    <w:rsid w:val="002664C1"/>
    <w:rsid w:val="00271D82"/>
    <w:rsid w:val="00274F0D"/>
    <w:rsid w:val="002772EF"/>
    <w:rsid w:val="00290BA3"/>
    <w:rsid w:val="002A632A"/>
    <w:rsid w:val="002A7F19"/>
    <w:rsid w:val="002B7494"/>
    <w:rsid w:val="002C32C8"/>
    <w:rsid w:val="002C65A5"/>
    <w:rsid w:val="002C73D5"/>
    <w:rsid w:val="002D382A"/>
    <w:rsid w:val="002E02EA"/>
    <w:rsid w:val="002E366F"/>
    <w:rsid w:val="00306105"/>
    <w:rsid w:val="00306861"/>
    <w:rsid w:val="00310F28"/>
    <w:rsid w:val="00312817"/>
    <w:rsid w:val="003351CC"/>
    <w:rsid w:val="00347BC6"/>
    <w:rsid w:val="00357F55"/>
    <w:rsid w:val="003703AB"/>
    <w:rsid w:val="00384891"/>
    <w:rsid w:val="003A1C39"/>
    <w:rsid w:val="003A23A6"/>
    <w:rsid w:val="003A27C3"/>
    <w:rsid w:val="003B077A"/>
    <w:rsid w:val="003C0775"/>
    <w:rsid w:val="003C1F29"/>
    <w:rsid w:val="003F4CDA"/>
    <w:rsid w:val="004109BA"/>
    <w:rsid w:val="00410A10"/>
    <w:rsid w:val="00426FC6"/>
    <w:rsid w:val="00430CBD"/>
    <w:rsid w:val="00431025"/>
    <w:rsid w:val="00442C05"/>
    <w:rsid w:val="004442FB"/>
    <w:rsid w:val="00445EE7"/>
    <w:rsid w:val="00453C33"/>
    <w:rsid w:val="00460F1E"/>
    <w:rsid w:val="0046424C"/>
    <w:rsid w:val="00481725"/>
    <w:rsid w:val="004841E3"/>
    <w:rsid w:val="004A45FD"/>
    <w:rsid w:val="004A5727"/>
    <w:rsid w:val="004B1847"/>
    <w:rsid w:val="004B669F"/>
    <w:rsid w:val="004D5CCF"/>
    <w:rsid w:val="004D6271"/>
    <w:rsid w:val="004E5B98"/>
    <w:rsid w:val="004F187D"/>
    <w:rsid w:val="004F237A"/>
    <w:rsid w:val="005008E5"/>
    <w:rsid w:val="00500E59"/>
    <w:rsid w:val="00510555"/>
    <w:rsid w:val="00514039"/>
    <w:rsid w:val="00516887"/>
    <w:rsid w:val="00516B2B"/>
    <w:rsid w:val="00532DBE"/>
    <w:rsid w:val="00541454"/>
    <w:rsid w:val="00572E07"/>
    <w:rsid w:val="00574BC9"/>
    <w:rsid w:val="0058212A"/>
    <w:rsid w:val="00583DAB"/>
    <w:rsid w:val="005843EA"/>
    <w:rsid w:val="005860DB"/>
    <w:rsid w:val="00597C12"/>
    <w:rsid w:val="005D0737"/>
    <w:rsid w:val="005D7C4D"/>
    <w:rsid w:val="006055D0"/>
    <w:rsid w:val="00612124"/>
    <w:rsid w:val="006151EC"/>
    <w:rsid w:val="0062248E"/>
    <w:rsid w:val="00653EF7"/>
    <w:rsid w:val="00661489"/>
    <w:rsid w:val="00673B02"/>
    <w:rsid w:val="00675BB4"/>
    <w:rsid w:val="00681B70"/>
    <w:rsid w:val="0069528C"/>
    <w:rsid w:val="006A5923"/>
    <w:rsid w:val="006A61EA"/>
    <w:rsid w:val="006F5D50"/>
    <w:rsid w:val="006F6160"/>
    <w:rsid w:val="00716B76"/>
    <w:rsid w:val="00720C97"/>
    <w:rsid w:val="00745E77"/>
    <w:rsid w:val="00753EC5"/>
    <w:rsid w:val="007540FB"/>
    <w:rsid w:val="0075559C"/>
    <w:rsid w:val="007569E8"/>
    <w:rsid w:val="00761562"/>
    <w:rsid w:val="007708F0"/>
    <w:rsid w:val="007919CA"/>
    <w:rsid w:val="007C4B0D"/>
    <w:rsid w:val="007D3BF0"/>
    <w:rsid w:val="007D50EA"/>
    <w:rsid w:val="007D704F"/>
    <w:rsid w:val="007E62F9"/>
    <w:rsid w:val="007F18D8"/>
    <w:rsid w:val="0081398E"/>
    <w:rsid w:val="008150A0"/>
    <w:rsid w:val="00815D92"/>
    <w:rsid w:val="00826D3B"/>
    <w:rsid w:val="00830CF6"/>
    <w:rsid w:val="008314B1"/>
    <w:rsid w:val="00831BFD"/>
    <w:rsid w:val="00864486"/>
    <w:rsid w:val="008658B2"/>
    <w:rsid w:val="008A2F73"/>
    <w:rsid w:val="008A468F"/>
    <w:rsid w:val="008B5977"/>
    <w:rsid w:val="008D22F6"/>
    <w:rsid w:val="008D5C0A"/>
    <w:rsid w:val="008D7E92"/>
    <w:rsid w:val="008E3D00"/>
    <w:rsid w:val="009063B4"/>
    <w:rsid w:val="0091035A"/>
    <w:rsid w:val="00921834"/>
    <w:rsid w:val="00922548"/>
    <w:rsid w:val="009232C9"/>
    <w:rsid w:val="0094238C"/>
    <w:rsid w:val="00951AEE"/>
    <w:rsid w:val="00951C7C"/>
    <w:rsid w:val="0095221C"/>
    <w:rsid w:val="0096557D"/>
    <w:rsid w:val="00983B08"/>
    <w:rsid w:val="00997ACD"/>
    <w:rsid w:val="009A5E97"/>
    <w:rsid w:val="009A5EC6"/>
    <w:rsid w:val="009B2367"/>
    <w:rsid w:val="009B44EC"/>
    <w:rsid w:val="009C3605"/>
    <w:rsid w:val="009D3E7B"/>
    <w:rsid w:val="009D741E"/>
    <w:rsid w:val="009D7BB2"/>
    <w:rsid w:val="009E1835"/>
    <w:rsid w:val="009F414C"/>
    <w:rsid w:val="009F5FC2"/>
    <w:rsid w:val="00A02807"/>
    <w:rsid w:val="00A24187"/>
    <w:rsid w:val="00A31E59"/>
    <w:rsid w:val="00A3722D"/>
    <w:rsid w:val="00A42D25"/>
    <w:rsid w:val="00A43930"/>
    <w:rsid w:val="00A45F71"/>
    <w:rsid w:val="00A77658"/>
    <w:rsid w:val="00A80F70"/>
    <w:rsid w:val="00A83D39"/>
    <w:rsid w:val="00A852FF"/>
    <w:rsid w:val="00A95F99"/>
    <w:rsid w:val="00AA5336"/>
    <w:rsid w:val="00AD0BB7"/>
    <w:rsid w:val="00AD1177"/>
    <w:rsid w:val="00B02194"/>
    <w:rsid w:val="00B152DB"/>
    <w:rsid w:val="00B24834"/>
    <w:rsid w:val="00B37187"/>
    <w:rsid w:val="00B4798F"/>
    <w:rsid w:val="00B47FAA"/>
    <w:rsid w:val="00B6123D"/>
    <w:rsid w:val="00B812A0"/>
    <w:rsid w:val="00B840B8"/>
    <w:rsid w:val="00B934B0"/>
    <w:rsid w:val="00BA2BE2"/>
    <w:rsid w:val="00BC573B"/>
    <w:rsid w:val="00BD545A"/>
    <w:rsid w:val="00BD6823"/>
    <w:rsid w:val="00BE6056"/>
    <w:rsid w:val="00BE67D6"/>
    <w:rsid w:val="00BF18B7"/>
    <w:rsid w:val="00BF267C"/>
    <w:rsid w:val="00C064BA"/>
    <w:rsid w:val="00C150D1"/>
    <w:rsid w:val="00C1750D"/>
    <w:rsid w:val="00C22A02"/>
    <w:rsid w:val="00C25E5E"/>
    <w:rsid w:val="00C46A26"/>
    <w:rsid w:val="00C511E1"/>
    <w:rsid w:val="00C922E8"/>
    <w:rsid w:val="00CC1B02"/>
    <w:rsid w:val="00CC38F4"/>
    <w:rsid w:val="00CC5394"/>
    <w:rsid w:val="00CD1AEA"/>
    <w:rsid w:val="00D05FDC"/>
    <w:rsid w:val="00D12F60"/>
    <w:rsid w:val="00D24362"/>
    <w:rsid w:val="00D377A9"/>
    <w:rsid w:val="00D378DA"/>
    <w:rsid w:val="00D47759"/>
    <w:rsid w:val="00D50B36"/>
    <w:rsid w:val="00D66654"/>
    <w:rsid w:val="00D77AD3"/>
    <w:rsid w:val="00D77E84"/>
    <w:rsid w:val="00D9212C"/>
    <w:rsid w:val="00DA20BB"/>
    <w:rsid w:val="00DA5E17"/>
    <w:rsid w:val="00DB29FF"/>
    <w:rsid w:val="00DB650C"/>
    <w:rsid w:val="00DC11B9"/>
    <w:rsid w:val="00DC6129"/>
    <w:rsid w:val="00DE0462"/>
    <w:rsid w:val="00E04D62"/>
    <w:rsid w:val="00E05C8B"/>
    <w:rsid w:val="00E06C6F"/>
    <w:rsid w:val="00E07B00"/>
    <w:rsid w:val="00E1531A"/>
    <w:rsid w:val="00E15F6C"/>
    <w:rsid w:val="00E1641A"/>
    <w:rsid w:val="00E170DE"/>
    <w:rsid w:val="00E21A98"/>
    <w:rsid w:val="00E231C6"/>
    <w:rsid w:val="00E27FC5"/>
    <w:rsid w:val="00E311BF"/>
    <w:rsid w:val="00E33BCC"/>
    <w:rsid w:val="00E35598"/>
    <w:rsid w:val="00E540B5"/>
    <w:rsid w:val="00E609EA"/>
    <w:rsid w:val="00E63D78"/>
    <w:rsid w:val="00E6719F"/>
    <w:rsid w:val="00E708D6"/>
    <w:rsid w:val="00E762BB"/>
    <w:rsid w:val="00E81293"/>
    <w:rsid w:val="00E93ADD"/>
    <w:rsid w:val="00EA04E2"/>
    <w:rsid w:val="00EC4C22"/>
    <w:rsid w:val="00EC56E5"/>
    <w:rsid w:val="00EE2C7A"/>
    <w:rsid w:val="00EE7DB5"/>
    <w:rsid w:val="00EF3EBC"/>
    <w:rsid w:val="00EF63E9"/>
    <w:rsid w:val="00F13577"/>
    <w:rsid w:val="00F14683"/>
    <w:rsid w:val="00F16A38"/>
    <w:rsid w:val="00F32802"/>
    <w:rsid w:val="00F423DB"/>
    <w:rsid w:val="00F638DC"/>
    <w:rsid w:val="00F6512F"/>
    <w:rsid w:val="00F71C43"/>
    <w:rsid w:val="00F76EE6"/>
    <w:rsid w:val="00F861C8"/>
    <w:rsid w:val="00FB51ED"/>
    <w:rsid w:val="00FD7F77"/>
    <w:rsid w:val="00FE2A00"/>
    <w:rsid w:val="00FE6823"/>
    <w:rsid w:val="00FE6F5A"/>
    <w:rsid w:val="00FF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7358"/>
  <w15:chartTrackingRefBased/>
  <w15:docId w15:val="{8F6C3AB3-0B94-4C96-AE61-B4EF356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24C"/>
    <w:pPr>
      <w:spacing w:before="120" w:after="0" w:line="240" w:lineRule="auto"/>
    </w:pPr>
    <w:rPr>
      <w:rFonts w:ascii="Times New Roman" w:eastAsiaTheme="minorEastAsia" w:hAnsi="Times New Roman" w:cs="Times New Roman"/>
      <w:sz w:val="24"/>
      <w:szCs w:val="24"/>
      <w:lang w:eastAsia="ja-JP"/>
    </w:rPr>
  </w:style>
  <w:style w:type="paragraph" w:styleId="Heading1">
    <w:name w:val="heading 1"/>
    <w:basedOn w:val="Normal"/>
    <w:next w:val="Normal"/>
    <w:link w:val="Heading1Char"/>
    <w:rsid w:val="00E609E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E609EA"/>
    <w:pPr>
      <w:spacing w:before="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Deadline">
    <w:name w:val="LSDeadline"/>
    <w:basedOn w:val="LSTitle"/>
    <w:next w:val="Normal"/>
    <w:rsid w:val="0046424C"/>
    <w:rPr>
      <w:bCs w:val="0"/>
    </w:rPr>
  </w:style>
  <w:style w:type="paragraph" w:customStyle="1" w:styleId="LSForAction">
    <w:name w:val="LSForAction"/>
    <w:basedOn w:val="LSTitle"/>
    <w:next w:val="Normal"/>
    <w:rsid w:val="0046424C"/>
    <w:rPr>
      <w:bCs w:val="0"/>
    </w:rPr>
  </w:style>
  <w:style w:type="paragraph" w:customStyle="1" w:styleId="LSSource">
    <w:name w:val="LSSource"/>
    <w:basedOn w:val="LSTitle"/>
    <w:next w:val="Normal"/>
    <w:rsid w:val="0046424C"/>
    <w:rPr>
      <w:bCs w:val="0"/>
    </w:rPr>
  </w:style>
  <w:style w:type="paragraph" w:customStyle="1" w:styleId="LSTitle">
    <w:name w:val="LSTitle"/>
    <w:basedOn w:val="Normal"/>
    <w:next w:val="Normal"/>
    <w:link w:val="LSTitleChar"/>
    <w:rsid w:val="0046424C"/>
    <w:pPr>
      <w:outlineLvl w:val="0"/>
    </w:pPr>
    <w:rPr>
      <w:bCs/>
    </w:rPr>
  </w:style>
  <w:style w:type="character" w:customStyle="1" w:styleId="LSTitleChar">
    <w:name w:val="LSTitle Char"/>
    <w:link w:val="LSTitle"/>
    <w:qFormat/>
    <w:rsid w:val="0046424C"/>
    <w:rPr>
      <w:rFonts w:ascii="Times New Roman" w:eastAsiaTheme="minorEastAsia" w:hAnsi="Times New Roman" w:cs="Times New Roman"/>
      <w:bCs/>
      <w:sz w:val="24"/>
      <w:szCs w:val="24"/>
      <w:lang w:eastAsia="ja-JP"/>
    </w:rPr>
  </w:style>
  <w:style w:type="paragraph" w:customStyle="1" w:styleId="LSForInfo">
    <w:name w:val="LSForInfo"/>
    <w:basedOn w:val="LSTitle"/>
    <w:next w:val="Normal"/>
    <w:rsid w:val="0046424C"/>
  </w:style>
  <w:style w:type="paragraph" w:customStyle="1" w:styleId="LSForComment">
    <w:name w:val="LSForComment"/>
    <w:basedOn w:val="LSTitle"/>
    <w:next w:val="Normal"/>
    <w:rsid w:val="0046424C"/>
  </w:style>
  <w:style w:type="character" w:styleId="Hyperlink">
    <w:name w:val="Hyperlink"/>
    <w:aliases w:val="超级链接"/>
    <w:basedOn w:val="DefaultParagraphFont"/>
    <w:rsid w:val="0046424C"/>
    <w:rPr>
      <w:color w:val="0000FF"/>
      <w:u w:val="single"/>
    </w:rPr>
  </w:style>
  <w:style w:type="paragraph" w:customStyle="1" w:styleId="LSnumber">
    <w:name w:val="LSnumber"/>
    <w:basedOn w:val="Normal"/>
    <w:rsid w:val="0046424C"/>
    <w:pPr>
      <w:jc w:val="right"/>
    </w:pPr>
    <w:rPr>
      <w:b/>
      <w:bCs/>
      <w:sz w:val="32"/>
      <w:szCs w:val="32"/>
    </w:rPr>
  </w:style>
  <w:style w:type="paragraph" w:styleId="Header">
    <w:name w:val="header"/>
    <w:basedOn w:val="Normal"/>
    <w:link w:val="HeaderChar"/>
    <w:uiPriority w:val="99"/>
    <w:unhideWhenUsed/>
    <w:rsid w:val="0046424C"/>
    <w:pPr>
      <w:tabs>
        <w:tab w:val="center" w:pos="4513"/>
        <w:tab w:val="right" w:pos="9026"/>
      </w:tabs>
      <w:spacing w:before="0"/>
    </w:pPr>
  </w:style>
  <w:style w:type="character" w:customStyle="1" w:styleId="HeaderChar">
    <w:name w:val="Header Char"/>
    <w:basedOn w:val="DefaultParagraphFont"/>
    <w:link w:val="Header"/>
    <w:uiPriority w:val="99"/>
    <w:rsid w:val="0046424C"/>
    <w:rPr>
      <w:rFonts w:ascii="Times New Roman" w:eastAsiaTheme="minorEastAsia" w:hAnsi="Times New Roman" w:cs="Times New Roman"/>
      <w:sz w:val="24"/>
      <w:szCs w:val="24"/>
      <w:lang w:eastAsia="ja-JP"/>
    </w:rPr>
  </w:style>
  <w:style w:type="paragraph" w:styleId="Footer">
    <w:name w:val="footer"/>
    <w:basedOn w:val="Normal"/>
    <w:link w:val="FooterChar"/>
    <w:uiPriority w:val="99"/>
    <w:unhideWhenUsed/>
    <w:rsid w:val="0046424C"/>
    <w:pPr>
      <w:tabs>
        <w:tab w:val="center" w:pos="4513"/>
        <w:tab w:val="right" w:pos="9026"/>
      </w:tabs>
      <w:spacing w:before="0"/>
    </w:pPr>
  </w:style>
  <w:style w:type="character" w:customStyle="1" w:styleId="FooterChar">
    <w:name w:val="Footer Char"/>
    <w:basedOn w:val="DefaultParagraphFont"/>
    <w:link w:val="Footer"/>
    <w:uiPriority w:val="99"/>
    <w:rsid w:val="0046424C"/>
    <w:rPr>
      <w:rFonts w:ascii="Times New Roman" w:eastAsiaTheme="minorEastAsia" w:hAnsi="Times New Roman" w:cs="Times New Roman"/>
      <w:sz w:val="24"/>
      <w:szCs w:val="24"/>
      <w:lang w:eastAsia="ja-JP"/>
    </w:rPr>
  </w:style>
  <w:style w:type="paragraph" w:customStyle="1" w:styleId="Docnumber">
    <w:name w:val="Docnumber"/>
    <w:basedOn w:val="Normal"/>
    <w:link w:val="DocnumberChar"/>
    <w:qFormat/>
    <w:rsid w:val="0046424C"/>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40"/>
      <w:szCs w:val="20"/>
      <w:lang w:eastAsia="en-US"/>
    </w:rPr>
  </w:style>
  <w:style w:type="character" w:customStyle="1" w:styleId="DocnumberChar">
    <w:name w:val="Docnumber Char"/>
    <w:basedOn w:val="DefaultParagraphFont"/>
    <w:link w:val="Docnumber"/>
    <w:rsid w:val="0046424C"/>
    <w:rPr>
      <w:rFonts w:ascii="Times New Roman" w:eastAsia="Times New Roman" w:hAnsi="Times New Roman" w:cs="Times New Roman"/>
      <w:b/>
      <w:bCs/>
      <w:sz w:val="40"/>
      <w:szCs w:val="20"/>
    </w:rPr>
  </w:style>
  <w:style w:type="character" w:styleId="UnresolvedMention">
    <w:name w:val="Unresolved Mention"/>
    <w:basedOn w:val="DefaultParagraphFont"/>
    <w:uiPriority w:val="99"/>
    <w:semiHidden/>
    <w:unhideWhenUsed/>
    <w:rsid w:val="006A5923"/>
    <w:rPr>
      <w:color w:val="605E5C"/>
      <w:shd w:val="clear" w:color="auto" w:fill="E1DFDD"/>
    </w:rPr>
  </w:style>
  <w:style w:type="paragraph" w:customStyle="1" w:styleId="TSBHeaderQuestion">
    <w:name w:val="TSBHeaderQuestion"/>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7E62F9"/>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7E62F9"/>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character" w:styleId="FollowedHyperlink">
    <w:name w:val="FollowedHyperlink"/>
    <w:basedOn w:val="DefaultParagraphFont"/>
    <w:uiPriority w:val="99"/>
    <w:semiHidden/>
    <w:unhideWhenUsed/>
    <w:rsid w:val="0096557D"/>
    <w:rPr>
      <w:color w:val="954F72" w:themeColor="followedHyperlink"/>
      <w:u w:val="single"/>
    </w:rPr>
  </w:style>
  <w:style w:type="paragraph" w:styleId="Revision">
    <w:name w:val="Revision"/>
    <w:hidden/>
    <w:uiPriority w:val="99"/>
    <w:semiHidden/>
    <w:rsid w:val="00681B70"/>
    <w:pPr>
      <w:spacing w:after="0" w:line="240" w:lineRule="auto"/>
    </w:pPr>
    <w:rPr>
      <w:rFonts w:ascii="Times New Roman" w:eastAsiaTheme="minorEastAsia" w:hAnsi="Times New Roman" w:cs="Times New Roman"/>
      <w:sz w:val="24"/>
      <w:szCs w:val="24"/>
      <w:lang w:eastAsia="ja-JP"/>
    </w:rPr>
  </w:style>
  <w:style w:type="character" w:customStyle="1" w:styleId="Heading1Char">
    <w:name w:val="Heading 1 Char"/>
    <w:basedOn w:val="DefaultParagraphFont"/>
    <w:link w:val="Heading1"/>
    <w:rsid w:val="00E609E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609EA"/>
    <w:rPr>
      <w:rFonts w:ascii="Times New Roman" w:eastAsia="Times New Roman" w:hAnsi="Times New Roman" w:cs="Times New Roman"/>
      <w:b/>
      <w:sz w:val="24"/>
      <w:szCs w:val="20"/>
    </w:rPr>
  </w:style>
  <w:style w:type="paragraph" w:styleId="ListParagraph">
    <w:name w:val="List Paragraph"/>
    <w:basedOn w:val="Normal"/>
    <w:uiPriority w:val="34"/>
    <w:qFormat/>
    <w:rsid w:val="00EF63E9"/>
    <w:pPr>
      <w:ind w:left="720"/>
      <w:contextualSpacing/>
    </w:pPr>
  </w:style>
  <w:style w:type="paragraph" w:customStyle="1" w:styleId="AnnexNotitle">
    <w:name w:val="Annex_No &amp; title"/>
    <w:basedOn w:val="Normal"/>
    <w:next w:val="Normal"/>
    <w:rsid w:val="00054854"/>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styleId="FootnoteText">
    <w:name w:val="footnote text"/>
    <w:basedOn w:val="Normal"/>
    <w:link w:val="FootnoteTextChar"/>
    <w:uiPriority w:val="99"/>
    <w:unhideWhenUsed/>
    <w:rsid w:val="00FF4A42"/>
    <w:pPr>
      <w:spacing w:before="0"/>
    </w:pPr>
    <w:rPr>
      <w:sz w:val="20"/>
      <w:szCs w:val="20"/>
    </w:rPr>
  </w:style>
  <w:style w:type="character" w:customStyle="1" w:styleId="FootnoteTextChar">
    <w:name w:val="Footnote Text Char"/>
    <w:basedOn w:val="DefaultParagraphFont"/>
    <w:link w:val="FootnoteText"/>
    <w:uiPriority w:val="99"/>
    <w:rsid w:val="00FF4A42"/>
    <w:rPr>
      <w:rFonts w:ascii="Times New Roman" w:eastAsiaTheme="minorEastAsia" w:hAnsi="Times New Roman" w:cs="Times New Roman"/>
      <w:sz w:val="20"/>
      <w:szCs w:val="20"/>
      <w:lang w:eastAsia="ja-JP"/>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FF4A42"/>
    <w:rPr>
      <w:position w:val="6"/>
      <w:sz w:val="18"/>
    </w:rPr>
  </w:style>
  <w:style w:type="paragraph" w:customStyle="1" w:styleId="enumlev1">
    <w:name w:val="enumlev1"/>
    <w:basedOn w:val="Normal"/>
    <w:rsid w:val="00247536"/>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eastAsia="en-US"/>
    </w:rPr>
  </w:style>
  <w:style w:type="paragraph" w:customStyle="1" w:styleId="Normalaftertitle">
    <w:name w:val="Normal_after_title"/>
    <w:basedOn w:val="Normal"/>
    <w:next w:val="Normal"/>
    <w:rsid w:val="009A5EC6"/>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Reasons">
    <w:name w:val="Reasons"/>
    <w:basedOn w:val="Normal"/>
    <w:qFormat/>
    <w:rsid w:val="009A5EC6"/>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character" w:styleId="CommentReference">
    <w:name w:val="annotation reference"/>
    <w:basedOn w:val="DefaultParagraphFont"/>
    <w:semiHidden/>
    <w:unhideWhenUsed/>
    <w:rsid w:val="007540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committees/scv/Documents/SCV-TD05.docx" TargetMode="External"/><Relationship Id="rId18" Type="http://schemas.openxmlformats.org/officeDocument/2006/relationships/hyperlink" Target="https://www.itu.int/md/R19-CCV-C-0025/en" TargetMode="External"/><Relationship Id="rId26" Type="http://schemas.openxmlformats.org/officeDocument/2006/relationships/hyperlink" Target="https://www.itu.int/en/ITU-T/committees/scv/Documents/SCV-TD172.docx" TargetMode="External"/><Relationship Id="rId39" Type="http://schemas.openxmlformats.org/officeDocument/2006/relationships/hyperlink" Target="https://www.itu.int/en/ITU-T/committees/scv/Documents/SCV-TD165.docx" TargetMode="External"/><Relationship Id="rId21" Type="http://schemas.openxmlformats.org/officeDocument/2006/relationships/hyperlink" Target="https://www.itu.int/en/ITU-T/committees/scv/Documents/SCV-TD165.docx" TargetMode="External"/><Relationship Id="rId34" Type="http://schemas.openxmlformats.org/officeDocument/2006/relationships/hyperlink" Target="https://www.itu.int/en/ITU-T/committees/scv/Documents/SCV-TD11.docx" TargetMode="External"/><Relationship Id="rId42" Type="http://schemas.openxmlformats.org/officeDocument/2006/relationships/hyperlink" Target="https://www.itu.int/md/R19-CCV-C-0035/en" TargetMode="External"/><Relationship Id="rId47" Type="http://schemas.openxmlformats.org/officeDocument/2006/relationships/hyperlink" Target="https://www.itu.int/md/R19-CCV-C-0038/en" TargetMode="External"/><Relationship Id="rId50" Type="http://schemas.openxmlformats.org/officeDocument/2006/relationships/hyperlink" Target="https://www.itu.int/en/ITU-T/committees/scv/Documents/SCV-TD08.docx"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19-CCV-C-0022/en" TargetMode="External"/><Relationship Id="rId29" Type="http://schemas.openxmlformats.org/officeDocument/2006/relationships/hyperlink" Target="https://www.itu.int/en/ITU-T/committees/scv/Documents/SCV-TD02.docx" TargetMode="External"/><Relationship Id="rId11" Type="http://schemas.openxmlformats.org/officeDocument/2006/relationships/hyperlink" Target="https://www.itu.int/md/R19-CCV-C-0033/en" TargetMode="External"/><Relationship Id="rId24" Type="http://schemas.openxmlformats.org/officeDocument/2006/relationships/hyperlink" Target="https://www.itu.int/md/R19-CCV-C-0029/en" TargetMode="External"/><Relationship Id="rId32" Type="http://schemas.openxmlformats.org/officeDocument/2006/relationships/hyperlink" Target="https://www.itu.int/en/ITU-T/committees/scv/Documents/SCV-TD04.docx" TargetMode="External"/><Relationship Id="rId37" Type="http://schemas.openxmlformats.org/officeDocument/2006/relationships/hyperlink" Target="https://www.itu.int/en/ITU-T/committees/scv/Documents/SCV-TD173.zip" TargetMode="External"/><Relationship Id="rId40" Type="http://schemas.openxmlformats.org/officeDocument/2006/relationships/hyperlink" Target="https://www.itu.int/md/R19-CCV-C-0025/en" TargetMode="External"/><Relationship Id="rId45" Type="http://schemas.openxmlformats.org/officeDocument/2006/relationships/hyperlink" Target="https://www.itu.int/md/R19-CCV-C-0036/en" TargetMode="External"/><Relationship Id="rId53" Type="http://schemas.openxmlformats.org/officeDocument/2006/relationships/hyperlink" Target="https://www.itu.int/en/ITU-T/committees/scv/Documents/SCV-TD09.docx" TargetMode="Externa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www.itu.int/en/ITU-T/committees/scv/Documents/SCV-TD174.docx" TargetMode="External"/><Relationship Id="rId4" Type="http://schemas.openxmlformats.org/officeDocument/2006/relationships/settings" Target="settings.xml"/><Relationship Id="rId9" Type="http://schemas.openxmlformats.org/officeDocument/2006/relationships/hyperlink" Target="https://www.itu.int/en/ITU-T/committees/scv/Documents/SCV-TD01.docx" TargetMode="External"/><Relationship Id="rId14" Type="http://schemas.openxmlformats.org/officeDocument/2006/relationships/hyperlink" Target="https://www.itu.int/en/ITU-T/committees/scv/Documents/SCV-TD07.docx" TargetMode="External"/><Relationship Id="rId22" Type="http://schemas.openxmlformats.org/officeDocument/2006/relationships/hyperlink" Target="https://www.itu.int/md/R19-CCV-C-0025/en" TargetMode="External"/><Relationship Id="rId27" Type="http://schemas.openxmlformats.org/officeDocument/2006/relationships/hyperlink" Target="https://www.itu.int/md/R19-CCV-C-0029/en" TargetMode="External"/><Relationship Id="rId30" Type="http://schemas.openxmlformats.org/officeDocument/2006/relationships/hyperlink" Target="https://www.itu.int/en/ITU-T/committees/scv/Documents/SCV-TD11.docx" TargetMode="External"/><Relationship Id="rId35" Type="http://schemas.openxmlformats.org/officeDocument/2006/relationships/hyperlink" Target="https://www.itu.int/en/ITU-T/committees/scv/Documents/SCV-TD03.docx" TargetMode="External"/><Relationship Id="rId43" Type="http://schemas.openxmlformats.org/officeDocument/2006/relationships/hyperlink" Target="https://www.itu.int/rec/R-REC-V.431/en" TargetMode="External"/><Relationship Id="rId48" Type="http://schemas.openxmlformats.org/officeDocument/2006/relationships/hyperlink" Target="https://www.itu.int/en/ITU-T/committees/scv/Documents/SCV-TD06.docx"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itu.int/md/R19-CCV-C-0040/en" TargetMode="External"/><Relationship Id="rId3" Type="http://schemas.openxmlformats.org/officeDocument/2006/relationships/styles" Target="styles.xml"/><Relationship Id="rId12" Type="http://schemas.openxmlformats.org/officeDocument/2006/relationships/hyperlink" Target="https://www.itu.int/en/ITU-T/committees/scv/Documents/SCV-TD176.docx" TargetMode="External"/><Relationship Id="rId17" Type="http://schemas.openxmlformats.org/officeDocument/2006/relationships/hyperlink" Target="https://www.itu.int/en/ITU-T/committees/scv/Documents/SCV-TD165.docx" TargetMode="External"/><Relationship Id="rId25" Type="http://schemas.openxmlformats.org/officeDocument/2006/relationships/hyperlink" Target="https://www.itu.int/en/ITU-T/committees/scv/Documents/SCV-TD10.docx" TargetMode="External"/><Relationship Id="rId33" Type="http://schemas.openxmlformats.org/officeDocument/2006/relationships/hyperlink" Target="https://www.itu.int/en/ITU-T/committees/scv/Documents/SCV-TD02.docx" TargetMode="External"/><Relationship Id="rId38" Type="http://schemas.openxmlformats.org/officeDocument/2006/relationships/hyperlink" Target="https://staging.itu.int/en/ITU-T/committees/scv/Documents/T17-SCV-LS-0042.docx" TargetMode="External"/><Relationship Id="rId46" Type="http://schemas.openxmlformats.org/officeDocument/2006/relationships/hyperlink" Target="https://www.itu.int/rec/R-REC-V.2130/en" TargetMode="External"/><Relationship Id="rId59" Type="http://schemas.openxmlformats.org/officeDocument/2006/relationships/customXml" Target="../customXml/item3.xml"/><Relationship Id="rId20" Type="http://schemas.openxmlformats.org/officeDocument/2006/relationships/hyperlink" Target="https://www.itu.int/md/R19-CCV-C-0022/en" TargetMode="External"/><Relationship Id="rId41" Type="http://schemas.openxmlformats.org/officeDocument/2006/relationships/hyperlink" Target="https://www.itu.int/md/R19-CCV-C-0034/en" TargetMode="External"/><Relationship Id="rId54" Type="http://schemas.openxmlformats.org/officeDocument/2006/relationships/hyperlink" Target="https://www.itu.int/md/S21-CL-C-0012/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committees/scv/Documents/SCV-TD174.docx" TargetMode="External"/><Relationship Id="rId23" Type="http://schemas.openxmlformats.org/officeDocument/2006/relationships/hyperlink" Target="https://www.itu.int/en/ITU-T/committees/scv/Documents/SCV-TD172.docx" TargetMode="External"/><Relationship Id="rId28" Type="http://schemas.openxmlformats.org/officeDocument/2006/relationships/hyperlink" Target="https://www.itu.int/en/ITU-T/committees/scv/Documents/SCV-TD10.docx" TargetMode="External"/><Relationship Id="rId36" Type="http://schemas.openxmlformats.org/officeDocument/2006/relationships/hyperlink" Target="https://www.itu.int/en/ITU-T/committees/scv/Documents/SCV-TD04.docx" TargetMode="External"/><Relationship Id="rId49" Type="http://schemas.openxmlformats.org/officeDocument/2006/relationships/hyperlink" Target="https://www.itu.int/md/R19-CCV-C-0039/en" TargetMode="External"/><Relationship Id="rId57" Type="http://schemas.openxmlformats.org/officeDocument/2006/relationships/theme" Target="theme/theme1.xml"/><Relationship Id="rId10" Type="http://schemas.openxmlformats.org/officeDocument/2006/relationships/hyperlink" Target="https://www.itu.int/md/R19-CCV-ADM-0007/en" TargetMode="External"/><Relationship Id="rId31" Type="http://schemas.openxmlformats.org/officeDocument/2006/relationships/hyperlink" Target="https://www.itu.int/en/ITU-T/committees/scv/Documents/SCV-TD03.docx" TargetMode="External"/><Relationship Id="rId44" Type="http://schemas.openxmlformats.org/officeDocument/2006/relationships/hyperlink" Target="https://www.itu.int/md/R19-CCV-C-0037/en" TargetMode="External"/><Relationship Id="rId52" Type="http://schemas.openxmlformats.org/officeDocument/2006/relationships/hyperlink" Target="https://www.itu.int/md/R19-CCV-C-0041/en" TargetMode="External"/><Relationship Id="rId6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undocs.org/en/JIU/REP/2020/6" TargetMode="External"/><Relationship Id="rId1" Type="http://schemas.openxmlformats.org/officeDocument/2006/relationships/hyperlink" Target="https://www.bipm.org/en/search?p_p_id=search_portlet&amp;p_p_lifecycle=2&amp;p_p_state=normal&amp;p_p_mode=view&amp;p_p_resource_id=%2Fdownload%2Fpublication&amp;p_p_cacheability=cacheLevelPage&amp;_search_portlet_dlFileId=41483053&amp;p_p_lifecycle=1&amp;_search_portlet_javax.portlet.action=search&amp;_search_portlet_formDate=1650266993989&amp;_search_portlet_query=SI+prefixes&amp;_search_portlet_source=BI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656632-0C75-47CE-BCA7-97C473841DFE}"/>
</file>

<file path=customXml/itemProps2.xml><?xml version="1.0" encoding="utf-8"?>
<ds:datastoreItem xmlns:ds="http://schemas.openxmlformats.org/officeDocument/2006/customXml" ds:itemID="{4527AC34-9B00-4F01-8E67-8CE55A822F58}"/>
</file>

<file path=customXml/itemProps3.xml><?xml version="1.0" encoding="utf-8"?>
<ds:datastoreItem xmlns:ds="http://schemas.openxmlformats.org/officeDocument/2006/customXml" ds:itemID="{0C98218D-66AC-4514-80C8-F7B5DA448118}"/>
</file>

<file path=customXml/itemProps4.xml><?xml version="1.0" encoding="utf-8"?>
<ds:datastoreItem xmlns:ds="http://schemas.openxmlformats.org/officeDocument/2006/customXml" ds:itemID="{DC2B1C91-3F0F-4385-A793-04A15E99B01A}"/>
</file>

<file path=docProps/app.xml><?xml version="1.0" encoding="utf-8"?>
<Properties xmlns="http://schemas.openxmlformats.org/officeDocument/2006/extended-properties" xmlns:vt="http://schemas.openxmlformats.org/officeDocument/2006/docPropsVTypes">
  <Template>Normal.dotm</Template>
  <TotalTime>185</TotalTime>
  <Pages>8</Pages>
  <Words>3477</Words>
  <Characters>19474</Characters>
  <Application>Microsoft Office Word</Application>
  <DocSecurity>0</DocSecurity>
  <Lines>885</Lines>
  <Paragraphs>620</Paragraphs>
  <ScaleCrop>false</ScaleCrop>
  <HeadingPairs>
    <vt:vector size="2" baseType="variant">
      <vt:variant>
        <vt:lpstr>Title</vt:lpstr>
      </vt:variant>
      <vt:variant>
        <vt:i4>1</vt:i4>
      </vt:variant>
    </vt:vector>
  </HeadingPairs>
  <TitlesOfParts>
    <vt:vector size="1" baseType="lpstr">
      <vt:lpstr>LS/r on OTTs (SG3-LS106) [to ITU-T SG3]</vt:lpstr>
    </vt:vector>
  </TitlesOfParts>
  <Manager>ITU-T</Manager>
  <Company>International Telecommunication Union (ITU)</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OTTs (SG3-LS106) [to ITU-T SG3]</dc:title>
  <dc:subject/>
  <dc:creator>ITU-T Study Group 16</dc:creator>
  <cp:keywords/>
  <dc:description>TSAG-TD2  For: Virtual, 3 June 2022_x000d_Document date: _x000d_Saved by ITU51015586 at 11:28:10 on 18/05/2022</dc:description>
  <cp:lastModifiedBy>TSB-AC</cp:lastModifiedBy>
  <cp:revision>5</cp:revision>
  <dcterms:created xsi:type="dcterms:W3CDTF">2022-06-30T13:33:00Z</dcterms:created>
  <dcterms:modified xsi:type="dcterms:W3CDTF">2022-11-04T15:59:00Z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Publicly available TSAG-TD2</vt:lpwstr>
  </property>
  <property fmtid="{D5CDD505-2E9C-101B-9397-08002B2CF9AE}" pid="3" name="Docdate">
    <vt:lpwstr/>
  </property>
  <property fmtid="{D5CDD505-2E9C-101B-9397-08002B2CF9AE}" pid="4" name="Docorlang">
    <vt:lpwstr/>
  </property>
  <property fmtid="{D5CDD505-2E9C-101B-9397-08002B2CF9AE}" pid="5" name="Docbluepink">
    <vt:lpwstr>13/16</vt:lpwstr>
  </property>
  <property fmtid="{D5CDD505-2E9C-101B-9397-08002B2CF9AE}" pid="6" name="Docdest">
    <vt:lpwstr>Virtual, 3 June 2022</vt:lpwstr>
  </property>
  <property fmtid="{D5CDD505-2E9C-101B-9397-08002B2CF9AE}" pid="7" name="Docauthor">
    <vt:lpwstr>ITU-T Study Group 16</vt:lpwstr>
  </property>
  <property fmtid="{D5CDD505-2E9C-101B-9397-08002B2CF9AE}" pid="8" name="ContentTypeId">
    <vt:lpwstr>0x01010017487812B7DF734F899F9E259C366837</vt:lpwstr>
  </property>
</Properties>
</file>