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510"/>
        <w:gridCol w:w="3115"/>
        <w:gridCol w:w="145"/>
        <w:gridCol w:w="4536"/>
      </w:tblGrid>
      <w:tr w:rsidR="00CE7C65" w:rsidRPr="00CE7C65" w14:paraId="139284AA" w14:textId="77777777" w:rsidTr="003F6975">
        <w:trPr>
          <w:cantSplit/>
        </w:trPr>
        <w:tc>
          <w:tcPr>
            <w:tcW w:w="1191" w:type="dxa"/>
            <w:vMerge w:val="restart"/>
          </w:tcPr>
          <w:p w14:paraId="38E9BA53" w14:textId="77777777" w:rsidR="00CE7C65" w:rsidRPr="00CE7C65" w:rsidRDefault="00CE7C65" w:rsidP="00CE7C65">
            <w:pPr>
              <w:rPr>
                <w:sz w:val="20"/>
                <w:szCs w:val="20"/>
              </w:rPr>
            </w:pPr>
            <w:bookmarkStart w:id="0" w:name="dnum" w:colFirst="2" w:colLast="2"/>
            <w:bookmarkStart w:id="1" w:name="dtableau"/>
            <w:r w:rsidRPr="00CE7C65">
              <w:rPr>
                <w:noProof/>
                <w:sz w:val="20"/>
                <w:szCs w:val="20"/>
                <w:lang w:eastAsia="zh-CN"/>
              </w:rPr>
              <w:drawing>
                <wp:inline distT="0" distB="0" distL="0" distR="0" wp14:anchorId="01F051D0" wp14:editId="7B7F581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799DD1CC" w14:textId="77777777" w:rsidR="00CE7C65" w:rsidRPr="00CE7C65" w:rsidRDefault="00CE7C65" w:rsidP="00CE7C65">
            <w:pPr>
              <w:rPr>
                <w:sz w:val="16"/>
                <w:szCs w:val="16"/>
              </w:rPr>
            </w:pPr>
            <w:r w:rsidRPr="00CE7C65">
              <w:rPr>
                <w:sz w:val="16"/>
                <w:szCs w:val="16"/>
              </w:rPr>
              <w:t>INTERNATIONAL TELECOMMUNICATION UNION</w:t>
            </w:r>
          </w:p>
          <w:p w14:paraId="36868289" w14:textId="77777777" w:rsidR="00CE7C65" w:rsidRPr="00CE7C65" w:rsidRDefault="00CE7C65" w:rsidP="00CE7C65">
            <w:pPr>
              <w:rPr>
                <w:b/>
                <w:bCs/>
                <w:sz w:val="26"/>
                <w:szCs w:val="26"/>
              </w:rPr>
            </w:pPr>
            <w:r w:rsidRPr="00CE7C65">
              <w:rPr>
                <w:b/>
                <w:bCs/>
                <w:sz w:val="26"/>
                <w:szCs w:val="26"/>
              </w:rPr>
              <w:t>TELECOMMUNICATION</w:t>
            </w:r>
            <w:r w:rsidRPr="00CE7C65">
              <w:rPr>
                <w:b/>
                <w:bCs/>
                <w:sz w:val="26"/>
                <w:szCs w:val="26"/>
              </w:rPr>
              <w:br/>
              <w:t>STANDARDIZATION SECTOR</w:t>
            </w:r>
          </w:p>
          <w:p w14:paraId="614A8C52" w14:textId="77777777" w:rsidR="00CE7C65" w:rsidRPr="00CE7C65" w:rsidRDefault="00CE7C65" w:rsidP="00CE7C65">
            <w:pPr>
              <w:rPr>
                <w:sz w:val="20"/>
                <w:szCs w:val="20"/>
              </w:rPr>
            </w:pPr>
            <w:r w:rsidRPr="00CE7C65">
              <w:rPr>
                <w:sz w:val="20"/>
                <w:szCs w:val="20"/>
              </w:rPr>
              <w:t xml:space="preserve">STUDY PERIOD </w:t>
            </w:r>
            <w:bookmarkStart w:id="2" w:name="dstudyperiod"/>
            <w:r w:rsidRPr="00CE7C65">
              <w:rPr>
                <w:sz w:val="20"/>
                <w:szCs w:val="20"/>
              </w:rPr>
              <w:t>2017-2020</w:t>
            </w:r>
            <w:bookmarkEnd w:id="2"/>
          </w:p>
        </w:tc>
        <w:tc>
          <w:tcPr>
            <w:tcW w:w="4681" w:type="dxa"/>
            <w:gridSpan w:val="2"/>
            <w:vAlign w:val="center"/>
          </w:tcPr>
          <w:p w14:paraId="03F61BBB" w14:textId="6C61EF06" w:rsidR="00CE7C65" w:rsidRPr="00CE7C65" w:rsidRDefault="00CE7C65" w:rsidP="00CE7C65">
            <w:pPr>
              <w:pStyle w:val="Docnumber"/>
              <w:rPr>
                <w:sz w:val="32"/>
              </w:rPr>
            </w:pPr>
            <w:r>
              <w:rPr>
                <w:sz w:val="32"/>
              </w:rPr>
              <w:t>SCV-TD110</w:t>
            </w:r>
          </w:p>
        </w:tc>
      </w:tr>
      <w:tr w:rsidR="00CE7C65" w:rsidRPr="00CE7C65" w14:paraId="5E10BAD7" w14:textId="77777777" w:rsidTr="003F6975">
        <w:trPr>
          <w:cantSplit/>
        </w:trPr>
        <w:tc>
          <w:tcPr>
            <w:tcW w:w="1191" w:type="dxa"/>
            <w:vMerge/>
          </w:tcPr>
          <w:p w14:paraId="76F83C48" w14:textId="77777777" w:rsidR="00CE7C65" w:rsidRPr="00CE7C65" w:rsidRDefault="00CE7C65" w:rsidP="00CE7C65">
            <w:pPr>
              <w:rPr>
                <w:smallCaps/>
                <w:sz w:val="20"/>
              </w:rPr>
            </w:pPr>
            <w:bookmarkStart w:id="3" w:name="dsg" w:colFirst="2" w:colLast="2"/>
            <w:bookmarkEnd w:id="0"/>
          </w:p>
        </w:tc>
        <w:tc>
          <w:tcPr>
            <w:tcW w:w="4051" w:type="dxa"/>
            <w:gridSpan w:val="4"/>
            <w:vMerge/>
          </w:tcPr>
          <w:p w14:paraId="2C2D7DC9" w14:textId="77777777" w:rsidR="00CE7C65" w:rsidRPr="00CE7C65" w:rsidRDefault="00CE7C65" w:rsidP="00CE7C65">
            <w:pPr>
              <w:rPr>
                <w:smallCaps/>
                <w:sz w:val="20"/>
              </w:rPr>
            </w:pPr>
          </w:p>
        </w:tc>
        <w:tc>
          <w:tcPr>
            <w:tcW w:w="4681" w:type="dxa"/>
            <w:gridSpan w:val="2"/>
          </w:tcPr>
          <w:p w14:paraId="683F4396" w14:textId="062A835E" w:rsidR="00CE7C65" w:rsidRPr="00CE7C65" w:rsidRDefault="00CE7C65" w:rsidP="00CE7C65">
            <w:pPr>
              <w:jc w:val="right"/>
              <w:rPr>
                <w:b/>
                <w:bCs/>
                <w:smallCaps/>
                <w:sz w:val="28"/>
                <w:szCs w:val="28"/>
              </w:rPr>
            </w:pPr>
            <w:r>
              <w:rPr>
                <w:b/>
                <w:bCs/>
                <w:smallCaps/>
                <w:sz w:val="28"/>
                <w:szCs w:val="28"/>
              </w:rPr>
              <w:t>SCV</w:t>
            </w:r>
          </w:p>
        </w:tc>
      </w:tr>
      <w:bookmarkEnd w:id="3"/>
      <w:tr w:rsidR="00CE7C65" w:rsidRPr="00CE7C65" w14:paraId="0A0D877A" w14:textId="77777777" w:rsidTr="003F6975">
        <w:trPr>
          <w:cantSplit/>
        </w:trPr>
        <w:tc>
          <w:tcPr>
            <w:tcW w:w="1191" w:type="dxa"/>
            <w:vMerge/>
            <w:tcBorders>
              <w:bottom w:val="single" w:sz="12" w:space="0" w:color="auto"/>
            </w:tcBorders>
          </w:tcPr>
          <w:p w14:paraId="42DCB2C8" w14:textId="77777777" w:rsidR="00CE7C65" w:rsidRPr="00CE7C65" w:rsidRDefault="00CE7C65" w:rsidP="00CE7C65">
            <w:pPr>
              <w:rPr>
                <w:b/>
                <w:bCs/>
                <w:sz w:val="26"/>
              </w:rPr>
            </w:pPr>
          </w:p>
        </w:tc>
        <w:tc>
          <w:tcPr>
            <w:tcW w:w="4051" w:type="dxa"/>
            <w:gridSpan w:val="4"/>
            <w:vMerge/>
            <w:tcBorders>
              <w:bottom w:val="single" w:sz="12" w:space="0" w:color="auto"/>
            </w:tcBorders>
          </w:tcPr>
          <w:p w14:paraId="27C372FB" w14:textId="77777777" w:rsidR="00CE7C65" w:rsidRPr="00CE7C65" w:rsidRDefault="00CE7C65" w:rsidP="00CE7C65">
            <w:pPr>
              <w:rPr>
                <w:b/>
                <w:bCs/>
                <w:sz w:val="26"/>
              </w:rPr>
            </w:pPr>
          </w:p>
        </w:tc>
        <w:tc>
          <w:tcPr>
            <w:tcW w:w="4681" w:type="dxa"/>
            <w:gridSpan w:val="2"/>
            <w:tcBorders>
              <w:bottom w:val="single" w:sz="12" w:space="0" w:color="auto"/>
            </w:tcBorders>
            <w:vAlign w:val="center"/>
          </w:tcPr>
          <w:p w14:paraId="101ED63C" w14:textId="77777777" w:rsidR="00CE7C65" w:rsidRPr="00CE7C65" w:rsidRDefault="00CE7C65" w:rsidP="00CE7C65">
            <w:pPr>
              <w:jc w:val="right"/>
              <w:rPr>
                <w:b/>
                <w:bCs/>
                <w:sz w:val="28"/>
                <w:szCs w:val="28"/>
              </w:rPr>
            </w:pPr>
            <w:r w:rsidRPr="00CE7C65">
              <w:rPr>
                <w:b/>
                <w:bCs/>
                <w:sz w:val="28"/>
                <w:szCs w:val="28"/>
              </w:rPr>
              <w:t>Original: English</w:t>
            </w:r>
          </w:p>
        </w:tc>
      </w:tr>
      <w:tr w:rsidR="00CE7C65" w:rsidRPr="00CE7C65" w14:paraId="35C10D08" w14:textId="77777777" w:rsidTr="003F6975">
        <w:trPr>
          <w:cantSplit/>
        </w:trPr>
        <w:tc>
          <w:tcPr>
            <w:tcW w:w="1617" w:type="dxa"/>
            <w:gridSpan w:val="3"/>
          </w:tcPr>
          <w:p w14:paraId="44131854" w14:textId="25708F63" w:rsidR="00CE7C65" w:rsidRPr="00CE7C65" w:rsidRDefault="00CE7C65" w:rsidP="00CE7C65">
            <w:pPr>
              <w:rPr>
                <w:b/>
                <w:bCs/>
              </w:rPr>
            </w:pPr>
            <w:bookmarkStart w:id="4" w:name="dbluepink" w:colFirst="1" w:colLast="1"/>
            <w:bookmarkStart w:id="5" w:name="dmeeting" w:colFirst="2" w:colLast="2"/>
          </w:p>
        </w:tc>
        <w:tc>
          <w:tcPr>
            <w:tcW w:w="3625" w:type="dxa"/>
            <w:gridSpan w:val="2"/>
          </w:tcPr>
          <w:p w14:paraId="2B993385" w14:textId="7FF41F23" w:rsidR="00CE7C65" w:rsidRPr="00CE7C65" w:rsidRDefault="00CE7C65" w:rsidP="00CE7C65"/>
        </w:tc>
        <w:tc>
          <w:tcPr>
            <w:tcW w:w="4681" w:type="dxa"/>
            <w:gridSpan w:val="2"/>
          </w:tcPr>
          <w:p w14:paraId="2F5A4976" w14:textId="277BEC02" w:rsidR="00CE7C65" w:rsidRPr="00CE7C65" w:rsidRDefault="00CE7C65" w:rsidP="00CE7C65">
            <w:pPr>
              <w:jc w:val="right"/>
            </w:pPr>
            <w:r w:rsidRPr="00CE7C65">
              <w:t xml:space="preserve">Virtual, </w:t>
            </w:r>
            <w:r w:rsidR="00871BFE">
              <w:t xml:space="preserve">3 </w:t>
            </w:r>
            <w:r w:rsidRPr="00CE7C65">
              <w:t>June 2020</w:t>
            </w:r>
          </w:p>
        </w:tc>
      </w:tr>
      <w:tr w:rsidR="00CE7C65" w:rsidRPr="00CE7C65" w14:paraId="741837F8" w14:textId="77777777" w:rsidTr="003F6975">
        <w:trPr>
          <w:cantSplit/>
        </w:trPr>
        <w:tc>
          <w:tcPr>
            <w:tcW w:w="9923" w:type="dxa"/>
            <w:gridSpan w:val="7"/>
          </w:tcPr>
          <w:p w14:paraId="513421DE" w14:textId="77777777" w:rsidR="00CE7C65" w:rsidRPr="00CE7C65" w:rsidRDefault="00CE7C65" w:rsidP="00CE7C65">
            <w:pPr>
              <w:jc w:val="center"/>
              <w:rPr>
                <w:b/>
                <w:bCs/>
              </w:rPr>
            </w:pPr>
            <w:bookmarkStart w:id="6" w:name="ddoctype" w:colFirst="0" w:colLast="0"/>
            <w:bookmarkEnd w:id="4"/>
            <w:bookmarkEnd w:id="5"/>
            <w:r w:rsidRPr="00CE7C65">
              <w:rPr>
                <w:b/>
                <w:bCs/>
              </w:rPr>
              <w:t>TD</w:t>
            </w:r>
          </w:p>
          <w:p w14:paraId="4A1DCB97" w14:textId="580431BD" w:rsidR="00CE7C65" w:rsidRPr="00CE7C65" w:rsidRDefault="00CE7C65" w:rsidP="00CE7C65">
            <w:pPr>
              <w:jc w:val="center"/>
              <w:rPr>
                <w:b/>
                <w:bCs/>
              </w:rPr>
            </w:pPr>
            <w:r w:rsidRPr="00CE7C65">
              <w:rPr>
                <w:b/>
                <w:bCs/>
              </w:rPr>
              <w:t>(Ref.: SG17-LS197)</w:t>
            </w:r>
          </w:p>
        </w:tc>
      </w:tr>
      <w:tr w:rsidR="00CE7C65" w:rsidRPr="00CE7C65" w14:paraId="21971749" w14:textId="77777777" w:rsidTr="003F6975">
        <w:trPr>
          <w:cantSplit/>
        </w:trPr>
        <w:tc>
          <w:tcPr>
            <w:tcW w:w="1617" w:type="dxa"/>
            <w:gridSpan w:val="3"/>
          </w:tcPr>
          <w:p w14:paraId="6028164F" w14:textId="77777777" w:rsidR="00CE7C65" w:rsidRPr="00CE7C65" w:rsidRDefault="00CE7C65" w:rsidP="00CE7C65">
            <w:pPr>
              <w:rPr>
                <w:b/>
                <w:bCs/>
              </w:rPr>
            </w:pPr>
            <w:bookmarkStart w:id="7" w:name="dsource" w:colFirst="1" w:colLast="1"/>
            <w:bookmarkEnd w:id="6"/>
            <w:r w:rsidRPr="00CE7C65">
              <w:rPr>
                <w:b/>
                <w:bCs/>
              </w:rPr>
              <w:t>Source:</w:t>
            </w:r>
          </w:p>
        </w:tc>
        <w:tc>
          <w:tcPr>
            <w:tcW w:w="8306" w:type="dxa"/>
            <w:gridSpan w:val="4"/>
          </w:tcPr>
          <w:p w14:paraId="7CECC038" w14:textId="1D2F04C8" w:rsidR="00CE7C65" w:rsidRPr="00CE7C65" w:rsidRDefault="00CE7C65" w:rsidP="00CE7C65">
            <w:r w:rsidRPr="00CE7C65">
              <w:t>ITU-T Study Group 17</w:t>
            </w:r>
          </w:p>
        </w:tc>
      </w:tr>
      <w:tr w:rsidR="00CE7C65" w:rsidRPr="00CE7C65" w14:paraId="56DBB23A" w14:textId="77777777" w:rsidTr="003F6975">
        <w:trPr>
          <w:cantSplit/>
        </w:trPr>
        <w:tc>
          <w:tcPr>
            <w:tcW w:w="1617" w:type="dxa"/>
            <w:gridSpan w:val="3"/>
          </w:tcPr>
          <w:p w14:paraId="3C651793" w14:textId="77777777" w:rsidR="00CE7C65" w:rsidRPr="00CE7C65" w:rsidRDefault="00CE7C65" w:rsidP="00CE7C65">
            <w:bookmarkStart w:id="8" w:name="dtitle1" w:colFirst="1" w:colLast="1"/>
            <w:bookmarkEnd w:id="7"/>
            <w:r w:rsidRPr="00CE7C65">
              <w:rPr>
                <w:b/>
                <w:bCs/>
              </w:rPr>
              <w:t>Title:</w:t>
            </w:r>
          </w:p>
        </w:tc>
        <w:tc>
          <w:tcPr>
            <w:tcW w:w="8306" w:type="dxa"/>
            <w:gridSpan w:val="4"/>
          </w:tcPr>
          <w:p w14:paraId="0D4623E5" w14:textId="2FD733EA" w:rsidR="00CE7C65" w:rsidRPr="00CE7C65" w:rsidRDefault="00CE7C65" w:rsidP="00CE7C65">
            <w:r w:rsidRPr="00CE7C65">
              <w:t>LS on harmonization of term and definition of ‘key’ related to quantum-based security used in ITU-T SG17 and SG13</w:t>
            </w:r>
          </w:p>
        </w:tc>
      </w:tr>
      <w:tr w:rsidR="00CE7C65" w:rsidRPr="00CE7C65" w14:paraId="45770464" w14:textId="77777777" w:rsidTr="003F6975">
        <w:trPr>
          <w:cantSplit/>
        </w:trPr>
        <w:tc>
          <w:tcPr>
            <w:tcW w:w="1617" w:type="dxa"/>
            <w:gridSpan w:val="3"/>
            <w:tcBorders>
              <w:bottom w:val="single" w:sz="8" w:space="0" w:color="auto"/>
            </w:tcBorders>
          </w:tcPr>
          <w:p w14:paraId="45513117" w14:textId="77777777" w:rsidR="00CE7C65" w:rsidRPr="00CE7C65" w:rsidRDefault="00CE7C65" w:rsidP="00CE7C65">
            <w:pPr>
              <w:rPr>
                <w:b/>
                <w:bCs/>
              </w:rPr>
            </w:pPr>
            <w:bookmarkStart w:id="9" w:name="dpurpose" w:colFirst="1" w:colLast="1"/>
            <w:bookmarkEnd w:id="8"/>
            <w:r w:rsidRPr="00CE7C65">
              <w:rPr>
                <w:b/>
                <w:bCs/>
              </w:rPr>
              <w:t>Purpose:</w:t>
            </w:r>
          </w:p>
        </w:tc>
        <w:tc>
          <w:tcPr>
            <w:tcW w:w="8306" w:type="dxa"/>
            <w:gridSpan w:val="4"/>
            <w:tcBorders>
              <w:bottom w:val="single" w:sz="8" w:space="0" w:color="auto"/>
            </w:tcBorders>
          </w:tcPr>
          <w:p w14:paraId="56D506E9" w14:textId="6DEF67E1" w:rsidR="00CE7C65" w:rsidRPr="00CE7C65" w:rsidRDefault="00CE7C65" w:rsidP="00CE7C65">
            <w:r w:rsidRPr="00CE7C65">
              <w:t>Action</w:t>
            </w:r>
          </w:p>
        </w:tc>
      </w:tr>
      <w:bookmarkEnd w:id="1"/>
      <w:bookmarkEnd w:id="9"/>
      <w:tr w:rsidR="00CD6848" w14:paraId="38A62C82" w14:textId="77777777" w:rsidTr="00626673">
        <w:trPr>
          <w:cantSplit/>
          <w:trHeight w:val="357"/>
        </w:trPr>
        <w:tc>
          <w:tcPr>
            <w:tcW w:w="9923" w:type="dxa"/>
            <w:gridSpan w:val="7"/>
            <w:tcBorders>
              <w:top w:val="single" w:sz="12" w:space="0" w:color="auto"/>
            </w:tcBorders>
          </w:tcPr>
          <w:p w14:paraId="1C8F185B" w14:textId="77777777" w:rsidR="00CD6848" w:rsidRDefault="00CD6848" w:rsidP="00F05E8B">
            <w:pPr>
              <w:jc w:val="center"/>
              <w:rPr>
                <w:b/>
              </w:rPr>
            </w:pPr>
            <w:r>
              <w:rPr>
                <w:b/>
              </w:rPr>
              <w:t>LIAISON STATEMENT</w:t>
            </w:r>
          </w:p>
        </w:tc>
      </w:tr>
      <w:tr w:rsidR="00CD6848" w14:paraId="3AEEDD62" w14:textId="77777777" w:rsidTr="00626673">
        <w:trPr>
          <w:cantSplit/>
          <w:trHeight w:val="357"/>
        </w:trPr>
        <w:tc>
          <w:tcPr>
            <w:tcW w:w="2127" w:type="dxa"/>
            <w:gridSpan w:val="4"/>
          </w:tcPr>
          <w:p w14:paraId="5A063BB6" w14:textId="77777777" w:rsidR="00CD6848" w:rsidRPr="003869CD" w:rsidRDefault="00CD6848" w:rsidP="00F05E8B">
            <w:pPr>
              <w:rPr>
                <w:b/>
                <w:bCs/>
              </w:rPr>
            </w:pPr>
            <w:r w:rsidRPr="003869CD">
              <w:rPr>
                <w:b/>
                <w:bCs/>
              </w:rPr>
              <w:t>For action to:</w:t>
            </w:r>
          </w:p>
        </w:tc>
        <w:tc>
          <w:tcPr>
            <w:tcW w:w="7796" w:type="dxa"/>
            <w:gridSpan w:val="3"/>
          </w:tcPr>
          <w:p w14:paraId="3C2D8FB5" w14:textId="1B9BFC71" w:rsidR="00CD6848" w:rsidRDefault="004612A3" w:rsidP="00F05E8B">
            <w:pPr>
              <w:pStyle w:val="LSForAction"/>
            </w:pPr>
            <w:r>
              <w:rPr>
                <w:rFonts w:eastAsia="MS Mincho"/>
                <w:lang w:val="fr-CH"/>
              </w:rPr>
              <w:t>ITU-T SG1</w:t>
            </w:r>
            <w:r>
              <w:rPr>
                <w:rFonts w:eastAsia="Malgun Gothic" w:hint="eastAsia"/>
                <w:lang w:val="fr-CH" w:eastAsia="ko-KR"/>
              </w:rPr>
              <w:t>3</w:t>
            </w:r>
            <w:r w:rsidR="00D51D0D">
              <w:rPr>
                <w:rFonts w:eastAsia="Malgun Gothic" w:hint="eastAsia"/>
                <w:lang w:val="fr-CH" w:eastAsia="ko-KR"/>
              </w:rPr>
              <w:t>;</w:t>
            </w:r>
            <w:r w:rsidR="00E37607">
              <w:rPr>
                <w:rFonts w:eastAsia="Malgun Gothic" w:hint="eastAsia"/>
                <w:lang w:val="fr-CH" w:eastAsia="ko-KR"/>
              </w:rPr>
              <w:t xml:space="preserve"> SCV</w:t>
            </w:r>
          </w:p>
        </w:tc>
      </w:tr>
      <w:tr w:rsidR="00CD6848" w14:paraId="2973018F" w14:textId="77777777" w:rsidTr="00626673">
        <w:trPr>
          <w:cantSplit/>
          <w:trHeight w:val="357"/>
        </w:trPr>
        <w:tc>
          <w:tcPr>
            <w:tcW w:w="2127" w:type="dxa"/>
            <w:gridSpan w:val="4"/>
          </w:tcPr>
          <w:p w14:paraId="78AFCF24" w14:textId="77777777" w:rsidR="00CD6848" w:rsidRPr="003869CD" w:rsidRDefault="00CD6848" w:rsidP="00F05E8B">
            <w:pPr>
              <w:rPr>
                <w:b/>
                <w:bCs/>
              </w:rPr>
            </w:pPr>
            <w:r w:rsidRPr="003869CD">
              <w:rPr>
                <w:b/>
                <w:bCs/>
              </w:rPr>
              <w:t>For comment to:</w:t>
            </w:r>
          </w:p>
        </w:tc>
        <w:tc>
          <w:tcPr>
            <w:tcW w:w="7796" w:type="dxa"/>
            <w:gridSpan w:val="3"/>
          </w:tcPr>
          <w:p w14:paraId="0BAA906B" w14:textId="77777777" w:rsidR="00CD6848" w:rsidRDefault="00CD6848" w:rsidP="00F05E8B">
            <w:pPr>
              <w:pStyle w:val="LSForComment"/>
            </w:pPr>
          </w:p>
        </w:tc>
      </w:tr>
      <w:tr w:rsidR="00CD6848" w:rsidRPr="007009F7" w14:paraId="057FE425" w14:textId="77777777" w:rsidTr="00626673">
        <w:trPr>
          <w:cantSplit/>
          <w:trHeight w:val="357"/>
        </w:trPr>
        <w:tc>
          <w:tcPr>
            <w:tcW w:w="2127" w:type="dxa"/>
            <w:gridSpan w:val="4"/>
          </w:tcPr>
          <w:p w14:paraId="3C0F96A1" w14:textId="77777777" w:rsidR="00CD6848" w:rsidRPr="003869CD" w:rsidRDefault="00CD6848" w:rsidP="00F05E8B">
            <w:pPr>
              <w:rPr>
                <w:b/>
                <w:bCs/>
              </w:rPr>
            </w:pPr>
            <w:r w:rsidRPr="003869CD">
              <w:rPr>
                <w:b/>
                <w:bCs/>
              </w:rPr>
              <w:t>For information to:</w:t>
            </w:r>
          </w:p>
        </w:tc>
        <w:tc>
          <w:tcPr>
            <w:tcW w:w="7796" w:type="dxa"/>
            <w:gridSpan w:val="3"/>
          </w:tcPr>
          <w:p w14:paraId="3D12637F" w14:textId="3BF66DC3" w:rsidR="00CD6848" w:rsidRPr="007009F7" w:rsidRDefault="00CD6848" w:rsidP="004612A3">
            <w:pPr>
              <w:pStyle w:val="LSForInfo"/>
              <w:rPr>
                <w:lang w:val="fr-CH"/>
              </w:rPr>
            </w:pPr>
          </w:p>
        </w:tc>
      </w:tr>
      <w:tr w:rsidR="00CD6848" w14:paraId="4CA876B2" w14:textId="77777777" w:rsidTr="00626673">
        <w:trPr>
          <w:cantSplit/>
          <w:trHeight w:val="357"/>
        </w:trPr>
        <w:tc>
          <w:tcPr>
            <w:tcW w:w="2127" w:type="dxa"/>
            <w:gridSpan w:val="4"/>
          </w:tcPr>
          <w:p w14:paraId="16600D3A" w14:textId="77777777" w:rsidR="00CD6848" w:rsidRDefault="00CD6848" w:rsidP="00F05E8B">
            <w:pPr>
              <w:rPr>
                <w:b/>
                <w:bCs/>
              </w:rPr>
            </w:pPr>
            <w:r>
              <w:rPr>
                <w:b/>
                <w:bCs/>
              </w:rPr>
              <w:t>Approval:</w:t>
            </w:r>
          </w:p>
        </w:tc>
        <w:tc>
          <w:tcPr>
            <w:tcW w:w="7796" w:type="dxa"/>
            <w:gridSpan w:val="3"/>
          </w:tcPr>
          <w:p w14:paraId="7DE81CDE" w14:textId="4565AD36" w:rsidR="00CD6848" w:rsidRPr="009D163A" w:rsidRDefault="009D163A" w:rsidP="009D163A">
            <w:pPr>
              <w:rPr>
                <w:bCs/>
              </w:rPr>
            </w:pPr>
            <w:r w:rsidRPr="009D163A">
              <w:rPr>
                <w:bCs/>
              </w:rPr>
              <w:t xml:space="preserve">ITU-T SG17 meeting (Geneva, </w:t>
            </w:r>
            <w:r>
              <w:rPr>
                <w:bCs/>
              </w:rPr>
              <w:t>27</w:t>
            </w:r>
            <w:r w:rsidRPr="009D163A">
              <w:rPr>
                <w:bCs/>
              </w:rPr>
              <w:t xml:space="preserve"> August - </w:t>
            </w:r>
            <w:r>
              <w:rPr>
                <w:bCs/>
              </w:rPr>
              <w:t>5 September 2019</w:t>
            </w:r>
            <w:r w:rsidRPr="009D163A">
              <w:rPr>
                <w:bCs/>
              </w:rPr>
              <w:t>)</w:t>
            </w:r>
          </w:p>
        </w:tc>
      </w:tr>
      <w:tr w:rsidR="00CD6848" w14:paraId="18D69991" w14:textId="77777777" w:rsidTr="00626673">
        <w:trPr>
          <w:cantSplit/>
          <w:trHeight w:val="357"/>
        </w:trPr>
        <w:tc>
          <w:tcPr>
            <w:tcW w:w="2127" w:type="dxa"/>
            <w:gridSpan w:val="4"/>
            <w:tcBorders>
              <w:bottom w:val="single" w:sz="12" w:space="0" w:color="auto"/>
            </w:tcBorders>
          </w:tcPr>
          <w:p w14:paraId="75DE62DA" w14:textId="77777777" w:rsidR="00CD6848" w:rsidRDefault="00CD6848" w:rsidP="00F05E8B">
            <w:pPr>
              <w:rPr>
                <w:b/>
                <w:bCs/>
              </w:rPr>
            </w:pPr>
            <w:r>
              <w:rPr>
                <w:b/>
                <w:bCs/>
              </w:rPr>
              <w:t>Deadline:</w:t>
            </w:r>
          </w:p>
        </w:tc>
        <w:tc>
          <w:tcPr>
            <w:tcW w:w="7796" w:type="dxa"/>
            <w:gridSpan w:val="3"/>
            <w:tcBorders>
              <w:bottom w:val="single" w:sz="12" w:space="0" w:color="auto"/>
            </w:tcBorders>
          </w:tcPr>
          <w:p w14:paraId="6F833D61" w14:textId="25177538" w:rsidR="00CD6848" w:rsidRPr="009D163A" w:rsidRDefault="009D163A" w:rsidP="00F05E8B">
            <w:pPr>
              <w:pStyle w:val="LSDeadline"/>
              <w:rPr>
                <w:rFonts w:eastAsia="MS Mincho"/>
                <w:lang w:eastAsia="ja-JP"/>
              </w:rPr>
            </w:pPr>
            <w:r>
              <w:rPr>
                <w:rFonts w:eastAsia="MS Mincho" w:hint="eastAsia"/>
                <w:lang w:eastAsia="ja-JP"/>
              </w:rPr>
              <w:t>N/A</w:t>
            </w:r>
          </w:p>
        </w:tc>
      </w:tr>
      <w:tr w:rsidR="000260A1" w:rsidRPr="0035769E" w14:paraId="574D4B2C" w14:textId="77777777" w:rsidTr="000C397B">
        <w:trPr>
          <w:cantSplit/>
        </w:trPr>
        <w:tc>
          <w:tcPr>
            <w:tcW w:w="1607" w:type="dxa"/>
            <w:gridSpan w:val="2"/>
            <w:tcBorders>
              <w:top w:val="single" w:sz="8" w:space="0" w:color="auto"/>
              <w:bottom w:val="single" w:sz="8" w:space="0" w:color="auto"/>
            </w:tcBorders>
          </w:tcPr>
          <w:p w14:paraId="48A76415" w14:textId="77777777" w:rsidR="000260A1" w:rsidRPr="00136DDD" w:rsidRDefault="000260A1" w:rsidP="000260A1">
            <w:pPr>
              <w:rPr>
                <w:b/>
                <w:bCs/>
              </w:rPr>
            </w:pPr>
            <w:r w:rsidRPr="00136DDD">
              <w:rPr>
                <w:b/>
                <w:bCs/>
              </w:rPr>
              <w:t>Contact:</w:t>
            </w:r>
          </w:p>
        </w:tc>
        <w:tc>
          <w:tcPr>
            <w:tcW w:w="3780" w:type="dxa"/>
            <w:gridSpan w:val="4"/>
            <w:tcBorders>
              <w:top w:val="single" w:sz="8" w:space="0" w:color="auto"/>
              <w:bottom w:val="single" w:sz="8" w:space="0" w:color="auto"/>
            </w:tcBorders>
          </w:tcPr>
          <w:p w14:paraId="7512F3A1" w14:textId="77777777" w:rsidR="00621A87" w:rsidRDefault="00621A87" w:rsidP="000A6F41">
            <w:pPr>
              <w:rPr>
                <w:rFonts w:eastAsia="Malgun Gothic"/>
                <w:lang w:eastAsia="ko-KR"/>
              </w:rPr>
            </w:pPr>
            <w:r>
              <w:rPr>
                <w:rFonts w:eastAsia="Malgun Gothic"/>
                <w:lang w:eastAsia="ko-KR"/>
              </w:rPr>
              <w:t>Heung Youl Youm</w:t>
            </w:r>
          </w:p>
          <w:p w14:paraId="58B756D7" w14:textId="77EAC872" w:rsidR="000260A1" w:rsidRPr="00136DDD" w:rsidRDefault="00621A87" w:rsidP="00621A87">
            <w:r>
              <w:rPr>
                <w:rFonts w:eastAsia="Malgun Gothic"/>
                <w:lang w:eastAsia="ko-KR"/>
              </w:rPr>
              <w:t>ITU-T SG17 Chairman</w:t>
            </w:r>
          </w:p>
        </w:tc>
        <w:tc>
          <w:tcPr>
            <w:tcW w:w="4536" w:type="dxa"/>
            <w:tcBorders>
              <w:top w:val="single" w:sz="8" w:space="0" w:color="auto"/>
              <w:bottom w:val="single" w:sz="8" w:space="0" w:color="auto"/>
            </w:tcBorders>
          </w:tcPr>
          <w:p w14:paraId="0C8B4E73" w14:textId="045F42EA" w:rsidR="000260A1" w:rsidRPr="00061268" w:rsidRDefault="000260A1" w:rsidP="00621A87">
            <w:pPr>
              <w:rPr>
                <w:lang w:val="pt-BR"/>
              </w:rPr>
            </w:pPr>
            <w:r>
              <w:rPr>
                <w:lang w:val="pt-BR" w:eastAsia="zh-CN"/>
              </w:rPr>
              <w:br/>
              <w:t>E-mail:</w:t>
            </w:r>
            <w:r w:rsidR="000A6F41">
              <w:rPr>
                <w:rFonts w:eastAsia="Malgun Gothic" w:hint="eastAsia"/>
                <w:lang w:val="pt-BR" w:eastAsia="ko-KR"/>
              </w:rPr>
              <w:t xml:space="preserve"> </w:t>
            </w:r>
            <w:hyperlink r:id="rId11" w:history="1">
              <w:r w:rsidR="00621A87" w:rsidRPr="00FB26A9">
                <w:rPr>
                  <w:rStyle w:val="Hyperlink"/>
                  <w:rFonts w:ascii="Times New Roman" w:eastAsia="Malgun Gothic" w:hAnsi="Times New Roman"/>
                  <w:lang w:val="pt-BR" w:eastAsia="ko-KR"/>
                </w:rPr>
                <w:t>hyyoum@sch.ac.kr</w:t>
              </w:r>
            </w:hyperlink>
          </w:p>
        </w:tc>
      </w:tr>
      <w:tr w:rsidR="00621A87" w:rsidRPr="0035769E" w14:paraId="021954DF" w14:textId="77777777" w:rsidTr="00621A87">
        <w:trPr>
          <w:cantSplit/>
        </w:trPr>
        <w:tc>
          <w:tcPr>
            <w:tcW w:w="1607" w:type="dxa"/>
            <w:gridSpan w:val="2"/>
            <w:tcBorders>
              <w:top w:val="single" w:sz="8" w:space="0" w:color="auto"/>
              <w:bottom w:val="single" w:sz="8" w:space="0" w:color="auto"/>
            </w:tcBorders>
          </w:tcPr>
          <w:p w14:paraId="1F9ECACE" w14:textId="77777777" w:rsidR="00621A87" w:rsidRPr="00136DDD" w:rsidRDefault="00621A87" w:rsidP="00A95B14">
            <w:pPr>
              <w:rPr>
                <w:b/>
                <w:bCs/>
              </w:rPr>
            </w:pPr>
            <w:r w:rsidRPr="00136DDD">
              <w:rPr>
                <w:b/>
                <w:bCs/>
              </w:rPr>
              <w:t>Contact:</w:t>
            </w:r>
          </w:p>
        </w:tc>
        <w:tc>
          <w:tcPr>
            <w:tcW w:w="3780" w:type="dxa"/>
            <w:gridSpan w:val="4"/>
            <w:tcBorders>
              <w:top w:val="single" w:sz="8" w:space="0" w:color="auto"/>
              <w:bottom w:val="single" w:sz="8" w:space="0" w:color="auto"/>
            </w:tcBorders>
          </w:tcPr>
          <w:p w14:paraId="29D70552" w14:textId="6BE570B0" w:rsidR="00621A87" w:rsidRPr="00621A87" w:rsidRDefault="00621A87" w:rsidP="00621A87">
            <w:pPr>
              <w:rPr>
                <w:rFonts w:eastAsia="Malgun Gothic"/>
                <w:lang w:eastAsia="ko-KR"/>
              </w:rPr>
            </w:pPr>
            <w:r>
              <w:rPr>
                <w:rFonts w:eastAsia="Malgun Gothic" w:hint="eastAsia"/>
                <w:lang w:eastAsia="ko-KR"/>
              </w:rPr>
              <w:t>Dong-Hi SIM</w:t>
            </w:r>
            <w:r w:rsidRPr="00621A87">
              <w:rPr>
                <w:rFonts w:eastAsia="Malgun Gothic"/>
                <w:lang w:eastAsia="ko-KR"/>
              </w:rPr>
              <w:br/>
            </w:r>
            <w:r>
              <w:rPr>
                <w:rFonts w:eastAsia="Malgun Gothic" w:hint="eastAsia"/>
                <w:lang w:eastAsia="ko-KR"/>
              </w:rPr>
              <w:t xml:space="preserve">Associate </w:t>
            </w:r>
            <w:r w:rsidRPr="00621A87">
              <w:rPr>
                <w:rFonts w:eastAsia="Malgun Gothic"/>
                <w:lang w:eastAsia="ko-KR"/>
              </w:rPr>
              <w:t>Rapporteur of ITU-T Q</w:t>
            </w:r>
            <w:r>
              <w:rPr>
                <w:rFonts w:eastAsia="Malgun Gothic" w:hint="eastAsia"/>
                <w:lang w:eastAsia="ko-KR"/>
              </w:rPr>
              <w:t>4</w:t>
            </w:r>
            <w:r w:rsidRPr="00621A87">
              <w:rPr>
                <w:rFonts w:eastAsia="Malgun Gothic"/>
                <w:lang w:eastAsia="ko-KR"/>
              </w:rPr>
              <w:t>/17</w:t>
            </w:r>
            <w:r>
              <w:rPr>
                <w:rFonts w:eastAsia="Malgun Gothic" w:hint="eastAsia"/>
                <w:lang w:eastAsia="ko-KR"/>
              </w:rPr>
              <w:t>, SK Telecom</w:t>
            </w:r>
          </w:p>
        </w:tc>
        <w:tc>
          <w:tcPr>
            <w:tcW w:w="4536" w:type="dxa"/>
            <w:tcBorders>
              <w:top w:val="single" w:sz="8" w:space="0" w:color="auto"/>
              <w:bottom w:val="single" w:sz="8" w:space="0" w:color="auto"/>
            </w:tcBorders>
          </w:tcPr>
          <w:p w14:paraId="38F3F561" w14:textId="77777777" w:rsidR="00621A87" w:rsidRPr="00061268" w:rsidRDefault="00621A87" w:rsidP="00A95B14">
            <w:pPr>
              <w:rPr>
                <w:lang w:val="pt-BR" w:eastAsia="zh-CN"/>
              </w:rPr>
            </w:pPr>
            <w:r>
              <w:rPr>
                <w:lang w:val="pt-BR" w:eastAsia="zh-CN"/>
              </w:rPr>
              <w:br/>
              <w:t>E-mail:</w:t>
            </w:r>
            <w:r w:rsidRPr="00621A87">
              <w:rPr>
                <w:rFonts w:hint="eastAsia"/>
                <w:lang w:val="pt-BR" w:eastAsia="zh-CN"/>
              </w:rPr>
              <w:t xml:space="preserve"> </w:t>
            </w:r>
            <w:hyperlink r:id="rId12" w:history="1">
              <w:r w:rsidRPr="00621A87">
                <w:rPr>
                  <w:rStyle w:val="Hyperlink"/>
                  <w:rFonts w:ascii="Times New Roman" w:hAnsi="Times New Roman" w:hint="eastAsia"/>
                  <w:lang w:val="pt-BR" w:eastAsia="zh-CN"/>
                </w:rPr>
                <w:t>donghee.shim@sk.com</w:t>
              </w:r>
            </w:hyperlink>
            <w:r w:rsidRPr="00621A87">
              <w:rPr>
                <w:rFonts w:hint="eastAsia"/>
                <w:lang w:val="pt-BR" w:eastAsia="zh-CN"/>
              </w:rPr>
              <w:t xml:space="preserve">  </w:t>
            </w:r>
            <w:r w:rsidRPr="00061268">
              <w:rPr>
                <w:lang w:val="pt-BR" w:eastAsia="zh-CN"/>
              </w:rPr>
              <w:t xml:space="preserve"> </w:t>
            </w:r>
          </w:p>
        </w:tc>
      </w:tr>
    </w:tbl>
    <w:p w14:paraId="5870F72E" w14:textId="77777777" w:rsidR="000C397B" w:rsidRPr="00621A87" w:rsidRDefault="000C397B" w:rsidP="0089088E">
      <w:pPr>
        <w:rPr>
          <w:lang w:val="fr-CH"/>
        </w:rPr>
      </w:pPr>
    </w:p>
    <w:p w14:paraId="5FFD9350" w14:textId="33F2F9BC" w:rsidR="00C27940" w:rsidRDefault="00C27940" w:rsidP="00E37607">
      <w:pPr>
        <w:rPr>
          <w:rFonts w:eastAsia="Malgun Gothic"/>
          <w:lang w:eastAsia="ko-KR"/>
        </w:rPr>
      </w:pPr>
      <w:r>
        <w:rPr>
          <w:rFonts w:eastAsia="Malgun Gothic" w:hint="eastAsia"/>
          <w:lang w:eastAsia="ko-KR"/>
        </w:rPr>
        <w:t xml:space="preserve">ITU-T SG17 has identified </w:t>
      </w:r>
      <w:r>
        <w:rPr>
          <w:rFonts w:eastAsia="Malgun Gothic"/>
          <w:lang w:eastAsia="ko-KR"/>
        </w:rPr>
        <w:t>that</w:t>
      </w:r>
      <w:r w:rsidR="00E37607">
        <w:rPr>
          <w:rFonts w:eastAsia="Malgun Gothic" w:hint="eastAsia"/>
          <w:lang w:eastAsia="ko-KR"/>
        </w:rPr>
        <w:t xml:space="preserve"> the term </w:t>
      </w:r>
      <w:r w:rsidR="00E37607">
        <w:rPr>
          <w:rFonts w:eastAsia="Malgun Gothic"/>
          <w:lang w:eastAsia="ko-KR"/>
        </w:rPr>
        <w:t>‘</w:t>
      </w:r>
      <w:r w:rsidR="00E37607">
        <w:rPr>
          <w:rFonts w:eastAsia="Malgun Gothic" w:hint="eastAsia"/>
          <w:lang w:eastAsia="ko-KR"/>
        </w:rPr>
        <w:t>key</w:t>
      </w:r>
      <w:r w:rsidR="00E37607">
        <w:rPr>
          <w:rFonts w:eastAsia="Malgun Gothic"/>
          <w:lang w:eastAsia="ko-KR"/>
        </w:rPr>
        <w:t>’</w:t>
      </w:r>
      <w:r w:rsidR="00E37607">
        <w:rPr>
          <w:rFonts w:eastAsia="Malgun Gothic" w:hint="eastAsia"/>
          <w:lang w:eastAsia="ko-KR"/>
        </w:rPr>
        <w:t xml:space="preserve"> </w:t>
      </w:r>
      <w:r>
        <w:rPr>
          <w:rFonts w:eastAsia="Malgun Gothic"/>
          <w:lang w:eastAsia="ko-KR"/>
        </w:rPr>
        <w:t xml:space="preserve">used in draft Recommendations </w:t>
      </w:r>
      <w:r>
        <w:rPr>
          <w:rFonts w:eastAsia="Malgun Gothic" w:hint="eastAsia"/>
          <w:lang w:eastAsia="ko-KR"/>
        </w:rPr>
        <w:t xml:space="preserve">related to quantum-based security </w:t>
      </w:r>
      <w:r>
        <w:rPr>
          <w:rFonts w:eastAsia="Malgun Gothic"/>
          <w:lang w:eastAsia="ko-KR"/>
        </w:rPr>
        <w:t xml:space="preserve">in </w:t>
      </w:r>
      <w:r>
        <w:rPr>
          <w:lang w:eastAsia="ko-KR"/>
        </w:rPr>
        <w:t>Q4/17 and Q16/13</w:t>
      </w:r>
      <w:r>
        <w:rPr>
          <w:rFonts w:eastAsia="Malgun Gothic" w:hint="eastAsia"/>
          <w:lang w:eastAsia="ko-KR"/>
        </w:rPr>
        <w:t xml:space="preserve"> </w:t>
      </w:r>
      <w:r w:rsidR="00E37607">
        <w:rPr>
          <w:rFonts w:eastAsia="Malgun Gothic" w:hint="eastAsia"/>
          <w:lang w:eastAsia="ko-KR"/>
        </w:rPr>
        <w:t xml:space="preserve">requires </w:t>
      </w:r>
      <w:r w:rsidR="00E37607">
        <w:rPr>
          <w:rFonts w:eastAsia="Malgun Gothic"/>
          <w:lang w:eastAsia="ko-KR"/>
        </w:rPr>
        <w:t>harmonization</w:t>
      </w:r>
      <w:r>
        <w:rPr>
          <w:rFonts w:eastAsia="Malgun Gothic"/>
          <w:lang w:eastAsia="ko-KR"/>
        </w:rPr>
        <w:t>, see details in Annex</w:t>
      </w:r>
    </w:p>
    <w:p w14:paraId="0F1372AA" w14:textId="0FC5C5F6" w:rsidR="00BC407B" w:rsidRPr="005821A5" w:rsidRDefault="00E37607" w:rsidP="00E37607">
      <w:pPr>
        <w:rPr>
          <w:rFonts w:eastAsia="Malgun Gothic"/>
          <w:lang w:eastAsia="ko-KR"/>
        </w:rPr>
      </w:pPr>
      <w:r>
        <w:rPr>
          <w:rFonts w:eastAsia="Malgun Gothic" w:hint="eastAsia"/>
          <w:lang w:eastAsia="ko-KR"/>
        </w:rPr>
        <w:t xml:space="preserve">SG17 </w:t>
      </w:r>
      <w:r w:rsidR="00C27940">
        <w:rPr>
          <w:rFonts w:eastAsia="Malgun Gothic"/>
          <w:lang w:eastAsia="ko-KR"/>
        </w:rPr>
        <w:t>propose to</w:t>
      </w:r>
      <w:r>
        <w:rPr>
          <w:rFonts w:eastAsia="Malgun Gothic" w:hint="eastAsia"/>
          <w:lang w:eastAsia="ko-KR"/>
        </w:rPr>
        <w:t xml:space="preserve"> SG13 to harmonize the term </w:t>
      </w:r>
      <w:r>
        <w:rPr>
          <w:rFonts w:eastAsia="Malgun Gothic"/>
          <w:lang w:eastAsia="ko-KR"/>
        </w:rPr>
        <w:t>‘</w:t>
      </w:r>
      <w:r>
        <w:rPr>
          <w:rFonts w:eastAsia="Malgun Gothic" w:hint="eastAsia"/>
          <w:lang w:eastAsia="ko-KR"/>
        </w:rPr>
        <w:t>key</w:t>
      </w:r>
      <w:r>
        <w:rPr>
          <w:rFonts w:eastAsia="Malgun Gothic"/>
          <w:lang w:eastAsia="ko-KR"/>
        </w:rPr>
        <w:t>’</w:t>
      </w:r>
      <w:r w:rsidR="00C27940">
        <w:rPr>
          <w:rFonts w:eastAsia="Malgun Gothic" w:hint="eastAsia"/>
          <w:lang w:eastAsia="ko-KR"/>
        </w:rPr>
        <w:t xml:space="preserve"> </w:t>
      </w:r>
      <w:r w:rsidR="00C27940">
        <w:rPr>
          <w:rFonts w:eastAsia="Malgun Gothic"/>
          <w:lang w:eastAsia="ko-KR"/>
        </w:rPr>
        <w:t xml:space="preserve">and its definition </w:t>
      </w:r>
      <w:r w:rsidR="00C27940">
        <w:rPr>
          <w:rFonts w:eastAsia="Malgun Gothic" w:hint="eastAsia"/>
          <w:lang w:eastAsia="ko-KR"/>
        </w:rPr>
        <w:t>across two SGs</w:t>
      </w:r>
      <w:r w:rsidR="00C27940">
        <w:rPr>
          <w:rFonts w:eastAsia="Malgun Gothic"/>
          <w:lang w:eastAsia="ko-KR"/>
        </w:rPr>
        <w:t>,</w:t>
      </w:r>
      <w:r>
        <w:rPr>
          <w:rFonts w:eastAsia="Malgun Gothic" w:hint="eastAsia"/>
          <w:lang w:eastAsia="ko-KR"/>
        </w:rPr>
        <w:t xml:space="preserve"> </w:t>
      </w:r>
      <w:r w:rsidR="00C27940">
        <w:rPr>
          <w:rFonts w:eastAsia="Malgun Gothic"/>
          <w:lang w:eastAsia="ko-KR"/>
        </w:rPr>
        <w:t>with the assistance of</w:t>
      </w:r>
      <w:r w:rsidR="00C27940">
        <w:rPr>
          <w:rFonts w:eastAsia="Malgun Gothic" w:hint="eastAsia"/>
          <w:lang w:eastAsia="ko-KR"/>
        </w:rPr>
        <w:t xml:space="preserve"> SCV</w:t>
      </w:r>
      <w:r w:rsidR="00C27940">
        <w:rPr>
          <w:rFonts w:eastAsia="Malgun Gothic"/>
          <w:lang w:eastAsia="ko-KR"/>
        </w:rPr>
        <w:t xml:space="preserve"> </w:t>
      </w:r>
      <w:r w:rsidR="00C27940">
        <w:rPr>
          <w:rFonts w:eastAsia="Malgun Gothic" w:hint="eastAsia"/>
          <w:lang w:eastAsia="ko-KR"/>
        </w:rPr>
        <w:t xml:space="preserve">(Standardization </w:t>
      </w:r>
      <w:r w:rsidR="00C27940">
        <w:rPr>
          <w:rFonts w:eastAsia="Malgun Gothic"/>
          <w:lang w:eastAsia="ko-KR"/>
        </w:rPr>
        <w:t>Committee</w:t>
      </w:r>
      <w:r w:rsidR="00C27940">
        <w:rPr>
          <w:rFonts w:eastAsia="Malgun Gothic" w:hint="eastAsia"/>
          <w:lang w:eastAsia="ko-KR"/>
        </w:rPr>
        <w:t xml:space="preserve"> for Vocabulary)</w:t>
      </w:r>
      <w:r w:rsidR="00C27940">
        <w:rPr>
          <w:rFonts w:eastAsia="Malgun Gothic"/>
          <w:lang w:eastAsia="ko-KR"/>
        </w:rPr>
        <w:t xml:space="preserve"> if </w:t>
      </w:r>
      <w:r w:rsidR="004E68BF">
        <w:rPr>
          <w:rFonts w:eastAsia="Malgun Gothic"/>
          <w:lang w:eastAsia="ko-KR"/>
        </w:rPr>
        <w:t>appropriate</w:t>
      </w:r>
      <w:r w:rsidR="00C27940">
        <w:rPr>
          <w:rFonts w:eastAsia="Malgun Gothic"/>
          <w:lang w:eastAsia="ko-KR"/>
        </w:rPr>
        <w:t>.</w:t>
      </w:r>
    </w:p>
    <w:p w14:paraId="585DBE9C" w14:textId="77777777" w:rsidR="0089185C" w:rsidRDefault="0089185C" w:rsidP="0089185C">
      <w:pPr>
        <w:spacing w:before="0" w:after="160" w:line="256" w:lineRule="auto"/>
        <w:rPr>
          <w:rFonts w:eastAsia="Malgun Gothic"/>
          <w:lang w:eastAsia="ko-KR"/>
        </w:rPr>
      </w:pPr>
    </w:p>
    <w:p w14:paraId="48051F4F" w14:textId="3933F01F" w:rsidR="00D05569" w:rsidRPr="0035769E" w:rsidRDefault="00D05569" w:rsidP="0035769E">
      <w:pPr>
        <w:tabs>
          <w:tab w:val="left" w:pos="6280"/>
        </w:tabs>
      </w:pPr>
      <w:r>
        <w:rPr>
          <w:rFonts w:eastAsia="MS Mincho"/>
          <w:b/>
          <w:bCs/>
        </w:rPr>
        <w:t>A</w:t>
      </w:r>
      <w:r w:rsidR="00C27940">
        <w:rPr>
          <w:rFonts w:eastAsia="MS Mincho"/>
          <w:b/>
          <w:bCs/>
        </w:rPr>
        <w:t>nnex</w:t>
      </w:r>
      <w:r>
        <w:rPr>
          <w:rFonts w:eastAsia="MS Mincho"/>
          <w:b/>
          <w:bCs/>
        </w:rPr>
        <w:t>:</w:t>
      </w:r>
      <w:r w:rsidR="0035769E">
        <w:rPr>
          <w:rFonts w:eastAsia="MS Mincho"/>
          <w:b/>
          <w:bCs/>
        </w:rPr>
        <w:tab/>
      </w:r>
    </w:p>
    <w:p w14:paraId="078EE9A7" w14:textId="04B8D268" w:rsidR="00EA7489" w:rsidRPr="00C27940" w:rsidRDefault="00E37607" w:rsidP="00C27940">
      <w:pPr>
        <w:pStyle w:val="ListParagraph"/>
        <w:numPr>
          <w:ilvl w:val="0"/>
          <w:numId w:val="15"/>
        </w:numPr>
        <w:rPr>
          <w:rFonts w:eastAsia="Malgun Gothic"/>
          <w:lang w:eastAsia="ko-KR"/>
        </w:rPr>
      </w:pPr>
      <w:r w:rsidRPr="00C27940">
        <w:rPr>
          <w:color w:val="000000"/>
          <w:shd w:val="clear" w:color="auto" w:fill="FFFFFF"/>
        </w:rPr>
        <w:t xml:space="preserve">Proposal to </w:t>
      </w:r>
      <w:r w:rsidR="00C27940">
        <w:rPr>
          <w:color w:val="000000"/>
          <w:shd w:val="clear" w:color="auto" w:fill="FFFFFF"/>
        </w:rPr>
        <w:t>harmonize</w:t>
      </w:r>
      <w:r w:rsidRPr="00C27940">
        <w:rPr>
          <w:color w:val="000000"/>
          <w:shd w:val="clear" w:color="auto" w:fill="FFFFFF"/>
        </w:rPr>
        <w:t xml:space="preserve"> the </w:t>
      </w:r>
      <w:r w:rsidR="00C27940">
        <w:rPr>
          <w:color w:val="000000"/>
          <w:shd w:val="clear" w:color="auto" w:fill="FFFFFF"/>
        </w:rPr>
        <w:t xml:space="preserve">term and </w:t>
      </w:r>
      <w:r w:rsidRPr="00C27940">
        <w:rPr>
          <w:color w:val="000000"/>
          <w:shd w:val="clear" w:color="auto" w:fill="FFFFFF"/>
        </w:rPr>
        <w:t xml:space="preserve">definition of </w:t>
      </w:r>
      <w:r w:rsidR="00C27940">
        <w:rPr>
          <w:color w:val="000000"/>
          <w:shd w:val="clear" w:color="auto" w:fill="FFFFFF"/>
        </w:rPr>
        <w:t xml:space="preserve"> ‘</w:t>
      </w:r>
      <w:r w:rsidRPr="00C27940">
        <w:rPr>
          <w:color w:val="000000"/>
          <w:shd w:val="clear" w:color="auto" w:fill="FFFFFF"/>
        </w:rPr>
        <w:t>key</w:t>
      </w:r>
      <w:r w:rsidR="00C27940">
        <w:rPr>
          <w:color w:val="000000"/>
          <w:shd w:val="clear" w:color="auto" w:fill="FFFFFF"/>
        </w:rPr>
        <w:t>’</w:t>
      </w:r>
      <w:r w:rsidRPr="00C27940">
        <w:rPr>
          <w:color w:val="000000"/>
          <w:shd w:val="clear" w:color="auto" w:fill="FFFFFF"/>
        </w:rPr>
        <w:t xml:space="preserve"> used in </w:t>
      </w:r>
      <w:r w:rsidR="00C27940">
        <w:rPr>
          <w:rFonts w:eastAsia="Malgun Gothic" w:hint="eastAsia"/>
          <w:lang w:eastAsia="ko-KR"/>
        </w:rPr>
        <w:t>quantum</w:t>
      </w:r>
      <w:r w:rsidR="00C27940">
        <w:rPr>
          <w:rFonts w:eastAsia="Malgun Gothic"/>
          <w:lang w:eastAsia="ko-KR"/>
        </w:rPr>
        <w:t xml:space="preserve"> related</w:t>
      </w:r>
      <w:r w:rsidRPr="00C27940">
        <w:rPr>
          <w:color w:val="000000"/>
          <w:shd w:val="clear" w:color="auto" w:fill="FFFFFF"/>
        </w:rPr>
        <w:t xml:space="preserve"> draft</w:t>
      </w:r>
      <w:r w:rsidRPr="00C27940">
        <w:rPr>
          <w:rFonts w:eastAsia="Malgun Gothic" w:hint="eastAsia"/>
          <w:color w:val="000000"/>
          <w:shd w:val="clear" w:color="auto" w:fill="FFFFFF"/>
          <w:lang w:eastAsia="ko-KR"/>
        </w:rPr>
        <w:t xml:space="preserve"> </w:t>
      </w:r>
      <w:r w:rsidR="00C27940">
        <w:rPr>
          <w:color w:val="000000"/>
          <w:shd w:val="clear" w:color="auto" w:fill="FFFFFF"/>
        </w:rPr>
        <w:t>R</w:t>
      </w:r>
      <w:r w:rsidRPr="00C27940">
        <w:rPr>
          <w:color w:val="000000"/>
          <w:shd w:val="clear" w:color="auto" w:fill="FFFFFF"/>
        </w:rPr>
        <w:t xml:space="preserve">ecommendations </w:t>
      </w:r>
      <w:r w:rsidR="00C27940">
        <w:rPr>
          <w:color w:val="000000"/>
          <w:shd w:val="clear" w:color="auto" w:fill="FFFFFF"/>
        </w:rPr>
        <w:t>in</w:t>
      </w:r>
      <w:r w:rsidRPr="00C27940">
        <w:rPr>
          <w:color w:val="000000"/>
          <w:shd w:val="clear" w:color="auto" w:fill="FFFFFF"/>
        </w:rPr>
        <w:t xml:space="preserve"> SG17 and SG13</w:t>
      </w:r>
      <w:r w:rsidRPr="00C27940">
        <w:rPr>
          <w:rFonts w:eastAsia="Malgun Gothic" w:hint="eastAsia"/>
          <w:color w:val="000000"/>
          <w:shd w:val="clear" w:color="auto" w:fill="FFFFFF"/>
          <w:lang w:eastAsia="ko-KR"/>
        </w:rPr>
        <w:t xml:space="preserve"> </w:t>
      </w:r>
      <w:r w:rsidR="00C27940">
        <w:rPr>
          <w:rFonts w:eastAsia="Malgun Gothic"/>
          <w:color w:val="000000"/>
          <w:shd w:val="clear" w:color="auto" w:fill="FFFFFF"/>
          <w:lang w:eastAsia="ko-KR"/>
        </w:rPr>
        <w:t xml:space="preserve"> </w:t>
      </w:r>
    </w:p>
    <w:p w14:paraId="08FAF0EC" w14:textId="09A800DD" w:rsidR="00C27940" w:rsidRDefault="00C27940">
      <w:pPr>
        <w:spacing w:before="0" w:after="160" w:line="259" w:lineRule="auto"/>
        <w:rPr>
          <w:rFonts w:eastAsia="Malgun Gothic"/>
          <w:lang w:eastAsia="ko-KR"/>
        </w:rPr>
      </w:pPr>
      <w:r>
        <w:rPr>
          <w:rFonts w:eastAsia="Malgun Gothic"/>
          <w:lang w:eastAsia="ko-KR"/>
        </w:rPr>
        <w:br w:type="page"/>
      </w:r>
    </w:p>
    <w:p w14:paraId="4E078808" w14:textId="31BCF48F" w:rsidR="00C27940" w:rsidRPr="00C27940" w:rsidRDefault="00C27940" w:rsidP="00C27940">
      <w:pPr>
        <w:jc w:val="center"/>
        <w:rPr>
          <w:rFonts w:asciiTheme="majorBidi" w:eastAsia="MS Mincho" w:hAnsiTheme="majorBidi"/>
          <w:b/>
          <w:bCs/>
          <w:color w:val="0000FF"/>
          <w:u w:val="single"/>
        </w:rPr>
      </w:pPr>
      <w:r>
        <w:rPr>
          <w:rFonts w:eastAsia="MS Mincho"/>
          <w:b/>
          <w:bCs/>
        </w:rPr>
        <w:lastRenderedPageBreak/>
        <w:t>Annex</w:t>
      </w:r>
      <w:r>
        <w:rPr>
          <w:rStyle w:val="Hyperlink"/>
          <w:rFonts w:eastAsia="MS Mincho"/>
          <w:b/>
          <w:bCs/>
        </w:rPr>
        <w:br/>
      </w:r>
      <w:r w:rsidRPr="00C27940">
        <w:rPr>
          <w:color w:val="000000"/>
          <w:shd w:val="clear" w:color="auto" w:fill="FFFFFF"/>
        </w:rPr>
        <w:t xml:space="preserve">Proposal to harmonize the term and definition of ‘key’ used in </w:t>
      </w:r>
      <w:r w:rsidRPr="00C27940">
        <w:rPr>
          <w:rFonts w:eastAsia="Malgun Gothic" w:hint="eastAsia"/>
          <w:lang w:eastAsia="ko-KR"/>
        </w:rPr>
        <w:t>quantum</w:t>
      </w:r>
      <w:r w:rsidRPr="00C27940">
        <w:rPr>
          <w:rFonts w:eastAsia="Malgun Gothic"/>
          <w:lang w:eastAsia="ko-KR"/>
        </w:rPr>
        <w:t xml:space="preserve"> related</w:t>
      </w:r>
      <w:r w:rsidRPr="00C27940">
        <w:rPr>
          <w:color w:val="000000"/>
          <w:shd w:val="clear" w:color="auto" w:fill="FFFFFF"/>
        </w:rPr>
        <w:t xml:space="preserve"> draft</w:t>
      </w:r>
      <w:r w:rsidRPr="00C27940">
        <w:rPr>
          <w:rFonts w:eastAsia="Malgun Gothic" w:hint="eastAsia"/>
          <w:color w:val="000000"/>
          <w:shd w:val="clear" w:color="auto" w:fill="FFFFFF"/>
          <w:lang w:eastAsia="ko-KR"/>
        </w:rPr>
        <w:t xml:space="preserve"> </w:t>
      </w:r>
      <w:r>
        <w:rPr>
          <w:color w:val="000000"/>
          <w:shd w:val="clear" w:color="auto" w:fill="FFFFFF"/>
        </w:rPr>
        <w:t>R</w:t>
      </w:r>
      <w:r w:rsidRPr="00C27940">
        <w:rPr>
          <w:color w:val="000000"/>
          <w:shd w:val="clear" w:color="auto" w:fill="FFFFFF"/>
        </w:rPr>
        <w:t xml:space="preserve">ecommendations </w:t>
      </w:r>
      <w:r>
        <w:rPr>
          <w:color w:val="000000"/>
          <w:shd w:val="clear" w:color="auto" w:fill="FFFFFF"/>
        </w:rPr>
        <w:t>in</w:t>
      </w:r>
      <w:r w:rsidRPr="00C27940">
        <w:rPr>
          <w:color w:val="000000"/>
          <w:shd w:val="clear" w:color="auto" w:fill="FFFFFF"/>
        </w:rPr>
        <w:t xml:space="preserve"> SG17 and SG13</w:t>
      </w:r>
    </w:p>
    <w:p w14:paraId="150FED56" w14:textId="77777777" w:rsidR="00C27940" w:rsidRDefault="00C27940" w:rsidP="00C27940">
      <w:pPr>
        <w:pStyle w:val="ListParagraph"/>
        <w:tabs>
          <w:tab w:val="center" w:pos="4819"/>
        </w:tabs>
        <w:ind w:left="360"/>
        <w:rPr>
          <w:b/>
        </w:rPr>
      </w:pPr>
    </w:p>
    <w:p w14:paraId="23FEA930" w14:textId="63FDA781" w:rsidR="00C27940" w:rsidRDefault="00C27940" w:rsidP="00C27940">
      <w:pPr>
        <w:pStyle w:val="ListParagraph"/>
        <w:numPr>
          <w:ilvl w:val="0"/>
          <w:numId w:val="16"/>
        </w:numPr>
        <w:tabs>
          <w:tab w:val="center" w:pos="4819"/>
        </w:tabs>
        <w:rPr>
          <w:b/>
        </w:rPr>
      </w:pPr>
      <w:r>
        <w:rPr>
          <w:b/>
        </w:rPr>
        <w:t>Rationale</w:t>
      </w:r>
    </w:p>
    <w:p w14:paraId="7BAD59DF" w14:textId="77777777" w:rsidR="00C27940" w:rsidRPr="00317DDC" w:rsidRDefault="00C27940" w:rsidP="00C27940">
      <w:pPr>
        <w:tabs>
          <w:tab w:val="center" w:pos="4819"/>
        </w:tabs>
        <w:rPr>
          <w:b/>
        </w:rPr>
      </w:pPr>
      <w:r>
        <w:rPr>
          <w:b/>
        </w:rPr>
        <w:t xml:space="preserve">1.1 Definition of bit strings going from key management layer to service layer </w:t>
      </w:r>
    </w:p>
    <w:p w14:paraId="445DAC22" w14:textId="77777777" w:rsidR="00C27940" w:rsidRDefault="00C27940" w:rsidP="00C27940">
      <w:pPr>
        <w:tabs>
          <w:tab w:val="center" w:pos="4819"/>
        </w:tabs>
        <w:jc w:val="both"/>
        <w:rPr>
          <w:rFonts w:eastAsia="SimSun"/>
          <w:iCs/>
          <w:color w:val="000000"/>
          <w:lang w:eastAsia="zh-CN"/>
        </w:rPr>
      </w:pPr>
      <w:r>
        <w:rPr>
          <w:rFonts w:eastAsia="SimSun"/>
          <w:iCs/>
          <w:color w:val="000000"/>
          <w:lang w:eastAsia="zh-CN"/>
        </w:rPr>
        <w:t>In C609 to SG17 Aug/Sep 2019 meeting, there is an editorial note making a point on the incoherence of the definition and use of the word ‘key’ in the draft recommendation X.sec_QKDN-ov.</w:t>
      </w:r>
    </w:p>
    <w:p w14:paraId="58A17263" w14:textId="77777777" w:rsidR="00C27940" w:rsidRDefault="00C27940" w:rsidP="00C27940">
      <w:pPr>
        <w:tabs>
          <w:tab w:val="left" w:pos="851"/>
        </w:tabs>
        <w:rPr>
          <w:rFonts w:eastAsia="SimSun"/>
          <w:lang w:eastAsia="zh-CN"/>
        </w:rPr>
      </w:pPr>
      <w:r w:rsidRPr="00DD538F">
        <w:t>“</w:t>
      </w:r>
      <w:r w:rsidRPr="004130C6">
        <w:rPr>
          <w:b/>
          <w:bCs/>
        </w:rPr>
        <w:t>3.1.</w:t>
      </w:r>
      <w:r>
        <w:rPr>
          <w:b/>
          <w:bCs/>
        </w:rPr>
        <w:t>3</w:t>
      </w:r>
      <w:r w:rsidRPr="004130C6">
        <w:rPr>
          <w:b/>
          <w:bCs/>
        </w:rPr>
        <w:tab/>
      </w:r>
      <w:bookmarkStart w:id="10" w:name="_Toc3235492"/>
      <w:bookmarkStart w:id="11" w:name="_Toc3235720"/>
      <w:r w:rsidRPr="00E70DE6">
        <w:rPr>
          <w:rFonts w:eastAsia="SimSun"/>
          <w:b/>
          <w:lang w:eastAsia="zh-CN"/>
        </w:rPr>
        <w:t xml:space="preserve"> </w:t>
      </w:r>
      <w:r w:rsidRPr="008133EF">
        <w:rPr>
          <w:rFonts w:eastAsia="SimSun"/>
          <w:b/>
          <w:lang w:eastAsia="zh-CN"/>
        </w:rPr>
        <w:t>Key</w:t>
      </w:r>
      <w:r w:rsidRPr="008133EF">
        <w:rPr>
          <w:rFonts w:eastAsia="SimSun"/>
          <w:lang w:eastAsia="zh-CN"/>
        </w:rPr>
        <w:t xml:space="preserve"> [</w:t>
      </w:r>
      <w:r>
        <w:rPr>
          <w:rFonts w:eastAsia="SimSun"/>
          <w:lang w:eastAsia="zh-CN"/>
        </w:rPr>
        <w:t>b-</w:t>
      </w:r>
      <w:r w:rsidRPr="008133EF">
        <w:rPr>
          <w:rFonts w:eastAsia="SimSun"/>
          <w:lang w:eastAsia="zh-CN"/>
        </w:rPr>
        <w:t>ETSI GS QKD 0014]: A key is a random digital data with an associated universally unique ID</w:t>
      </w:r>
      <w:bookmarkEnd w:id="10"/>
      <w:bookmarkEnd w:id="11"/>
    </w:p>
    <w:p w14:paraId="44AE183B" w14:textId="77777777" w:rsidR="00C27940" w:rsidRPr="00317DDC" w:rsidRDefault="00C27940" w:rsidP="00C27940">
      <w:pPr>
        <w:tabs>
          <w:tab w:val="center" w:pos="4819"/>
        </w:tabs>
        <w:jc w:val="both"/>
        <w:rPr>
          <w:rFonts w:eastAsia="SimSun"/>
          <w:iCs/>
          <w:color w:val="000000"/>
          <w:lang w:eastAsia="zh-CN"/>
        </w:rPr>
      </w:pPr>
      <w:r w:rsidRPr="00853E13">
        <w:rPr>
          <w:rFonts w:eastAsia="SimSun"/>
          <w:i/>
          <w:iCs/>
          <w:lang w:eastAsia="zh-CN"/>
        </w:rPr>
        <w:t>Editorial note: Shall we delete this definition as we did for Y.3800</w:t>
      </w:r>
      <w:r>
        <w:rPr>
          <w:rFonts w:eastAsia="SimSun"/>
          <w:i/>
          <w:iCs/>
          <w:lang w:eastAsia="zh-CN"/>
        </w:rPr>
        <w:t xml:space="preserve"> or shall we define properly this concept of ‘key in the context of QKD networks</w:t>
      </w:r>
      <w:r w:rsidRPr="00853E13">
        <w:rPr>
          <w:rFonts w:eastAsia="SimSun"/>
          <w:i/>
          <w:iCs/>
          <w:lang w:eastAsia="zh-CN"/>
        </w:rPr>
        <w:t>? Note that the definition that we give from a ‘key’ is based on properties and parameters (randomness and identifier) which are different from the ones used by cryptographers (E.g. cryptographic key:</w:t>
      </w:r>
      <w:r w:rsidRPr="00853E13">
        <w:rPr>
          <w:i/>
          <w:iCs/>
        </w:rPr>
        <w:t xml:space="preserve"> A parameter used in conjunction with a cryptographic algorithm that determines the specific </w:t>
      </w:r>
      <w:r w:rsidRPr="003678C7">
        <w:rPr>
          <w:i/>
          <w:iCs/>
          <w:color w:val="000000" w:themeColor="text1"/>
        </w:rPr>
        <w:t>operation of that algorithm [</w:t>
      </w:r>
      <w:hyperlink r:id="rId13" w:history="1">
        <w:r w:rsidRPr="003678C7">
          <w:rPr>
            <w:rStyle w:val="Hyperlink"/>
            <w:i/>
            <w:iCs/>
            <w:color w:val="000000" w:themeColor="text1"/>
          </w:rPr>
          <w:t>FIPS 201</w:t>
        </w:r>
      </w:hyperlink>
      <w:r w:rsidRPr="003678C7">
        <w:rPr>
          <w:i/>
          <w:iCs/>
          <w:color w:val="000000" w:themeColor="text1"/>
        </w:rPr>
        <w:t>] or secret key: A cryptographic key used by one or more (authorized) entities in a symmetric-key cryptographic algorithm; the key is not made public.[</w:t>
      </w:r>
      <w:hyperlink r:id="rId14" w:history="1">
        <w:r w:rsidRPr="003678C7">
          <w:rPr>
            <w:rStyle w:val="Hyperlink"/>
            <w:i/>
            <w:iCs/>
            <w:color w:val="000000" w:themeColor="text1"/>
          </w:rPr>
          <w:t>NIST SP 800-133</w:t>
        </w:r>
      </w:hyperlink>
      <w:r w:rsidRPr="003678C7">
        <w:rPr>
          <w:i/>
          <w:iCs/>
          <w:color w:val="000000" w:themeColor="text1"/>
        </w:rPr>
        <w:t>]</w:t>
      </w:r>
      <w:r w:rsidRPr="003678C7">
        <w:rPr>
          <w:rFonts w:eastAsia="SimSun"/>
          <w:i/>
          <w:iCs/>
          <w:color w:val="000000" w:themeColor="text1"/>
          <w:lang w:eastAsia="zh-CN"/>
        </w:rPr>
        <w:t>). Should we create two definitions one for ‘cryptographic keys’ and the other one for ‘keys exchanged through QKD’?”</w:t>
      </w:r>
    </w:p>
    <w:p w14:paraId="65E46839" w14:textId="77777777" w:rsidR="00C27940" w:rsidRPr="003678C7" w:rsidRDefault="00C27940" w:rsidP="00C27940">
      <w:pPr>
        <w:shd w:val="clear" w:color="auto" w:fill="FFFFFF"/>
        <w:rPr>
          <w:rFonts w:ascii="Arial" w:eastAsia="Gulim" w:hAnsi="Arial" w:cs="Arial"/>
          <w:color w:val="000000" w:themeColor="text1"/>
          <w:lang w:val="en-US" w:eastAsia="ko-KR"/>
        </w:rPr>
      </w:pPr>
      <w:r w:rsidRPr="003678C7">
        <w:rPr>
          <w:rFonts w:eastAsia="Gulim"/>
          <w:color w:val="000000" w:themeColor="text1"/>
          <w:lang w:eastAsia="ko-KR"/>
        </w:rPr>
        <w:t>However, in clause 3.1.1 of the document X-cf_QKDN and in caluse 3.1.3 of the Appendix 1 from the same document, key is defined as below:</w:t>
      </w:r>
    </w:p>
    <w:p w14:paraId="067F35EA" w14:textId="77777777" w:rsidR="00C27940" w:rsidRPr="003678C7" w:rsidRDefault="00C27940" w:rsidP="00C27940">
      <w:pPr>
        <w:shd w:val="clear" w:color="auto" w:fill="FFFFFF"/>
        <w:rPr>
          <w:rFonts w:ascii="Arial" w:eastAsia="Gulim" w:hAnsi="Arial" w:cs="Arial"/>
          <w:color w:val="000000" w:themeColor="text1"/>
          <w:lang w:val="en-US" w:eastAsia="ko-KR"/>
        </w:rPr>
      </w:pPr>
      <w:r w:rsidRPr="003678C7">
        <w:rPr>
          <w:rFonts w:eastAsia="Gulim"/>
          <w:b/>
          <w:bCs/>
          <w:color w:val="000000" w:themeColor="text1"/>
          <w:lang w:eastAsia="ko-KR"/>
        </w:rPr>
        <w:t>“3.1.3 Key</w:t>
      </w:r>
      <w:r w:rsidRPr="003678C7">
        <w:rPr>
          <w:rFonts w:eastAsia="Gulim"/>
          <w:color w:val="000000" w:themeColor="text1"/>
          <w:lang w:eastAsia="ko-KR"/>
        </w:rPr>
        <w:t> [b-NIST SP 800-63-2] under Cryptographic Key: A value used to control cryptographic operations, such as decryption, encryption, signature generation, or signature verification.”</w:t>
      </w:r>
    </w:p>
    <w:p w14:paraId="5944185D" w14:textId="77777777" w:rsidR="00C27940" w:rsidRPr="003678C7" w:rsidRDefault="00C27940" w:rsidP="00C27940">
      <w:pPr>
        <w:tabs>
          <w:tab w:val="center" w:pos="4819"/>
        </w:tabs>
        <w:jc w:val="both"/>
        <w:rPr>
          <w:bCs/>
          <w:color w:val="000000" w:themeColor="text1"/>
          <w:lang w:val="en-US"/>
        </w:rPr>
      </w:pPr>
      <w:r w:rsidRPr="003678C7">
        <w:rPr>
          <w:bCs/>
          <w:color w:val="000000" w:themeColor="text1"/>
          <w:lang w:val="en-US"/>
        </w:rPr>
        <w:t>In the ITU terms and definition database, we can fi</w:t>
      </w:r>
      <w:r>
        <w:rPr>
          <w:bCs/>
          <w:color w:val="000000" w:themeColor="text1"/>
          <w:lang w:val="en-US"/>
        </w:rPr>
        <w:t>nd the following definition for ‘</w:t>
      </w:r>
      <w:r w:rsidRPr="003678C7">
        <w:rPr>
          <w:bCs/>
          <w:color w:val="000000" w:themeColor="text1"/>
          <w:lang w:val="en-US"/>
        </w:rPr>
        <w:t>key’</w:t>
      </w:r>
    </w:p>
    <w:tbl>
      <w:tblPr>
        <w:tblW w:w="4850" w:type="pct"/>
        <w:tblCellSpacing w:w="0" w:type="dxa"/>
        <w:tblCellMar>
          <w:top w:w="45" w:type="dxa"/>
          <w:left w:w="45" w:type="dxa"/>
          <w:bottom w:w="45" w:type="dxa"/>
          <w:right w:w="45" w:type="dxa"/>
        </w:tblCellMar>
        <w:tblLook w:val="04A0" w:firstRow="1" w:lastRow="0" w:firstColumn="1" w:lastColumn="0" w:noHBand="0" w:noVBand="1"/>
      </w:tblPr>
      <w:tblGrid>
        <w:gridCol w:w="9350"/>
      </w:tblGrid>
      <w:tr w:rsidR="00C27940" w:rsidRPr="00CB733B" w14:paraId="351DA3AE" w14:textId="77777777" w:rsidTr="00A95B14">
        <w:trPr>
          <w:tblCellSpacing w:w="0" w:type="dxa"/>
        </w:trPr>
        <w:tc>
          <w:tcPr>
            <w:tcW w:w="0" w:type="auto"/>
            <w:vAlign w:val="center"/>
            <w:hideMark/>
          </w:tcPr>
          <w:p w14:paraId="24679721" w14:textId="77777777" w:rsidR="00C27940" w:rsidRPr="003678C7" w:rsidRDefault="00C27940" w:rsidP="00A95B14">
            <w:pPr>
              <w:spacing w:before="0"/>
              <w:rPr>
                <w:rFonts w:eastAsia="Times New Roman"/>
                <w:color w:val="000000" w:themeColor="text1"/>
                <w:lang w:val="en-US" w:eastAsia="en-US"/>
              </w:rPr>
            </w:pPr>
            <w:r w:rsidRPr="003678C7">
              <w:rPr>
                <w:rFonts w:eastAsia="Times New Roman"/>
                <w:b/>
                <w:bCs/>
                <w:color w:val="000000" w:themeColor="text1"/>
                <w:lang w:val="en-US" w:eastAsia="en-US"/>
              </w:rPr>
              <w:t>Term</w:t>
            </w:r>
            <w:r w:rsidRPr="003678C7">
              <w:rPr>
                <w:rFonts w:eastAsia="Times New Roman"/>
                <w:color w:val="000000" w:themeColor="text1"/>
                <w:lang w:val="en-US" w:eastAsia="en-US"/>
              </w:rPr>
              <w:t xml:space="preserve"> : key </w:t>
            </w:r>
          </w:p>
        </w:tc>
      </w:tr>
      <w:tr w:rsidR="00C27940" w:rsidRPr="00CB733B" w14:paraId="72E5ADEB" w14:textId="77777777" w:rsidTr="00A95B14">
        <w:trPr>
          <w:tblCellSpacing w:w="0" w:type="dxa"/>
        </w:trPr>
        <w:tc>
          <w:tcPr>
            <w:tcW w:w="0" w:type="auto"/>
            <w:vAlign w:val="center"/>
            <w:hideMark/>
          </w:tcPr>
          <w:p w14:paraId="4D1D2A1E" w14:textId="77777777" w:rsidR="00C27940" w:rsidRPr="003678C7" w:rsidRDefault="00C27940" w:rsidP="00A95B14">
            <w:pPr>
              <w:spacing w:before="0"/>
              <w:rPr>
                <w:rFonts w:eastAsia="Times New Roman"/>
                <w:color w:val="000000" w:themeColor="text1"/>
                <w:lang w:val="en-US" w:eastAsia="en-US"/>
              </w:rPr>
            </w:pPr>
            <w:r w:rsidRPr="003678C7">
              <w:rPr>
                <w:rFonts w:eastAsia="Times New Roman"/>
                <w:b/>
                <w:bCs/>
                <w:color w:val="000000" w:themeColor="text1"/>
                <w:lang w:val="en-US" w:eastAsia="en-US"/>
              </w:rPr>
              <w:t>Definition</w:t>
            </w:r>
            <w:r w:rsidRPr="003678C7">
              <w:rPr>
                <w:rFonts w:eastAsia="Times New Roman"/>
                <w:color w:val="000000" w:themeColor="text1"/>
                <w:lang w:val="en-US" w:eastAsia="en-US"/>
              </w:rPr>
              <w:t xml:space="preserve"> : Parameter used in conjunction with a cryptographic algorithm that determines its operation in such a way that an entity with knowledge of the key can reproduce or reverse the operation, while an entity without knowledge of the key cannot.</w:t>
            </w:r>
          </w:p>
        </w:tc>
      </w:tr>
    </w:tbl>
    <w:p w14:paraId="704DF539" w14:textId="77777777" w:rsidR="00C27940" w:rsidRPr="0003349E" w:rsidRDefault="00C27940" w:rsidP="00C27940">
      <w:pPr>
        <w:tabs>
          <w:tab w:val="center" w:pos="4819"/>
        </w:tabs>
        <w:jc w:val="both"/>
        <w:rPr>
          <w:bCs/>
          <w:lang w:val="en-US"/>
        </w:rPr>
      </w:pPr>
      <w:r w:rsidRPr="0003349E">
        <w:rPr>
          <w:bCs/>
          <w:lang w:val="en-US"/>
        </w:rPr>
        <w:t xml:space="preserve">This definition is very similar to the definition of ‘cryptographic keys’ that can be found in other SDOs. It looks quite reasonable to use </w:t>
      </w:r>
      <w:r>
        <w:rPr>
          <w:bCs/>
          <w:lang w:val="en-US"/>
        </w:rPr>
        <w:t xml:space="preserve">‘key’ </w:t>
      </w:r>
      <w:r w:rsidRPr="0003349E">
        <w:rPr>
          <w:bCs/>
          <w:lang w:val="en-US"/>
        </w:rPr>
        <w:t xml:space="preserve">for the </w:t>
      </w:r>
      <w:r>
        <w:rPr>
          <w:bCs/>
          <w:lang w:val="en-US"/>
        </w:rPr>
        <w:t xml:space="preserve">random </w:t>
      </w:r>
      <w:r w:rsidRPr="0003349E">
        <w:rPr>
          <w:bCs/>
          <w:lang w:val="en-US"/>
        </w:rPr>
        <w:t xml:space="preserve">bit string that is delivered by the </w:t>
      </w:r>
      <w:r>
        <w:rPr>
          <w:bCs/>
          <w:lang w:val="en-US"/>
        </w:rPr>
        <w:t>key management</w:t>
      </w:r>
      <w:r w:rsidRPr="0003349E">
        <w:rPr>
          <w:bCs/>
          <w:lang w:val="en-US"/>
        </w:rPr>
        <w:t xml:space="preserve"> layer to </w:t>
      </w:r>
      <w:r>
        <w:rPr>
          <w:bCs/>
          <w:lang w:val="en-US"/>
        </w:rPr>
        <w:t xml:space="preserve">cryptographic applications in </w:t>
      </w:r>
      <w:r w:rsidRPr="0003349E">
        <w:rPr>
          <w:bCs/>
          <w:lang w:val="en-US"/>
        </w:rPr>
        <w:t>the service layer.</w:t>
      </w:r>
    </w:p>
    <w:p w14:paraId="79C5786D" w14:textId="77777777" w:rsidR="00C27940" w:rsidRPr="003678C7" w:rsidRDefault="00C27940" w:rsidP="00C27940">
      <w:pPr>
        <w:tabs>
          <w:tab w:val="center" w:pos="4819"/>
        </w:tabs>
        <w:rPr>
          <w:b/>
        </w:rPr>
      </w:pPr>
      <w:r>
        <w:rPr>
          <w:b/>
        </w:rPr>
        <w:t xml:space="preserve">1.2 Definition of bit strings going from quantum layer to </w:t>
      </w:r>
      <w:r w:rsidRPr="003678C7">
        <w:rPr>
          <w:b/>
        </w:rPr>
        <w:t>key management</w:t>
      </w:r>
      <w:r>
        <w:rPr>
          <w:b/>
        </w:rPr>
        <w:t xml:space="preserve"> layer</w:t>
      </w:r>
    </w:p>
    <w:p w14:paraId="27A9DD05" w14:textId="77777777" w:rsidR="00C27940" w:rsidRDefault="00C27940" w:rsidP="00C27940">
      <w:pPr>
        <w:tabs>
          <w:tab w:val="center" w:pos="4819"/>
        </w:tabs>
        <w:jc w:val="both"/>
        <w:rPr>
          <w:rFonts w:eastAsia="SimSun"/>
          <w:iCs/>
          <w:color w:val="000000"/>
          <w:lang w:eastAsia="zh-CN"/>
        </w:rPr>
      </w:pPr>
      <w:r>
        <w:rPr>
          <w:rFonts w:eastAsia="SimSun"/>
          <w:iCs/>
          <w:color w:val="000000"/>
          <w:lang w:eastAsia="zh-CN"/>
        </w:rPr>
        <w:t>In C713, KT Corp mentioned: “</w:t>
      </w:r>
      <w:r>
        <w:rPr>
          <w:rFonts w:eastAsia="Malgun Gothic"/>
          <w:b/>
          <w:lang w:eastAsia="ko-KR"/>
        </w:rPr>
        <w:t>Proposal 3</w:t>
      </w:r>
      <w:r>
        <w:rPr>
          <w:rFonts w:eastAsia="Malgun Gothic"/>
          <w:lang w:eastAsia="ko-KR"/>
        </w:rPr>
        <w:t>: For the Figure 1 in section 6 of Appendix</w:t>
      </w:r>
      <w:r>
        <w:rPr>
          <w:rFonts w:ascii="Malgun Gothic" w:eastAsia="Malgun Gothic" w:hAnsi="Malgun Gothic" w:hint="eastAsia"/>
          <w:lang w:eastAsia="ko-KR"/>
        </w:rPr>
        <w:t>Ⅰ</w:t>
      </w:r>
      <w:r>
        <w:rPr>
          <w:rFonts w:eastAsia="Malgun Gothic"/>
          <w:lang w:eastAsia="ko-KR"/>
        </w:rPr>
        <w:t>, “Quantum Key” should be changed to “Random bit string” as this is what being transmitted from quantum layer to key management layer. Key should only be used when transmitted to Service layer as defined in 3.1.2.</w:t>
      </w:r>
      <w:r>
        <w:rPr>
          <w:rFonts w:eastAsia="SimSun"/>
          <w:iCs/>
          <w:color w:val="000000"/>
          <w:lang w:eastAsia="zh-CN"/>
        </w:rPr>
        <w:t>”</w:t>
      </w:r>
    </w:p>
    <w:p w14:paraId="3A90C030" w14:textId="77777777" w:rsidR="00C27940" w:rsidRDefault="00C27940" w:rsidP="00C27940">
      <w:pPr>
        <w:tabs>
          <w:tab w:val="center" w:pos="4819"/>
        </w:tabs>
        <w:jc w:val="both"/>
        <w:rPr>
          <w:rFonts w:eastAsia="SimSun"/>
          <w:iCs/>
          <w:color w:val="000000"/>
          <w:lang w:eastAsia="zh-CN"/>
        </w:rPr>
      </w:pPr>
      <w:r>
        <w:rPr>
          <w:noProof/>
          <w:lang w:eastAsia="en-GB"/>
        </w:rPr>
        <w:drawing>
          <wp:inline distT="0" distB="0" distL="0" distR="0" wp14:anchorId="054C3515" wp14:editId="579D287D">
            <wp:extent cx="2841441" cy="131445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46380" cy="1316735"/>
                    </a:xfrm>
                    <a:prstGeom prst="rect">
                      <a:avLst/>
                    </a:prstGeom>
                  </pic:spPr>
                </pic:pic>
              </a:graphicData>
            </a:graphic>
          </wp:inline>
        </w:drawing>
      </w:r>
    </w:p>
    <w:p w14:paraId="5E29D431" w14:textId="77777777" w:rsidR="00C27940" w:rsidRPr="003678C7" w:rsidRDefault="00C27940" w:rsidP="00C27940">
      <w:pPr>
        <w:pStyle w:val="Caption"/>
        <w:rPr>
          <w:rFonts w:eastAsia="Malgun Gothic"/>
          <w:bCs/>
          <w:i w:val="0"/>
          <w:color w:val="auto"/>
          <w:sz w:val="24"/>
          <w:szCs w:val="24"/>
          <w:lang w:eastAsia="ko-KR"/>
        </w:rPr>
      </w:pPr>
      <w:r w:rsidRPr="003678C7">
        <w:rPr>
          <w:bCs/>
          <w:i w:val="0"/>
          <w:color w:val="auto"/>
          <w:sz w:val="24"/>
          <w:szCs w:val="24"/>
        </w:rPr>
        <w:t xml:space="preserve">Figure </w:t>
      </w:r>
      <w:r w:rsidRPr="003678C7">
        <w:rPr>
          <w:rFonts w:eastAsia="Malgun Gothic"/>
          <w:bCs/>
          <w:i w:val="0"/>
          <w:color w:val="auto"/>
          <w:sz w:val="24"/>
          <w:szCs w:val="24"/>
          <w:lang w:eastAsia="ko-KR"/>
        </w:rPr>
        <w:t>1</w:t>
      </w:r>
      <w:r w:rsidRPr="003678C7">
        <w:rPr>
          <w:bCs/>
          <w:i w:val="0"/>
          <w:color w:val="auto"/>
          <w:sz w:val="24"/>
          <w:szCs w:val="24"/>
        </w:rPr>
        <w:t xml:space="preserve"> - Simple model for QKD networks (</w:t>
      </w:r>
      <w:r w:rsidRPr="003678C7">
        <w:rPr>
          <w:rFonts w:eastAsia="Batang"/>
          <w:bCs/>
          <w:sz w:val="24"/>
          <w:szCs w:val="24"/>
          <w:lang w:eastAsia="ko-KR"/>
        </w:rPr>
        <w:t xml:space="preserve">Q4-RGM-Shanghai-June-2019-Doc05(X.cf_QKDN) </w:t>
      </w:r>
      <w:r w:rsidRPr="003678C7">
        <w:rPr>
          <w:rFonts w:eastAsia="Batang"/>
          <w:bCs/>
          <w:i w:val="0"/>
          <w:sz w:val="24"/>
          <w:szCs w:val="24"/>
          <w:lang w:eastAsia="ko-KR"/>
        </w:rPr>
        <w:t>)</w:t>
      </w:r>
    </w:p>
    <w:p w14:paraId="6F6CCB9B" w14:textId="77777777" w:rsidR="00C27940" w:rsidRDefault="00C27940" w:rsidP="00C27940">
      <w:pPr>
        <w:tabs>
          <w:tab w:val="center" w:pos="4819"/>
        </w:tabs>
        <w:jc w:val="both"/>
        <w:rPr>
          <w:rFonts w:eastAsia="SimSun"/>
          <w:iCs/>
          <w:color w:val="000000"/>
          <w:lang w:eastAsia="zh-CN"/>
        </w:rPr>
      </w:pPr>
      <w:r>
        <w:rPr>
          <w:noProof/>
          <w:lang w:eastAsia="en-GB"/>
        </w:rPr>
        <w:lastRenderedPageBreak/>
        <w:drawing>
          <wp:inline distT="0" distB="0" distL="0" distR="0" wp14:anchorId="432736A6" wp14:editId="52686614">
            <wp:extent cx="2331720" cy="2296160"/>
            <wp:effectExtent l="0" t="0" r="0" b="8890"/>
            <wp:docPr id="4" name="그림 1"/>
            <wp:cNvGraphicFramePr/>
            <a:graphic xmlns:a="http://schemas.openxmlformats.org/drawingml/2006/main">
              <a:graphicData uri="http://schemas.openxmlformats.org/drawingml/2006/picture">
                <pic:pic xmlns:pic="http://schemas.openxmlformats.org/drawingml/2006/picture">
                  <pic:nvPicPr>
                    <pic:cNvPr id="1" name="그림 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1720" cy="2296160"/>
                    </a:xfrm>
                    <a:prstGeom prst="rect">
                      <a:avLst/>
                    </a:prstGeom>
                    <a:noFill/>
                  </pic:spPr>
                </pic:pic>
              </a:graphicData>
            </a:graphic>
          </wp:inline>
        </w:drawing>
      </w:r>
    </w:p>
    <w:p w14:paraId="3BCBF41E" w14:textId="77777777" w:rsidR="00C27940" w:rsidRPr="003678C7" w:rsidRDefault="00C27940" w:rsidP="00C27940">
      <w:pPr>
        <w:spacing w:before="0" w:after="160" w:line="259" w:lineRule="auto"/>
        <w:rPr>
          <w:rFonts w:eastAsia="Malgun Gothic"/>
          <w:lang w:eastAsia="ko-KR"/>
        </w:rPr>
      </w:pPr>
      <w:r w:rsidRPr="00191161">
        <w:rPr>
          <w:rFonts w:eastAsia="SimSun"/>
          <w:iCs/>
          <w:color w:val="000000"/>
          <w:lang w:eastAsia="zh-CN"/>
        </w:rPr>
        <w:t xml:space="preserve">   </w:t>
      </w:r>
      <w:r w:rsidRPr="00191161">
        <w:rPr>
          <w:rFonts w:eastAsia="Malgun Gothic"/>
          <w:lang w:eastAsia="ko-KR"/>
        </w:rPr>
        <w:t xml:space="preserve">Proposed </w:t>
      </w:r>
      <w:r w:rsidRPr="003678C7">
        <w:t xml:space="preserve">Figure </w:t>
      </w:r>
      <w:r w:rsidRPr="003678C7">
        <w:rPr>
          <w:rFonts w:eastAsia="Malgun Gothic"/>
          <w:lang w:eastAsia="ko-KR"/>
        </w:rPr>
        <w:t>1</w:t>
      </w:r>
      <w:r w:rsidRPr="003678C7">
        <w:t xml:space="preserve"> - Simple model for QKD networks</w:t>
      </w:r>
      <w:r w:rsidRPr="00191161">
        <w:rPr>
          <w:rFonts w:eastAsia="Malgun Gothic"/>
          <w:lang w:eastAsia="ko-KR"/>
        </w:rPr>
        <w:t xml:space="preserve"> in</w:t>
      </w:r>
      <w:r w:rsidRPr="00191161">
        <w:rPr>
          <w:rFonts w:eastAsia="SimSun"/>
          <w:iCs/>
          <w:color w:val="000000"/>
          <w:lang w:eastAsia="zh-CN"/>
        </w:rPr>
        <w:t xml:space="preserve"> C713</w:t>
      </w:r>
    </w:p>
    <w:p w14:paraId="1A60F1A7" w14:textId="77777777" w:rsidR="00C27940" w:rsidRDefault="00C27940" w:rsidP="00C27940">
      <w:pPr>
        <w:jc w:val="both"/>
        <w:rPr>
          <w:lang w:val="en-US" w:eastAsia="zh-CN"/>
        </w:rPr>
      </w:pPr>
      <w:r w:rsidRPr="0016768E">
        <w:rPr>
          <w:bCs/>
        </w:rPr>
        <w:t xml:space="preserve">In SG13 Draft recommendation </w:t>
      </w:r>
      <w:r>
        <w:t>Y.QKDN_KM, there is a definition for a ‘</w:t>
      </w:r>
      <w:bookmarkStart w:id="12" w:name="_Toc166792"/>
      <w:r w:rsidRPr="0016768E">
        <w:rPr>
          <w:b/>
          <w:lang w:val="en-US" w:eastAsia="zh-CN"/>
        </w:rPr>
        <w:t>QKD-key</w:t>
      </w:r>
      <w:r w:rsidRPr="0016768E">
        <w:rPr>
          <w:lang w:val="en-US" w:eastAsia="zh-CN"/>
        </w:rPr>
        <w:t xml:space="preserve"> [ITU-T X.sec_QKDN_km]: </w:t>
      </w:r>
      <w:bookmarkEnd w:id="12"/>
      <w:r w:rsidRPr="0016768E">
        <w:rPr>
          <w:lang w:val="en-US" w:eastAsia="zh-CN"/>
        </w:rPr>
        <w:t>Random bit strings generated by a QKD device, particularly referring to random bit strings before being resized and formatted in a KM.’</w:t>
      </w:r>
    </w:p>
    <w:p w14:paraId="1423437A" w14:textId="77777777" w:rsidR="00C27940" w:rsidRDefault="00C27940" w:rsidP="00C27940">
      <w:pPr>
        <w:tabs>
          <w:tab w:val="center" w:pos="4819"/>
        </w:tabs>
        <w:jc w:val="both"/>
        <w:rPr>
          <w:lang w:val="en-US" w:eastAsia="zh-CN"/>
        </w:rPr>
      </w:pPr>
      <w:r>
        <w:rPr>
          <w:lang w:val="en-US" w:eastAsia="zh-CN"/>
        </w:rPr>
        <w:t>Even though there is a wording for the key transferred from quantum layer to key management layer, we can find often the wording ‘key’ instead of ‘QKD-key’ in Y.QK</w:t>
      </w:r>
      <w:r>
        <w:rPr>
          <w:rFonts w:eastAsia="Malgun Gothic" w:hint="eastAsia"/>
          <w:lang w:val="en-US" w:eastAsia="ko-KR"/>
        </w:rPr>
        <w:t>DN</w:t>
      </w:r>
      <w:r>
        <w:rPr>
          <w:lang w:val="en-US" w:eastAsia="zh-CN"/>
        </w:rPr>
        <w:t>_KM. As an example in clause 7: “</w:t>
      </w:r>
      <w:r>
        <w:t xml:space="preserve">Pairs of QKD devices connected by a point-to-point QKD link constitute the quantum layer. Each pair generates </w:t>
      </w:r>
      <w:r w:rsidRPr="004F40DD">
        <w:rPr>
          <w:b/>
          <w:bCs/>
        </w:rPr>
        <w:t>keys</w:t>
      </w:r>
      <w:r>
        <w:t xml:space="preserve"> in its own way. Generated </w:t>
      </w:r>
      <w:r w:rsidRPr="004F40DD">
        <w:rPr>
          <w:b/>
          <w:bCs/>
        </w:rPr>
        <w:t>keys</w:t>
      </w:r>
      <w:r>
        <w:t xml:space="preserve"> are pushed up to KMs, and relayed via </w:t>
      </w:r>
      <w:r>
        <w:rPr>
          <w:lang w:val="en-US" w:eastAsia="zh-CN"/>
        </w:rPr>
        <w:t>key management</w:t>
      </w:r>
      <w:r>
        <w:t xml:space="preserve"> links.</w:t>
      </w:r>
      <w:r>
        <w:rPr>
          <w:lang w:val="en-US" w:eastAsia="zh-CN"/>
        </w:rPr>
        <w:t xml:space="preserve">” </w:t>
      </w:r>
    </w:p>
    <w:p w14:paraId="27E04E74" w14:textId="77777777" w:rsidR="00C27940" w:rsidRDefault="00C27940" w:rsidP="00C27940">
      <w:pPr>
        <w:tabs>
          <w:tab w:val="center" w:pos="4819"/>
        </w:tabs>
        <w:jc w:val="both"/>
        <w:rPr>
          <w:bCs/>
          <w:lang w:val="en-US"/>
        </w:rPr>
      </w:pPr>
      <w:r>
        <w:rPr>
          <w:bCs/>
          <w:lang w:val="en-US"/>
        </w:rPr>
        <w:t xml:space="preserve">The discrepancy on the use of the word ‘key’ and its variations can be observed in all draft recommendations related to QKDN in SG17 and SG13. It is urgent to agree on a single term to define the bit string transferred from quantum layer to </w:t>
      </w:r>
      <w:r>
        <w:rPr>
          <w:lang w:val="en-US" w:eastAsia="zh-CN"/>
        </w:rPr>
        <w:t>key management</w:t>
      </w:r>
      <w:r>
        <w:rPr>
          <w:bCs/>
          <w:lang w:val="en-US"/>
        </w:rPr>
        <w:t xml:space="preserve"> layer and another one for the bit string that goes from </w:t>
      </w:r>
      <w:r>
        <w:rPr>
          <w:lang w:val="en-US" w:eastAsia="zh-CN"/>
        </w:rPr>
        <w:t>key management</w:t>
      </w:r>
      <w:r>
        <w:rPr>
          <w:bCs/>
          <w:lang w:val="en-US"/>
        </w:rPr>
        <w:t xml:space="preserve"> layer to service layer. Once, we agreed on these two terms with definitions, they shall be used in all work items dealing with QKDN with ITU-T.</w:t>
      </w:r>
    </w:p>
    <w:p w14:paraId="632E7548" w14:textId="77777777" w:rsidR="00C27940" w:rsidRPr="0016768E" w:rsidRDefault="00C27940" w:rsidP="00C27940">
      <w:pPr>
        <w:tabs>
          <w:tab w:val="center" w:pos="4819"/>
        </w:tabs>
        <w:jc w:val="both"/>
        <w:rPr>
          <w:bCs/>
          <w:lang w:val="en-US"/>
        </w:rPr>
      </w:pPr>
      <w:r>
        <w:rPr>
          <w:bCs/>
          <w:lang w:val="en-US"/>
        </w:rPr>
        <w:t>This topic could be the first one for a collaboration between Q4/17 and Q16/13</w:t>
      </w:r>
      <w:r>
        <w:rPr>
          <w:rFonts w:eastAsia="Malgun Gothic" w:hint="eastAsia"/>
          <w:bCs/>
          <w:lang w:val="en-US" w:eastAsia="ko-KR"/>
        </w:rPr>
        <w:t>.</w:t>
      </w:r>
    </w:p>
    <w:p w14:paraId="08562D64" w14:textId="77777777" w:rsidR="00C27940" w:rsidRPr="00F47994" w:rsidRDefault="00C27940" w:rsidP="00C27940">
      <w:pPr>
        <w:pStyle w:val="ListParagraph"/>
        <w:numPr>
          <w:ilvl w:val="0"/>
          <w:numId w:val="16"/>
        </w:numPr>
        <w:tabs>
          <w:tab w:val="center" w:pos="4819"/>
        </w:tabs>
        <w:snapToGrid w:val="0"/>
        <w:spacing w:after="120"/>
        <w:ind w:left="357" w:hanging="357"/>
        <w:contextualSpacing w:val="0"/>
        <w:jc w:val="both"/>
        <w:rPr>
          <w:b/>
        </w:rPr>
      </w:pPr>
      <w:r w:rsidRPr="00F47994">
        <w:rPr>
          <w:b/>
        </w:rPr>
        <w:t>Proposal</w:t>
      </w:r>
    </w:p>
    <w:p w14:paraId="6D180DD2" w14:textId="77777777" w:rsidR="00C27940" w:rsidRDefault="00C27940" w:rsidP="00C27940">
      <w:pPr>
        <w:spacing w:before="0" w:after="160" w:line="259" w:lineRule="auto"/>
        <w:jc w:val="both"/>
        <w:rPr>
          <w:bCs/>
        </w:rPr>
      </w:pPr>
      <w:r>
        <w:rPr>
          <w:bCs/>
        </w:rPr>
        <w:t>We propose to use the same words and definitions for the concept of ‘key’ and other common concepts in QKDN work items with in ITU-T.</w:t>
      </w:r>
    </w:p>
    <w:p w14:paraId="4ED72FD8" w14:textId="77777777" w:rsidR="00C27940" w:rsidRDefault="00C27940" w:rsidP="00C27940">
      <w:pPr>
        <w:spacing w:before="0" w:after="160" w:line="259" w:lineRule="auto"/>
        <w:jc w:val="both"/>
        <w:rPr>
          <w:bCs/>
        </w:rPr>
      </w:pPr>
      <w:r>
        <w:rPr>
          <w:bCs/>
        </w:rPr>
        <w:t>One possible way to move forward is to create one common glossary for QKD</w:t>
      </w:r>
      <w:r>
        <w:rPr>
          <w:rFonts w:eastAsia="Malgun Gothic" w:hint="eastAsia"/>
          <w:bCs/>
          <w:lang w:eastAsia="ko-KR"/>
        </w:rPr>
        <w:t>N</w:t>
      </w:r>
      <w:r>
        <w:rPr>
          <w:bCs/>
        </w:rPr>
        <w:t xml:space="preserve"> work items within ITU-T.</w:t>
      </w:r>
    </w:p>
    <w:p w14:paraId="3053435E" w14:textId="61885510" w:rsidR="00C27940" w:rsidRDefault="00C27940" w:rsidP="00C27940">
      <w:pPr>
        <w:spacing w:before="0" w:after="160" w:line="259" w:lineRule="auto"/>
        <w:jc w:val="both"/>
        <w:rPr>
          <w:bCs/>
        </w:rPr>
      </w:pPr>
      <w:r>
        <w:rPr>
          <w:bCs/>
        </w:rPr>
        <w:t>SG17 agree</w:t>
      </w:r>
      <w:r>
        <w:rPr>
          <w:rFonts w:eastAsia="Malgun Gothic" w:hint="eastAsia"/>
          <w:bCs/>
          <w:lang w:eastAsia="ko-KR"/>
        </w:rPr>
        <w:t>d</w:t>
      </w:r>
      <w:r>
        <w:rPr>
          <w:bCs/>
        </w:rPr>
        <w:t xml:space="preserve"> on this proposal</w:t>
      </w:r>
      <w:r>
        <w:rPr>
          <w:rFonts w:eastAsia="Malgun Gothic" w:hint="eastAsia"/>
          <w:bCs/>
          <w:lang w:eastAsia="ko-KR"/>
        </w:rPr>
        <w:t xml:space="preserve"> </w:t>
      </w:r>
      <w:r w:rsidR="004E68BF">
        <w:rPr>
          <w:rFonts w:eastAsia="Malgun Gothic"/>
          <w:bCs/>
          <w:lang w:eastAsia="ko-KR"/>
        </w:rPr>
        <w:t>and call for review by</w:t>
      </w:r>
      <w:r w:rsidR="004E68BF">
        <w:rPr>
          <w:bCs/>
        </w:rPr>
        <w:t xml:space="preserve"> Q16 of SG13 in order to</w:t>
      </w:r>
      <w:r>
        <w:rPr>
          <w:bCs/>
        </w:rPr>
        <w:t xml:space="preserve"> </w:t>
      </w:r>
      <w:r w:rsidR="004E68BF">
        <w:rPr>
          <w:bCs/>
        </w:rPr>
        <w:t>u</w:t>
      </w:r>
      <w:r>
        <w:rPr>
          <w:bCs/>
        </w:rPr>
        <w:t>s</w:t>
      </w:r>
      <w:r w:rsidR="004E68BF">
        <w:rPr>
          <w:bCs/>
        </w:rPr>
        <w:t>e</w:t>
      </w:r>
      <w:r>
        <w:rPr>
          <w:bCs/>
        </w:rPr>
        <w:t xml:space="preserve"> the same glossary.</w:t>
      </w:r>
    </w:p>
    <w:p w14:paraId="2B3B28A6" w14:textId="31FD783D" w:rsidR="00794F4F" w:rsidRDefault="00394DBF" w:rsidP="0035769E">
      <w:pPr>
        <w:spacing w:after="120"/>
        <w:jc w:val="center"/>
      </w:pPr>
      <w:r>
        <w:t>_______________________</w:t>
      </w:r>
    </w:p>
    <w:sectPr w:rsidR="00794F4F" w:rsidSect="00CE7C65">
      <w:headerReference w:type="default" r:id="rId17"/>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937C1" w14:textId="77777777" w:rsidR="00EA6AB3" w:rsidRDefault="00EA6AB3" w:rsidP="00C42125">
      <w:pPr>
        <w:spacing w:before="0"/>
      </w:pPr>
      <w:r>
        <w:separator/>
      </w:r>
    </w:p>
  </w:endnote>
  <w:endnote w:type="continuationSeparator" w:id="0">
    <w:p w14:paraId="25E151E8" w14:textId="77777777" w:rsidR="00EA6AB3" w:rsidRDefault="00EA6AB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Gothic"/>
    <w:charset w:val="80"/>
    <w:family w:val="auto"/>
    <w:pitch w:val="variable"/>
    <w:sig w:usb0="00000000" w:usb1="08070000" w:usb2="00000010" w:usb3="00000000" w:csb0="00020000" w:csb1="00000000"/>
  </w:font>
  <w:font w:name="MS Mincho">
    <w:altName w:val="ＭＳ 明朝"/>
    <w:panose1 w:val="02020609040205080304"/>
    <w:charset w:val="80"/>
    <w:family w:val="moder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IPAex明朝">
    <w:altName w:val="MS Gothic"/>
    <w:charset w:val="80"/>
    <w:family w:val="roman"/>
    <w:pitch w:val="variable"/>
    <w:sig w:usb0="00000000" w:usb1="3AC7EDFA" w:usb2="00000012" w:usb3="00000000" w:csb0="0002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B5A2A" w14:textId="77777777" w:rsidR="00EA6AB3" w:rsidRDefault="00EA6AB3" w:rsidP="00C42125">
      <w:pPr>
        <w:spacing w:before="0"/>
      </w:pPr>
      <w:r>
        <w:separator/>
      </w:r>
    </w:p>
  </w:footnote>
  <w:footnote w:type="continuationSeparator" w:id="0">
    <w:p w14:paraId="12017CF9" w14:textId="77777777" w:rsidR="00EA6AB3" w:rsidRDefault="00EA6AB3"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578B8" w14:textId="5B8C1168" w:rsidR="0035769E" w:rsidRPr="00CE7C65" w:rsidRDefault="00CE7C65" w:rsidP="00CE7C65">
    <w:pPr>
      <w:pStyle w:val="Header"/>
      <w:rPr>
        <w:sz w:val="18"/>
      </w:rPr>
    </w:pPr>
    <w:r w:rsidRPr="00CE7C65">
      <w:rPr>
        <w:sz w:val="18"/>
      </w:rPr>
      <w:t xml:space="preserve">- </w:t>
    </w:r>
    <w:r w:rsidRPr="00CE7C65">
      <w:rPr>
        <w:sz w:val="18"/>
      </w:rPr>
      <w:fldChar w:fldCharType="begin"/>
    </w:r>
    <w:r w:rsidRPr="00CE7C65">
      <w:rPr>
        <w:sz w:val="18"/>
      </w:rPr>
      <w:instrText xml:space="preserve"> PAGE  \* MERGEFORMAT </w:instrText>
    </w:r>
    <w:r w:rsidRPr="00CE7C65">
      <w:rPr>
        <w:sz w:val="18"/>
      </w:rPr>
      <w:fldChar w:fldCharType="separate"/>
    </w:r>
    <w:r w:rsidRPr="00CE7C65">
      <w:rPr>
        <w:noProof/>
        <w:sz w:val="18"/>
      </w:rPr>
      <w:t>1</w:t>
    </w:r>
    <w:r w:rsidRPr="00CE7C65">
      <w:rPr>
        <w:sz w:val="18"/>
      </w:rPr>
      <w:fldChar w:fldCharType="end"/>
    </w:r>
    <w:r w:rsidRPr="00CE7C65">
      <w:rPr>
        <w:sz w:val="18"/>
      </w:rPr>
      <w:t xml:space="preserve"> -</w:t>
    </w:r>
  </w:p>
  <w:p w14:paraId="2784AB02" w14:textId="6D867516" w:rsidR="00CE7C65" w:rsidRPr="00CE7C65" w:rsidRDefault="00CE7C65" w:rsidP="00CE7C65">
    <w:pPr>
      <w:pStyle w:val="Header"/>
      <w:spacing w:after="240"/>
      <w:rPr>
        <w:sz w:val="18"/>
      </w:rPr>
    </w:pPr>
    <w:r w:rsidRPr="00CE7C65">
      <w:rPr>
        <w:sz w:val="18"/>
      </w:rPr>
      <w:fldChar w:fldCharType="begin"/>
    </w:r>
    <w:r w:rsidRPr="00CE7C65">
      <w:rPr>
        <w:sz w:val="18"/>
      </w:rPr>
      <w:instrText xml:space="preserve"> STYLEREF  Docnumber  </w:instrText>
    </w:r>
    <w:r w:rsidRPr="00CE7C65">
      <w:rPr>
        <w:sz w:val="18"/>
      </w:rPr>
      <w:fldChar w:fldCharType="separate"/>
    </w:r>
    <w:r w:rsidR="00951C46">
      <w:rPr>
        <w:noProof/>
        <w:sz w:val="18"/>
      </w:rPr>
      <w:t>SCV-TD110</w:t>
    </w:r>
    <w:r w:rsidRPr="00CE7C65">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7E3754"/>
    <w:multiLevelType w:val="hybridMultilevel"/>
    <w:tmpl w:val="02BE6C34"/>
    <w:lvl w:ilvl="0" w:tplc="691E0FF0">
      <w:start w:val="1"/>
      <w:numFmt w:val="decimal"/>
      <w:lvlText w:val="%1."/>
      <w:lvlJc w:val="left"/>
      <w:pPr>
        <w:ind w:left="720" w:hanging="720"/>
      </w:pPr>
      <w:rPr>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A1045E2"/>
    <w:multiLevelType w:val="hybridMultilevel"/>
    <w:tmpl w:val="271EF91E"/>
    <w:lvl w:ilvl="0" w:tplc="78F60340">
      <w:start w:val="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2" w15:restartNumberingAfterBreak="0">
    <w:nsid w:val="5BA33DDF"/>
    <w:multiLevelType w:val="hybridMultilevel"/>
    <w:tmpl w:val="076039C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63225EBB"/>
    <w:multiLevelType w:val="hybridMultilevel"/>
    <w:tmpl w:val="2A545DF8"/>
    <w:lvl w:ilvl="0" w:tplc="79FE60D4">
      <w:start w:val="1"/>
      <w:numFmt w:val="bullet"/>
      <w:lvlText w:val="-"/>
      <w:lvlJc w:val="left"/>
      <w:pPr>
        <w:ind w:left="720" w:hanging="360"/>
      </w:pPr>
      <w:rPr>
        <w:rFonts w:ascii="Times New Roman" w:eastAsiaTheme="minorEastAsia"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D10CC5"/>
    <w:multiLevelType w:val="hybridMultilevel"/>
    <w:tmpl w:val="CF16206E"/>
    <w:lvl w:ilvl="0" w:tplc="FE20D6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795F13DA"/>
    <w:multiLevelType w:val="hybridMultilevel"/>
    <w:tmpl w:val="9FCCE7E2"/>
    <w:lvl w:ilvl="0" w:tplc="10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7"/>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4F69"/>
    <w:rsid w:val="000171DB"/>
    <w:rsid w:val="00023D9A"/>
    <w:rsid w:val="000260A1"/>
    <w:rsid w:val="00033934"/>
    <w:rsid w:val="0003582E"/>
    <w:rsid w:val="00043D75"/>
    <w:rsid w:val="0005012A"/>
    <w:rsid w:val="00057000"/>
    <w:rsid w:val="00061268"/>
    <w:rsid w:val="00063B57"/>
    <w:rsid w:val="000640E0"/>
    <w:rsid w:val="00094684"/>
    <w:rsid w:val="000966A8"/>
    <w:rsid w:val="000A5CA2"/>
    <w:rsid w:val="000A6F41"/>
    <w:rsid w:val="000C397B"/>
    <w:rsid w:val="000C7D7E"/>
    <w:rsid w:val="000E6125"/>
    <w:rsid w:val="0010334B"/>
    <w:rsid w:val="00113DBE"/>
    <w:rsid w:val="001200A6"/>
    <w:rsid w:val="00124A40"/>
    <w:rsid w:val="001251DA"/>
    <w:rsid w:val="00125432"/>
    <w:rsid w:val="00136DDD"/>
    <w:rsid w:val="00137F40"/>
    <w:rsid w:val="00144BDF"/>
    <w:rsid w:val="00147D9D"/>
    <w:rsid w:val="00155DDC"/>
    <w:rsid w:val="00161830"/>
    <w:rsid w:val="001871EC"/>
    <w:rsid w:val="001A20C3"/>
    <w:rsid w:val="001A670F"/>
    <w:rsid w:val="001B19B4"/>
    <w:rsid w:val="001B6A45"/>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2C01"/>
    <w:rsid w:val="00263518"/>
    <w:rsid w:val="002759E7"/>
    <w:rsid w:val="00277326"/>
    <w:rsid w:val="002A11C4"/>
    <w:rsid w:val="002A399B"/>
    <w:rsid w:val="002B486F"/>
    <w:rsid w:val="002C26C0"/>
    <w:rsid w:val="002C2BC5"/>
    <w:rsid w:val="002C5249"/>
    <w:rsid w:val="002E0407"/>
    <w:rsid w:val="002E3C52"/>
    <w:rsid w:val="002E59F3"/>
    <w:rsid w:val="002E79CB"/>
    <w:rsid w:val="002F7F55"/>
    <w:rsid w:val="0030745F"/>
    <w:rsid w:val="00311166"/>
    <w:rsid w:val="00314630"/>
    <w:rsid w:val="0032090A"/>
    <w:rsid w:val="00321CDE"/>
    <w:rsid w:val="00333E15"/>
    <w:rsid w:val="003428A2"/>
    <w:rsid w:val="003449F4"/>
    <w:rsid w:val="003571BC"/>
    <w:rsid w:val="0035769E"/>
    <w:rsid w:val="0036090C"/>
    <w:rsid w:val="00361116"/>
    <w:rsid w:val="00362562"/>
    <w:rsid w:val="00371178"/>
    <w:rsid w:val="00385FB5"/>
    <w:rsid w:val="0038715D"/>
    <w:rsid w:val="00394DBF"/>
    <w:rsid w:val="003957A6"/>
    <w:rsid w:val="003A43EF"/>
    <w:rsid w:val="003C7445"/>
    <w:rsid w:val="003D602B"/>
    <w:rsid w:val="003E39A2"/>
    <w:rsid w:val="003E4BAA"/>
    <w:rsid w:val="003E57AB"/>
    <w:rsid w:val="003F2BED"/>
    <w:rsid w:val="00400B49"/>
    <w:rsid w:val="00406AE2"/>
    <w:rsid w:val="00414325"/>
    <w:rsid w:val="004173C3"/>
    <w:rsid w:val="00443878"/>
    <w:rsid w:val="004539A8"/>
    <w:rsid w:val="004612A3"/>
    <w:rsid w:val="004712CA"/>
    <w:rsid w:val="00473782"/>
    <w:rsid w:val="0047422E"/>
    <w:rsid w:val="0049090D"/>
    <w:rsid w:val="0049674B"/>
    <w:rsid w:val="004A33AB"/>
    <w:rsid w:val="004A4FBC"/>
    <w:rsid w:val="004A6B7C"/>
    <w:rsid w:val="004B14E6"/>
    <w:rsid w:val="004C0673"/>
    <w:rsid w:val="004C4E4E"/>
    <w:rsid w:val="004D5353"/>
    <w:rsid w:val="004D68D7"/>
    <w:rsid w:val="004E68BF"/>
    <w:rsid w:val="004F3816"/>
    <w:rsid w:val="0050586A"/>
    <w:rsid w:val="00520DBF"/>
    <w:rsid w:val="0053731C"/>
    <w:rsid w:val="00543D41"/>
    <w:rsid w:val="00556A5B"/>
    <w:rsid w:val="00566EDA"/>
    <w:rsid w:val="0057081A"/>
    <w:rsid w:val="00572654"/>
    <w:rsid w:val="005821A5"/>
    <w:rsid w:val="0058296A"/>
    <w:rsid w:val="005976A1"/>
    <w:rsid w:val="005B5629"/>
    <w:rsid w:val="005C0300"/>
    <w:rsid w:val="005C27A2"/>
    <w:rsid w:val="005D4FEB"/>
    <w:rsid w:val="005D6CAC"/>
    <w:rsid w:val="005F4B6A"/>
    <w:rsid w:val="006000E4"/>
    <w:rsid w:val="006010F3"/>
    <w:rsid w:val="00615A0A"/>
    <w:rsid w:val="00621A87"/>
    <w:rsid w:val="00626673"/>
    <w:rsid w:val="006333D4"/>
    <w:rsid w:val="006369B2"/>
    <w:rsid w:val="0063718D"/>
    <w:rsid w:val="00647525"/>
    <w:rsid w:val="00647A71"/>
    <w:rsid w:val="006536EB"/>
    <w:rsid w:val="006570B0"/>
    <w:rsid w:val="0066022F"/>
    <w:rsid w:val="006813BC"/>
    <w:rsid w:val="006823F3"/>
    <w:rsid w:val="00685E8A"/>
    <w:rsid w:val="0069210B"/>
    <w:rsid w:val="00695DD7"/>
    <w:rsid w:val="006A33FD"/>
    <w:rsid w:val="006A4055"/>
    <w:rsid w:val="006A7C27"/>
    <w:rsid w:val="006B2FE4"/>
    <w:rsid w:val="006B37B0"/>
    <w:rsid w:val="006C5641"/>
    <w:rsid w:val="006C7CD6"/>
    <w:rsid w:val="006D1089"/>
    <w:rsid w:val="006D1B86"/>
    <w:rsid w:val="006D7355"/>
    <w:rsid w:val="006E6995"/>
    <w:rsid w:val="006F7DEE"/>
    <w:rsid w:val="007009F7"/>
    <w:rsid w:val="0070124D"/>
    <w:rsid w:val="00701FD5"/>
    <w:rsid w:val="00715551"/>
    <w:rsid w:val="00715CA6"/>
    <w:rsid w:val="00731135"/>
    <w:rsid w:val="007324AF"/>
    <w:rsid w:val="007409B4"/>
    <w:rsid w:val="00741974"/>
    <w:rsid w:val="0075525E"/>
    <w:rsid w:val="00756D3D"/>
    <w:rsid w:val="007806C2"/>
    <w:rsid w:val="00781FEE"/>
    <w:rsid w:val="007903F8"/>
    <w:rsid w:val="00794F4F"/>
    <w:rsid w:val="007974BE"/>
    <w:rsid w:val="007A058F"/>
    <w:rsid w:val="007A0916"/>
    <w:rsid w:val="007A0DFD"/>
    <w:rsid w:val="007A3B43"/>
    <w:rsid w:val="007A61BB"/>
    <w:rsid w:val="007C7122"/>
    <w:rsid w:val="007D3F11"/>
    <w:rsid w:val="007E2C69"/>
    <w:rsid w:val="007E53E4"/>
    <w:rsid w:val="007E656A"/>
    <w:rsid w:val="007F3CAA"/>
    <w:rsid w:val="007F664D"/>
    <w:rsid w:val="00822E19"/>
    <w:rsid w:val="00837203"/>
    <w:rsid w:val="00842137"/>
    <w:rsid w:val="00853F5F"/>
    <w:rsid w:val="008623ED"/>
    <w:rsid w:val="008719DB"/>
    <w:rsid w:val="00871BFE"/>
    <w:rsid w:val="00875AA6"/>
    <w:rsid w:val="00880944"/>
    <w:rsid w:val="0089088E"/>
    <w:rsid w:val="0089185C"/>
    <w:rsid w:val="00892297"/>
    <w:rsid w:val="008964D6"/>
    <w:rsid w:val="008A3893"/>
    <w:rsid w:val="008B5123"/>
    <w:rsid w:val="008B5722"/>
    <w:rsid w:val="008E0172"/>
    <w:rsid w:val="008E3C20"/>
    <w:rsid w:val="008F742F"/>
    <w:rsid w:val="00915C93"/>
    <w:rsid w:val="00936852"/>
    <w:rsid w:val="0094045D"/>
    <w:rsid w:val="009406B5"/>
    <w:rsid w:val="0094585B"/>
    <w:rsid w:val="00946166"/>
    <w:rsid w:val="0094764C"/>
    <w:rsid w:val="00951C46"/>
    <w:rsid w:val="00983164"/>
    <w:rsid w:val="009972EF"/>
    <w:rsid w:val="009B5035"/>
    <w:rsid w:val="009C3160"/>
    <w:rsid w:val="009C5B29"/>
    <w:rsid w:val="009D163A"/>
    <w:rsid w:val="009E6DFF"/>
    <w:rsid w:val="009E766E"/>
    <w:rsid w:val="009F1960"/>
    <w:rsid w:val="009F715E"/>
    <w:rsid w:val="00A10DBB"/>
    <w:rsid w:val="00A11720"/>
    <w:rsid w:val="00A21247"/>
    <w:rsid w:val="00A24455"/>
    <w:rsid w:val="00A31D47"/>
    <w:rsid w:val="00A4013E"/>
    <w:rsid w:val="00A4045F"/>
    <w:rsid w:val="00A427CD"/>
    <w:rsid w:val="00A45FEE"/>
    <w:rsid w:val="00A4600B"/>
    <w:rsid w:val="00A50506"/>
    <w:rsid w:val="00A51EF0"/>
    <w:rsid w:val="00A6578F"/>
    <w:rsid w:val="00A67A81"/>
    <w:rsid w:val="00A730A6"/>
    <w:rsid w:val="00A971A0"/>
    <w:rsid w:val="00AA1F22"/>
    <w:rsid w:val="00AB132E"/>
    <w:rsid w:val="00AC7774"/>
    <w:rsid w:val="00AF2237"/>
    <w:rsid w:val="00B05821"/>
    <w:rsid w:val="00B100D6"/>
    <w:rsid w:val="00B164C9"/>
    <w:rsid w:val="00B26C28"/>
    <w:rsid w:val="00B35874"/>
    <w:rsid w:val="00B4174C"/>
    <w:rsid w:val="00B453F5"/>
    <w:rsid w:val="00B61624"/>
    <w:rsid w:val="00B65C66"/>
    <w:rsid w:val="00B66481"/>
    <w:rsid w:val="00B7189C"/>
    <w:rsid w:val="00B718A5"/>
    <w:rsid w:val="00B7716F"/>
    <w:rsid w:val="00B90AD6"/>
    <w:rsid w:val="00BA788A"/>
    <w:rsid w:val="00BB4983"/>
    <w:rsid w:val="00BB7597"/>
    <w:rsid w:val="00BC2AAB"/>
    <w:rsid w:val="00BC407B"/>
    <w:rsid w:val="00BC62E2"/>
    <w:rsid w:val="00BE13B7"/>
    <w:rsid w:val="00C27940"/>
    <w:rsid w:val="00C37820"/>
    <w:rsid w:val="00C42125"/>
    <w:rsid w:val="00C560CD"/>
    <w:rsid w:val="00C62814"/>
    <w:rsid w:val="00C67B25"/>
    <w:rsid w:val="00C748F7"/>
    <w:rsid w:val="00C74937"/>
    <w:rsid w:val="00C74B46"/>
    <w:rsid w:val="00CB2599"/>
    <w:rsid w:val="00CB6FFC"/>
    <w:rsid w:val="00CD2139"/>
    <w:rsid w:val="00CD6848"/>
    <w:rsid w:val="00CE5986"/>
    <w:rsid w:val="00CE5FF6"/>
    <w:rsid w:val="00CE7C65"/>
    <w:rsid w:val="00D05569"/>
    <w:rsid w:val="00D26CE1"/>
    <w:rsid w:val="00D30FB7"/>
    <w:rsid w:val="00D51D0D"/>
    <w:rsid w:val="00D647EF"/>
    <w:rsid w:val="00D73137"/>
    <w:rsid w:val="00D73E34"/>
    <w:rsid w:val="00D81924"/>
    <w:rsid w:val="00D977A2"/>
    <w:rsid w:val="00DA1D47"/>
    <w:rsid w:val="00DA1FA4"/>
    <w:rsid w:val="00DB7521"/>
    <w:rsid w:val="00DD50DE"/>
    <w:rsid w:val="00DE3062"/>
    <w:rsid w:val="00E0581D"/>
    <w:rsid w:val="00E204DD"/>
    <w:rsid w:val="00E34C01"/>
    <w:rsid w:val="00E353EC"/>
    <w:rsid w:val="00E37607"/>
    <w:rsid w:val="00E429AC"/>
    <w:rsid w:val="00E51F61"/>
    <w:rsid w:val="00E53C24"/>
    <w:rsid w:val="00E56E77"/>
    <w:rsid w:val="00E73BE9"/>
    <w:rsid w:val="00E87795"/>
    <w:rsid w:val="00E90A31"/>
    <w:rsid w:val="00EA6AB3"/>
    <w:rsid w:val="00EA7489"/>
    <w:rsid w:val="00EB1285"/>
    <w:rsid w:val="00EB444D"/>
    <w:rsid w:val="00EB71FA"/>
    <w:rsid w:val="00ED5B66"/>
    <w:rsid w:val="00EE5C0D"/>
    <w:rsid w:val="00EF0F59"/>
    <w:rsid w:val="00EF4792"/>
    <w:rsid w:val="00F02294"/>
    <w:rsid w:val="00F05E04"/>
    <w:rsid w:val="00F14020"/>
    <w:rsid w:val="00F209D5"/>
    <w:rsid w:val="00F30DE7"/>
    <w:rsid w:val="00F35B27"/>
    <w:rsid w:val="00F35F57"/>
    <w:rsid w:val="00F50467"/>
    <w:rsid w:val="00F562A0"/>
    <w:rsid w:val="00F57FA4"/>
    <w:rsid w:val="00F815CE"/>
    <w:rsid w:val="00FA02CB"/>
    <w:rsid w:val="00FA2177"/>
    <w:rsid w:val="00FB0783"/>
    <w:rsid w:val="00FB321E"/>
    <w:rsid w:val="00FB7A8B"/>
    <w:rsid w:val="00FC0F3D"/>
    <w:rsid w:val="00FD439E"/>
    <w:rsid w:val="00FD76CB"/>
    <w:rsid w:val="00FE152B"/>
    <w:rsid w:val="00FE239E"/>
    <w:rsid w:val="00FF09B7"/>
    <w:rsid w:val="00FF4546"/>
    <w:rsid w:val="00FF538F"/>
    <w:rsid w:val="00FF7B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B2D29"/>
  <w15:docId w15:val="{437851DF-A925-493B-990C-E309FBBB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Style 58,超????,超?级链,超??级链Ú,fL????,fL?级,하이퍼링크2,超??级链,하이퍼링크21"/>
    <w:basedOn w:val="DefaultParagraphFont"/>
    <w:qForma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aliases w:val="Style 14"/>
    <w:basedOn w:val="Normal"/>
    <w:next w:val="Normal"/>
    <w:uiPriority w:val="35"/>
    <w:unhideWhenUsed/>
    <w:qFormat/>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 w:type="paragraph" w:styleId="BodyText">
    <w:name w:val="Body Text"/>
    <w:basedOn w:val="Normal"/>
    <w:link w:val="BodyTextChar"/>
    <w:uiPriority w:val="1"/>
    <w:semiHidden/>
    <w:unhideWhenUsed/>
    <w:qFormat/>
    <w:rsid w:val="0089185C"/>
    <w:pPr>
      <w:widowControl w:val="0"/>
      <w:spacing w:before="8"/>
      <w:ind w:left="111" w:firstLine="201"/>
    </w:pPr>
    <w:rPr>
      <w:rFonts w:ascii="IPAex明朝" w:eastAsia="IPAex明朝" w:hAnsi="IPAex明朝" w:cstheme="minorBidi"/>
      <w:sz w:val="20"/>
      <w:szCs w:val="20"/>
      <w:lang w:val="en-US" w:eastAsia="en-US"/>
    </w:rPr>
  </w:style>
  <w:style w:type="character" w:customStyle="1" w:styleId="BodyTextChar">
    <w:name w:val="Body Text Char"/>
    <w:basedOn w:val="DefaultParagraphFont"/>
    <w:link w:val="BodyText"/>
    <w:uiPriority w:val="1"/>
    <w:semiHidden/>
    <w:rsid w:val="0089185C"/>
    <w:rPr>
      <w:rFonts w:ascii="IPAex明朝" w:eastAsia="IPAex明朝" w:hAnsi="IPAex明朝"/>
      <w:sz w:val="20"/>
      <w:szCs w:val="20"/>
      <w:lang w:eastAsia="en-US"/>
    </w:rPr>
  </w:style>
  <w:style w:type="character" w:customStyle="1" w:styleId="ListParagraphChar">
    <w:name w:val="List Paragraph Char"/>
    <w:link w:val="ListParagraph"/>
    <w:uiPriority w:val="34"/>
    <w:locked/>
    <w:rsid w:val="0089185C"/>
    <w:rPr>
      <w:rFonts w:ascii="Times New Roman" w:hAnsi="Times New Roman" w:cs="Times New Roman"/>
      <w:sz w:val="24"/>
      <w:szCs w:val="24"/>
      <w:lang w:val="en-GB" w:eastAsia="ja-JP"/>
    </w:rPr>
  </w:style>
  <w:style w:type="paragraph" w:styleId="ListParagraph">
    <w:name w:val="List Paragraph"/>
    <w:basedOn w:val="Normal"/>
    <w:link w:val="ListParagraphChar"/>
    <w:uiPriority w:val="34"/>
    <w:qFormat/>
    <w:rsid w:val="00891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172886">
      <w:bodyDiv w:val="1"/>
      <w:marLeft w:val="0"/>
      <w:marRight w:val="0"/>
      <w:marTop w:val="0"/>
      <w:marBottom w:val="0"/>
      <w:divBdr>
        <w:top w:val="none" w:sz="0" w:space="0" w:color="auto"/>
        <w:left w:val="none" w:sz="0" w:space="0" w:color="auto"/>
        <w:bottom w:val="none" w:sz="0" w:space="0" w:color="auto"/>
        <w:right w:val="none" w:sz="0" w:space="0" w:color="auto"/>
      </w:divBdr>
    </w:div>
    <w:div w:id="1170483872">
      <w:bodyDiv w:val="1"/>
      <w:marLeft w:val="0"/>
      <w:marRight w:val="0"/>
      <w:marTop w:val="0"/>
      <w:marBottom w:val="0"/>
      <w:divBdr>
        <w:top w:val="none" w:sz="0" w:space="0" w:color="auto"/>
        <w:left w:val="none" w:sz="0" w:space="0" w:color="auto"/>
        <w:bottom w:val="none" w:sz="0" w:space="0" w:color="auto"/>
        <w:right w:val="none" w:sz="0" w:space="0" w:color="auto"/>
      </w:divBdr>
    </w:div>
    <w:div w:id="201426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src.nist.gov/glossary/term/cryptographic-ke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nghee.shim@sk.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yyoum@sch.ac.kr"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6028/NIST.SP.800-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A6CEF-402C-4E29-8309-B8B1186896AB}"/>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docProps/app.xml><?xml version="1.0" encoding="utf-8"?>
<Properties xmlns="http://schemas.openxmlformats.org/officeDocument/2006/extended-properties" xmlns:vt="http://schemas.openxmlformats.org/officeDocument/2006/docPropsVTypes">
  <Template>Normal.dotm</Template>
  <TotalTime>9</TotalTime>
  <Pages>3</Pages>
  <Words>851</Words>
  <Characters>4854</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LS/o on harmonization of term and definition of ‘key’ related to quantum-based security used in SG17 and SG13 [to ITU-T SG13, SCV]</vt:lpstr>
      <vt:lpstr>LS/o on X.1363 (X.iotsec-3, Technical framework of PII (Personally Identifiable Information) handling system in IoT environment) [to ISO/IEC JTC 1/SC27/WG5]</vt:lpstr>
    </vt:vector>
  </TitlesOfParts>
  <Manager>ITU-T</Manager>
  <Company>International Telecommunication Union (ITU)</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harmonization of term and definition of ‘key’ related to quantum-based security used in ITU-T SG17 and SG13</dc:title>
  <dc:creator>ITU-T Study Group 17</dc:creator>
  <cp:keywords>SG17; SG13; Quantum; QKD, key</cp:keywords>
  <dc:description>SG2-TDSCV-TD110  For: Virtual, June 3, 2020_x000d_Document date: _x000d_Saved by ITU51011766 at 07:24:31 on 19/05/2020</dc:description>
  <cp:lastModifiedBy>TSB-AC</cp:lastModifiedBy>
  <cp:revision>4</cp:revision>
  <cp:lastPrinted>2016-12-23T12:52:00Z</cp:lastPrinted>
  <dcterms:created xsi:type="dcterms:W3CDTF">2020-05-19T05:26:00Z</dcterms:created>
  <dcterms:modified xsi:type="dcterms:W3CDTF">2020-05-19T07:36:00Z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SG2-TDSCV-TD110</vt:lpwstr>
  </property>
  <property fmtid="{D5CDD505-2E9C-101B-9397-08002B2CF9AE}" pid="3" name="Docdate">
    <vt:lpwstr/>
  </property>
  <property fmtid="{D5CDD505-2E9C-101B-9397-08002B2CF9AE}" pid="4" name="Docorlang">
    <vt:lpwstr/>
  </property>
  <property fmtid="{D5CDD505-2E9C-101B-9397-08002B2CF9AE}" pid="5" name="Docbluepink">
    <vt:lpwstr>4/17</vt:lpwstr>
  </property>
  <property fmtid="{D5CDD505-2E9C-101B-9397-08002B2CF9AE}" pid="6" name="Docdest">
    <vt:lpwstr>Virtual, June 3, 2020</vt:lpwstr>
  </property>
  <property fmtid="{D5CDD505-2E9C-101B-9397-08002B2CF9AE}" pid="7" name="Docauthor">
    <vt:lpwstr>ITU-T Study Group 17</vt:lpwstr>
  </property>
  <property fmtid="{D5CDD505-2E9C-101B-9397-08002B2CF9AE}" pid="8" name="ContentTypeId">
    <vt:lpwstr>0x01010017487812B7DF734F899F9E259C366837</vt:lpwstr>
  </property>
</Properties>
</file>