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7"/>
        <w:gridCol w:w="4534"/>
      </w:tblGrid>
      <w:tr w:rsidR="00333DB9" w:rsidRPr="00333DB9" w:rsidTr="003F6975">
        <w:trPr>
          <w:cantSplit/>
        </w:trPr>
        <w:tc>
          <w:tcPr>
            <w:tcW w:w="1191" w:type="dxa"/>
            <w:vMerge w:val="restart"/>
          </w:tcPr>
          <w:p w:rsidR="00333DB9" w:rsidRPr="00333DB9" w:rsidRDefault="00333DB9" w:rsidP="00333DB9">
            <w:pPr>
              <w:rPr>
                <w:sz w:val="20"/>
                <w:szCs w:val="20"/>
              </w:rPr>
            </w:pPr>
            <w:bookmarkStart w:id="0" w:name="dnum" w:colFirst="2" w:colLast="2"/>
            <w:bookmarkStart w:id="1" w:name="dtableau"/>
            <w:r w:rsidRPr="00333DB9">
              <w:rPr>
                <w:noProof/>
                <w:sz w:val="20"/>
                <w:szCs w:val="20"/>
                <w:lang w:eastAsia="en-GB"/>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rsidR="00333DB9" w:rsidRPr="00333DB9" w:rsidRDefault="00333DB9" w:rsidP="00333DB9">
            <w:pPr>
              <w:rPr>
                <w:sz w:val="16"/>
                <w:szCs w:val="16"/>
              </w:rPr>
            </w:pPr>
            <w:r w:rsidRPr="00333DB9">
              <w:rPr>
                <w:sz w:val="16"/>
                <w:szCs w:val="16"/>
              </w:rPr>
              <w:t>INTERNATIONAL TELECOMMUNICATION UNION</w:t>
            </w:r>
          </w:p>
          <w:p w:rsidR="00333DB9" w:rsidRPr="00333DB9" w:rsidRDefault="00333DB9" w:rsidP="00333DB9">
            <w:pPr>
              <w:rPr>
                <w:b/>
                <w:bCs/>
                <w:sz w:val="26"/>
                <w:szCs w:val="26"/>
              </w:rPr>
            </w:pPr>
            <w:r w:rsidRPr="00333DB9">
              <w:rPr>
                <w:b/>
                <w:bCs/>
                <w:sz w:val="26"/>
                <w:szCs w:val="26"/>
              </w:rPr>
              <w:t>TELECOMMUNICATION</w:t>
            </w:r>
            <w:r w:rsidRPr="00333DB9">
              <w:rPr>
                <w:b/>
                <w:bCs/>
                <w:sz w:val="26"/>
                <w:szCs w:val="26"/>
              </w:rPr>
              <w:br/>
              <w:t>STANDARDIZATION SECTOR</w:t>
            </w:r>
          </w:p>
          <w:p w:rsidR="00333DB9" w:rsidRPr="00333DB9" w:rsidRDefault="00333DB9" w:rsidP="00333DB9">
            <w:pPr>
              <w:rPr>
                <w:sz w:val="20"/>
                <w:szCs w:val="20"/>
              </w:rPr>
            </w:pPr>
            <w:r w:rsidRPr="00333DB9">
              <w:rPr>
                <w:sz w:val="20"/>
                <w:szCs w:val="20"/>
              </w:rPr>
              <w:t xml:space="preserve">STUDY PERIOD </w:t>
            </w:r>
            <w:bookmarkStart w:id="2" w:name="dstudyperiod"/>
            <w:r w:rsidRPr="00333DB9">
              <w:rPr>
                <w:sz w:val="20"/>
                <w:szCs w:val="20"/>
              </w:rPr>
              <w:t>2017-2020</w:t>
            </w:r>
            <w:bookmarkEnd w:id="2"/>
          </w:p>
        </w:tc>
        <w:tc>
          <w:tcPr>
            <w:tcW w:w="4681" w:type="dxa"/>
            <w:gridSpan w:val="2"/>
            <w:vAlign w:val="center"/>
          </w:tcPr>
          <w:p w:rsidR="00333DB9" w:rsidRPr="00333DB9" w:rsidRDefault="00333DB9" w:rsidP="00333DB9">
            <w:pPr>
              <w:pStyle w:val="Docnumber"/>
              <w:rPr>
                <w:sz w:val="32"/>
              </w:rPr>
            </w:pPr>
            <w:r>
              <w:rPr>
                <w:sz w:val="32"/>
              </w:rPr>
              <w:t>SCV</w:t>
            </w:r>
            <w:bookmarkStart w:id="3" w:name="_GoBack"/>
            <w:bookmarkEnd w:id="3"/>
            <w:r>
              <w:rPr>
                <w:sz w:val="32"/>
              </w:rPr>
              <w:t>-TD100</w:t>
            </w:r>
          </w:p>
        </w:tc>
      </w:tr>
      <w:tr w:rsidR="00333DB9" w:rsidRPr="00333DB9" w:rsidTr="003F6975">
        <w:trPr>
          <w:cantSplit/>
        </w:trPr>
        <w:tc>
          <w:tcPr>
            <w:tcW w:w="1191" w:type="dxa"/>
            <w:vMerge/>
          </w:tcPr>
          <w:p w:rsidR="00333DB9" w:rsidRPr="00333DB9" w:rsidRDefault="00333DB9" w:rsidP="00333DB9">
            <w:pPr>
              <w:rPr>
                <w:smallCaps/>
                <w:sz w:val="20"/>
              </w:rPr>
            </w:pPr>
            <w:bookmarkStart w:id="4" w:name="dsg" w:colFirst="2" w:colLast="2"/>
            <w:bookmarkEnd w:id="0"/>
          </w:p>
        </w:tc>
        <w:tc>
          <w:tcPr>
            <w:tcW w:w="4051" w:type="dxa"/>
            <w:gridSpan w:val="4"/>
            <w:vMerge/>
          </w:tcPr>
          <w:p w:rsidR="00333DB9" w:rsidRPr="00333DB9" w:rsidRDefault="00333DB9" w:rsidP="00333DB9">
            <w:pPr>
              <w:rPr>
                <w:smallCaps/>
                <w:sz w:val="20"/>
              </w:rPr>
            </w:pPr>
          </w:p>
        </w:tc>
        <w:tc>
          <w:tcPr>
            <w:tcW w:w="4681" w:type="dxa"/>
            <w:gridSpan w:val="2"/>
          </w:tcPr>
          <w:p w:rsidR="00333DB9" w:rsidRPr="00333DB9" w:rsidRDefault="00333DB9" w:rsidP="00333DB9">
            <w:pPr>
              <w:jc w:val="right"/>
              <w:rPr>
                <w:b/>
                <w:bCs/>
                <w:smallCaps/>
                <w:sz w:val="28"/>
                <w:szCs w:val="28"/>
              </w:rPr>
            </w:pPr>
            <w:r>
              <w:rPr>
                <w:b/>
                <w:bCs/>
                <w:smallCaps/>
                <w:sz w:val="28"/>
                <w:szCs w:val="28"/>
              </w:rPr>
              <w:t>SCV</w:t>
            </w:r>
          </w:p>
        </w:tc>
      </w:tr>
      <w:bookmarkEnd w:id="4"/>
      <w:tr w:rsidR="00333DB9" w:rsidRPr="00333DB9" w:rsidTr="003F6975">
        <w:trPr>
          <w:cantSplit/>
        </w:trPr>
        <w:tc>
          <w:tcPr>
            <w:tcW w:w="1191" w:type="dxa"/>
            <w:vMerge/>
            <w:tcBorders>
              <w:bottom w:val="single" w:sz="12" w:space="0" w:color="auto"/>
            </w:tcBorders>
          </w:tcPr>
          <w:p w:rsidR="00333DB9" w:rsidRPr="00333DB9" w:rsidRDefault="00333DB9" w:rsidP="00333DB9">
            <w:pPr>
              <w:rPr>
                <w:b/>
                <w:bCs/>
                <w:sz w:val="26"/>
              </w:rPr>
            </w:pPr>
          </w:p>
        </w:tc>
        <w:tc>
          <w:tcPr>
            <w:tcW w:w="4051" w:type="dxa"/>
            <w:gridSpan w:val="4"/>
            <w:vMerge/>
            <w:tcBorders>
              <w:bottom w:val="single" w:sz="12" w:space="0" w:color="auto"/>
            </w:tcBorders>
          </w:tcPr>
          <w:p w:rsidR="00333DB9" w:rsidRPr="00333DB9" w:rsidRDefault="00333DB9" w:rsidP="00333DB9">
            <w:pPr>
              <w:rPr>
                <w:b/>
                <w:bCs/>
                <w:sz w:val="26"/>
              </w:rPr>
            </w:pPr>
          </w:p>
        </w:tc>
        <w:tc>
          <w:tcPr>
            <w:tcW w:w="4681" w:type="dxa"/>
            <w:gridSpan w:val="2"/>
            <w:tcBorders>
              <w:bottom w:val="single" w:sz="12" w:space="0" w:color="auto"/>
            </w:tcBorders>
            <w:vAlign w:val="center"/>
          </w:tcPr>
          <w:p w:rsidR="00333DB9" w:rsidRPr="00333DB9" w:rsidRDefault="00333DB9" w:rsidP="00333DB9">
            <w:pPr>
              <w:jc w:val="right"/>
              <w:rPr>
                <w:b/>
                <w:bCs/>
                <w:sz w:val="28"/>
                <w:szCs w:val="28"/>
              </w:rPr>
            </w:pPr>
            <w:r w:rsidRPr="00333DB9">
              <w:rPr>
                <w:b/>
                <w:bCs/>
                <w:sz w:val="28"/>
                <w:szCs w:val="28"/>
              </w:rPr>
              <w:t>Original: English</w:t>
            </w:r>
          </w:p>
        </w:tc>
      </w:tr>
      <w:tr w:rsidR="00333DB9" w:rsidRPr="00333DB9" w:rsidTr="003F6975">
        <w:trPr>
          <w:cantSplit/>
        </w:trPr>
        <w:tc>
          <w:tcPr>
            <w:tcW w:w="1617" w:type="dxa"/>
            <w:gridSpan w:val="3"/>
          </w:tcPr>
          <w:p w:rsidR="00333DB9" w:rsidRPr="00333DB9" w:rsidRDefault="00333DB9" w:rsidP="00333DB9">
            <w:pPr>
              <w:rPr>
                <w:b/>
                <w:bCs/>
              </w:rPr>
            </w:pPr>
            <w:bookmarkStart w:id="5" w:name="dbluepink" w:colFirst="1" w:colLast="1"/>
            <w:bookmarkStart w:id="6" w:name="dmeeting" w:colFirst="2" w:colLast="2"/>
          </w:p>
        </w:tc>
        <w:tc>
          <w:tcPr>
            <w:tcW w:w="3625" w:type="dxa"/>
            <w:gridSpan w:val="2"/>
          </w:tcPr>
          <w:p w:rsidR="00333DB9" w:rsidRPr="00333DB9" w:rsidRDefault="00333DB9" w:rsidP="00333DB9">
            <w:r w:rsidRPr="00333DB9">
              <w:t>All/2</w:t>
            </w:r>
          </w:p>
        </w:tc>
        <w:tc>
          <w:tcPr>
            <w:tcW w:w="4681" w:type="dxa"/>
            <w:gridSpan w:val="2"/>
          </w:tcPr>
          <w:p w:rsidR="00333DB9" w:rsidRPr="00333DB9" w:rsidRDefault="00333DB9" w:rsidP="00333DB9">
            <w:pPr>
              <w:jc w:val="right"/>
            </w:pPr>
            <w:r w:rsidRPr="00333DB9">
              <w:t>Virtual, 17 June 2019</w:t>
            </w:r>
          </w:p>
        </w:tc>
      </w:tr>
      <w:tr w:rsidR="00333DB9" w:rsidRPr="00333DB9" w:rsidTr="003F6975">
        <w:trPr>
          <w:cantSplit/>
        </w:trPr>
        <w:tc>
          <w:tcPr>
            <w:tcW w:w="9923" w:type="dxa"/>
            <w:gridSpan w:val="7"/>
          </w:tcPr>
          <w:p w:rsidR="00333DB9" w:rsidRPr="00333DB9" w:rsidRDefault="00333DB9" w:rsidP="00333DB9">
            <w:pPr>
              <w:jc w:val="center"/>
              <w:rPr>
                <w:b/>
                <w:bCs/>
              </w:rPr>
            </w:pPr>
            <w:bookmarkStart w:id="7" w:name="ddoctype" w:colFirst="0" w:colLast="0"/>
            <w:bookmarkEnd w:id="5"/>
            <w:bookmarkEnd w:id="6"/>
            <w:r w:rsidRPr="00333DB9">
              <w:rPr>
                <w:b/>
                <w:bCs/>
              </w:rPr>
              <w:t>TD</w:t>
            </w:r>
          </w:p>
          <w:p w:rsidR="00333DB9" w:rsidRPr="00333DB9" w:rsidRDefault="00333DB9" w:rsidP="00333DB9">
            <w:pPr>
              <w:jc w:val="center"/>
              <w:rPr>
                <w:b/>
                <w:bCs/>
              </w:rPr>
            </w:pPr>
            <w:r w:rsidRPr="00333DB9">
              <w:rPr>
                <w:b/>
                <w:bCs/>
              </w:rPr>
              <w:t>(Ref.: SG2-LS101)</w:t>
            </w:r>
          </w:p>
        </w:tc>
      </w:tr>
      <w:tr w:rsidR="00333DB9" w:rsidRPr="00333DB9" w:rsidTr="003F6975">
        <w:trPr>
          <w:cantSplit/>
        </w:trPr>
        <w:tc>
          <w:tcPr>
            <w:tcW w:w="1617" w:type="dxa"/>
            <w:gridSpan w:val="3"/>
          </w:tcPr>
          <w:p w:rsidR="00333DB9" w:rsidRPr="00333DB9" w:rsidRDefault="00333DB9" w:rsidP="00333DB9">
            <w:pPr>
              <w:rPr>
                <w:b/>
                <w:bCs/>
              </w:rPr>
            </w:pPr>
            <w:bookmarkStart w:id="8" w:name="dsource" w:colFirst="1" w:colLast="1"/>
            <w:bookmarkEnd w:id="7"/>
            <w:r w:rsidRPr="00333DB9">
              <w:rPr>
                <w:b/>
                <w:bCs/>
              </w:rPr>
              <w:t>Source:</w:t>
            </w:r>
          </w:p>
        </w:tc>
        <w:tc>
          <w:tcPr>
            <w:tcW w:w="8306" w:type="dxa"/>
            <w:gridSpan w:val="4"/>
          </w:tcPr>
          <w:p w:rsidR="00333DB9" w:rsidRPr="00333DB9" w:rsidRDefault="00333DB9" w:rsidP="00333DB9">
            <w:r w:rsidRPr="00333DB9">
              <w:t>ITU-T Study Group 2</w:t>
            </w:r>
          </w:p>
        </w:tc>
      </w:tr>
      <w:tr w:rsidR="00333DB9" w:rsidRPr="00333DB9" w:rsidTr="003F6975">
        <w:trPr>
          <w:cantSplit/>
        </w:trPr>
        <w:tc>
          <w:tcPr>
            <w:tcW w:w="1617" w:type="dxa"/>
            <w:gridSpan w:val="3"/>
          </w:tcPr>
          <w:p w:rsidR="00333DB9" w:rsidRPr="00333DB9" w:rsidRDefault="00333DB9" w:rsidP="00333DB9">
            <w:bookmarkStart w:id="9" w:name="dtitle1" w:colFirst="1" w:colLast="1"/>
            <w:bookmarkEnd w:id="8"/>
            <w:r w:rsidRPr="00333DB9">
              <w:rPr>
                <w:b/>
                <w:bCs/>
              </w:rPr>
              <w:t>Title:</w:t>
            </w:r>
          </w:p>
        </w:tc>
        <w:tc>
          <w:tcPr>
            <w:tcW w:w="8306" w:type="dxa"/>
            <w:gridSpan w:val="4"/>
          </w:tcPr>
          <w:p w:rsidR="00333DB9" w:rsidRPr="00333DB9" w:rsidRDefault="00333DB9" w:rsidP="00333DB9">
            <w:r w:rsidRPr="00333DB9">
              <w:t>LS on SCV activity in SG2</w:t>
            </w:r>
          </w:p>
        </w:tc>
      </w:tr>
      <w:tr w:rsidR="00333DB9" w:rsidRPr="00333DB9" w:rsidTr="003F6975">
        <w:trPr>
          <w:cantSplit/>
        </w:trPr>
        <w:tc>
          <w:tcPr>
            <w:tcW w:w="1617" w:type="dxa"/>
            <w:gridSpan w:val="3"/>
            <w:tcBorders>
              <w:bottom w:val="single" w:sz="8" w:space="0" w:color="auto"/>
            </w:tcBorders>
          </w:tcPr>
          <w:p w:rsidR="00333DB9" w:rsidRPr="00333DB9" w:rsidRDefault="00333DB9" w:rsidP="00333DB9">
            <w:pPr>
              <w:rPr>
                <w:b/>
                <w:bCs/>
              </w:rPr>
            </w:pPr>
            <w:bookmarkStart w:id="10" w:name="dpurpose" w:colFirst="1" w:colLast="1"/>
            <w:bookmarkEnd w:id="9"/>
            <w:r w:rsidRPr="00333DB9">
              <w:rPr>
                <w:b/>
                <w:bCs/>
              </w:rPr>
              <w:t>Purpose:</w:t>
            </w:r>
          </w:p>
        </w:tc>
        <w:tc>
          <w:tcPr>
            <w:tcW w:w="8306" w:type="dxa"/>
            <w:gridSpan w:val="4"/>
            <w:tcBorders>
              <w:bottom w:val="single" w:sz="8" w:space="0" w:color="auto"/>
            </w:tcBorders>
          </w:tcPr>
          <w:p w:rsidR="00333DB9" w:rsidRPr="00333DB9" w:rsidRDefault="00333DB9" w:rsidP="00333DB9">
            <w:r w:rsidRPr="00333DB9">
              <w:t>Action</w:t>
            </w:r>
          </w:p>
        </w:tc>
      </w:tr>
      <w:bookmarkEnd w:id="1"/>
      <w:bookmarkEnd w:id="10"/>
      <w:tr w:rsidR="00FE3BB1" w:rsidTr="00A61E50">
        <w:trPr>
          <w:cantSplit/>
          <w:trHeight w:val="357"/>
        </w:trPr>
        <w:tc>
          <w:tcPr>
            <w:tcW w:w="9923" w:type="dxa"/>
            <w:gridSpan w:val="7"/>
            <w:tcBorders>
              <w:top w:val="single" w:sz="12" w:space="0" w:color="auto"/>
            </w:tcBorders>
            <w:shd w:val="clear" w:color="auto" w:fill="auto"/>
          </w:tcPr>
          <w:p w:rsidR="00FE3BB1" w:rsidRDefault="001C32D0">
            <w:pPr>
              <w:jc w:val="center"/>
              <w:rPr>
                <w:b/>
              </w:rPr>
            </w:pPr>
            <w:r>
              <w:rPr>
                <w:b/>
              </w:rPr>
              <w:t>LIAISON STATEMENT</w:t>
            </w:r>
          </w:p>
        </w:tc>
      </w:tr>
      <w:tr w:rsidR="00FE3BB1">
        <w:trPr>
          <w:cantSplit/>
          <w:trHeight w:val="357"/>
        </w:trPr>
        <w:tc>
          <w:tcPr>
            <w:tcW w:w="2127" w:type="dxa"/>
            <w:gridSpan w:val="4"/>
            <w:shd w:val="clear" w:color="auto" w:fill="auto"/>
          </w:tcPr>
          <w:p w:rsidR="00FE3BB1" w:rsidRPr="00A977E2" w:rsidRDefault="001C32D0">
            <w:pPr>
              <w:rPr>
                <w:b/>
                <w:bCs/>
              </w:rPr>
            </w:pPr>
            <w:r w:rsidRPr="00A977E2">
              <w:rPr>
                <w:b/>
                <w:bCs/>
              </w:rPr>
              <w:t>For action to:</w:t>
            </w:r>
          </w:p>
        </w:tc>
        <w:tc>
          <w:tcPr>
            <w:tcW w:w="7796" w:type="dxa"/>
            <w:gridSpan w:val="3"/>
            <w:shd w:val="clear" w:color="auto" w:fill="auto"/>
          </w:tcPr>
          <w:p w:rsidR="00FE3BB1" w:rsidRPr="00A977E2" w:rsidRDefault="001C32D0">
            <w:pPr>
              <w:pStyle w:val="LSForAction"/>
              <w:rPr>
                <w:rFonts w:eastAsiaTheme="minorEastAsia"/>
                <w:lang w:eastAsia="zh-CN"/>
              </w:rPr>
            </w:pPr>
            <w:r w:rsidRPr="00A977E2">
              <w:t>SCV/CCV</w:t>
            </w:r>
          </w:p>
        </w:tc>
      </w:tr>
      <w:tr w:rsidR="00FE3BB1">
        <w:trPr>
          <w:cantSplit/>
          <w:trHeight w:val="357"/>
        </w:trPr>
        <w:tc>
          <w:tcPr>
            <w:tcW w:w="2127" w:type="dxa"/>
            <w:gridSpan w:val="4"/>
            <w:shd w:val="clear" w:color="auto" w:fill="auto"/>
          </w:tcPr>
          <w:p w:rsidR="00FE3BB1" w:rsidRPr="00A977E2" w:rsidRDefault="001C32D0">
            <w:pPr>
              <w:rPr>
                <w:b/>
                <w:bCs/>
              </w:rPr>
            </w:pPr>
            <w:r w:rsidRPr="00A977E2">
              <w:rPr>
                <w:b/>
                <w:bCs/>
              </w:rPr>
              <w:t>For comment to:</w:t>
            </w:r>
          </w:p>
        </w:tc>
        <w:tc>
          <w:tcPr>
            <w:tcW w:w="7796" w:type="dxa"/>
            <w:gridSpan w:val="3"/>
            <w:shd w:val="clear" w:color="auto" w:fill="auto"/>
          </w:tcPr>
          <w:p w:rsidR="00FE3BB1" w:rsidRPr="00A977E2" w:rsidRDefault="001C32D0">
            <w:pPr>
              <w:pStyle w:val="LSForComment"/>
            </w:pPr>
            <w:r w:rsidRPr="00A977E2">
              <w:t>-</w:t>
            </w:r>
          </w:p>
        </w:tc>
      </w:tr>
      <w:tr w:rsidR="00FE3BB1" w:rsidRPr="00333DB9" w:rsidTr="007933FF">
        <w:trPr>
          <w:cantSplit/>
          <w:trHeight w:val="357"/>
        </w:trPr>
        <w:tc>
          <w:tcPr>
            <w:tcW w:w="2127" w:type="dxa"/>
            <w:gridSpan w:val="4"/>
            <w:shd w:val="clear" w:color="auto" w:fill="auto"/>
          </w:tcPr>
          <w:p w:rsidR="00FE3BB1" w:rsidRPr="00A977E2" w:rsidRDefault="001C32D0">
            <w:pPr>
              <w:rPr>
                <w:b/>
                <w:bCs/>
              </w:rPr>
            </w:pPr>
            <w:r w:rsidRPr="00A977E2">
              <w:rPr>
                <w:b/>
                <w:bCs/>
              </w:rPr>
              <w:t>For information to:</w:t>
            </w:r>
          </w:p>
        </w:tc>
        <w:tc>
          <w:tcPr>
            <w:tcW w:w="7796" w:type="dxa"/>
            <w:gridSpan w:val="3"/>
            <w:shd w:val="clear" w:color="auto" w:fill="auto"/>
          </w:tcPr>
          <w:p w:rsidR="00FE3BB1" w:rsidRPr="00A977E2" w:rsidRDefault="001C32D0">
            <w:pPr>
              <w:rPr>
                <w:lang w:val="fr-CH" w:eastAsia="zh-CN"/>
              </w:rPr>
            </w:pPr>
            <w:r w:rsidRPr="00A977E2">
              <w:rPr>
                <w:lang w:val="fr-CH"/>
              </w:rPr>
              <w:t>ITU-T SG5, SG9, SG13, SG15, SG17, SG20</w:t>
            </w:r>
          </w:p>
        </w:tc>
      </w:tr>
      <w:tr w:rsidR="00FE3BB1" w:rsidTr="007933FF">
        <w:trPr>
          <w:cantSplit/>
          <w:trHeight w:val="357"/>
        </w:trPr>
        <w:tc>
          <w:tcPr>
            <w:tcW w:w="2127" w:type="dxa"/>
            <w:gridSpan w:val="4"/>
            <w:shd w:val="clear" w:color="auto" w:fill="auto"/>
          </w:tcPr>
          <w:p w:rsidR="00FE3BB1" w:rsidRPr="00A977E2" w:rsidRDefault="001C32D0">
            <w:pPr>
              <w:rPr>
                <w:b/>
                <w:bCs/>
              </w:rPr>
            </w:pPr>
            <w:r w:rsidRPr="00A977E2">
              <w:rPr>
                <w:b/>
                <w:bCs/>
              </w:rPr>
              <w:t>Approval:</w:t>
            </w:r>
          </w:p>
        </w:tc>
        <w:tc>
          <w:tcPr>
            <w:tcW w:w="7796" w:type="dxa"/>
            <w:gridSpan w:val="3"/>
            <w:shd w:val="clear" w:color="auto" w:fill="auto"/>
          </w:tcPr>
          <w:p w:rsidR="00FE3BB1" w:rsidRPr="00A977E2" w:rsidRDefault="001C32D0">
            <w:r w:rsidRPr="00A977E2">
              <w:t xml:space="preserve">ITU-T </w:t>
            </w:r>
            <w:r w:rsidRPr="00A977E2">
              <w:rPr>
                <w:lang w:eastAsia="zh-CN"/>
              </w:rPr>
              <w:t>S</w:t>
            </w:r>
            <w:r w:rsidR="00237017">
              <w:rPr>
                <w:lang w:eastAsia="zh-CN"/>
              </w:rPr>
              <w:t xml:space="preserve">tudy </w:t>
            </w:r>
            <w:r w:rsidRPr="00A977E2">
              <w:rPr>
                <w:lang w:eastAsia="zh-CN"/>
              </w:rPr>
              <w:t>G</w:t>
            </w:r>
            <w:r w:rsidR="00237017">
              <w:rPr>
                <w:lang w:eastAsia="zh-CN"/>
              </w:rPr>
              <w:t xml:space="preserve">roup </w:t>
            </w:r>
            <w:r w:rsidRPr="00A977E2">
              <w:rPr>
                <w:lang w:eastAsia="zh-CN"/>
              </w:rPr>
              <w:t>2</w:t>
            </w:r>
            <w:r w:rsidR="00A977E2" w:rsidRPr="00A977E2">
              <w:t xml:space="preserve"> meeting (Geneva, </w:t>
            </w:r>
            <w:r w:rsidRPr="00A977E2">
              <w:t>28 February 2019)</w:t>
            </w:r>
          </w:p>
        </w:tc>
      </w:tr>
      <w:tr w:rsidR="00FE3BB1" w:rsidTr="007933FF">
        <w:trPr>
          <w:cantSplit/>
          <w:trHeight w:val="357"/>
        </w:trPr>
        <w:tc>
          <w:tcPr>
            <w:tcW w:w="2127" w:type="dxa"/>
            <w:gridSpan w:val="4"/>
            <w:shd w:val="clear" w:color="auto" w:fill="auto"/>
          </w:tcPr>
          <w:p w:rsidR="00FE3BB1" w:rsidRPr="00A977E2" w:rsidRDefault="001C32D0">
            <w:pPr>
              <w:rPr>
                <w:b/>
                <w:bCs/>
              </w:rPr>
            </w:pPr>
            <w:r w:rsidRPr="00A977E2">
              <w:rPr>
                <w:b/>
                <w:bCs/>
              </w:rPr>
              <w:t>Deadline:</w:t>
            </w:r>
          </w:p>
        </w:tc>
        <w:tc>
          <w:tcPr>
            <w:tcW w:w="7796" w:type="dxa"/>
            <w:gridSpan w:val="3"/>
            <w:shd w:val="clear" w:color="auto" w:fill="auto"/>
          </w:tcPr>
          <w:p w:rsidR="00FE3BB1" w:rsidRPr="00A977E2" w:rsidRDefault="001C32D0">
            <w:pPr>
              <w:pStyle w:val="LSDeadline"/>
              <w:rPr>
                <w:rFonts w:eastAsiaTheme="minorEastAsia"/>
                <w:lang w:eastAsia="zh-CN"/>
              </w:rPr>
            </w:pPr>
            <w:r w:rsidRPr="00A977E2">
              <w:rPr>
                <w:rFonts w:eastAsiaTheme="minorEastAsia"/>
                <w:lang w:eastAsia="zh-CN"/>
              </w:rPr>
              <w:t>-</w:t>
            </w:r>
          </w:p>
        </w:tc>
      </w:tr>
      <w:tr w:rsidR="00FE3BB1" w:rsidRPr="003324C1">
        <w:trPr>
          <w:cantSplit/>
        </w:trPr>
        <w:tc>
          <w:tcPr>
            <w:tcW w:w="1607" w:type="dxa"/>
            <w:gridSpan w:val="2"/>
            <w:tcBorders>
              <w:top w:val="single" w:sz="8" w:space="0" w:color="000000"/>
              <w:bottom w:val="single" w:sz="8" w:space="0" w:color="000000"/>
            </w:tcBorders>
            <w:shd w:val="clear" w:color="auto" w:fill="auto"/>
          </w:tcPr>
          <w:p w:rsidR="00FE3BB1" w:rsidRPr="00A977E2" w:rsidRDefault="001C32D0">
            <w:pPr>
              <w:rPr>
                <w:b/>
                <w:bCs/>
              </w:rPr>
            </w:pPr>
            <w:r w:rsidRPr="00A977E2">
              <w:rPr>
                <w:b/>
                <w:bCs/>
              </w:rPr>
              <w:t>Contact:</w:t>
            </w:r>
          </w:p>
        </w:tc>
        <w:tc>
          <w:tcPr>
            <w:tcW w:w="3782" w:type="dxa"/>
            <w:gridSpan w:val="4"/>
            <w:tcBorders>
              <w:top w:val="single" w:sz="8" w:space="0" w:color="000000"/>
              <w:bottom w:val="single" w:sz="8" w:space="0" w:color="000000"/>
            </w:tcBorders>
            <w:shd w:val="clear" w:color="auto" w:fill="auto"/>
          </w:tcPr>
          <w:p w:rsidR="00FE3BB1" w:rsidRPr="00A977E2" w:rsidRDefault="00FD1E76">
            <w:sdt>
              <w:sdtPr>
                <w:alias w:val="ContactNameOrgCountry"/>
                <w:id w:val="1240128638"/>
                <w:text/>
              </w:sdtPr>
              <w:sdtEndPr/>
              <w:sdtContent>
                <w:r w:rsidR="001C32D0" w:rsidRPr="00A977E2">
                  <w:t>Dmitry Cherkesov</w:t>
                </w:r>
                <w:r w:rsidR="001C32D0" w:rsidRPr="00A977E2">
                  <w:br/>
                  <w:t>Russian Federation</w:t>
                </w:r>
              </w:sdtContent>
            </w:sdt>
          </w:p>
        </w:tc>
        <w:tc>
          <w:tcPr>
            <w:tcW w:w="4534" w:type="dxa"/>
            <w:tcBorders>
              <w:top w:val="single" w:sz="8" w:space="0" w:color="000000"/>
              <w:bottom w:val="single" w:sz="8" w:space="0" w:color="000000"/>
            </w:tcBorders>
            <w:shd w:val="clear" w:color="auto" w:fill="auto"/>
          </w:tcPr>
          <w:p w:rsidR="00FE3BB1" w:rsidRPr="00A977E2" w:rsidRDefault="001C32D0">
            <w:pPr>
              <w:rPr>
                <w:lang w:val="fr-CH"/>
              </w:rPr>
            </w:pPr>
            <w:r w:rsidRPr="00A977E2">
              <w:rPr>
                <w:lang w:val="pt-BR"/>
              </w:rPr>
              <w:t xml:space="preserve">Tel: </w:t>
            </w:r>
            <w:r w:rsidRPr="00A977E2">
              <w:rPr>
                <w:lang w:val="pt-BR"/>
              </w:rPr>
              <w:tab/>
            </w:r>
            <w:r w:rsidRPr="00A977E2">
              <w:rPr>
                <w:lang w:val="fr-CH"/>
              </w:rPr>
              <w:t>+7 985 239 06 00</w:t>
            </w:r>
            <w:r w:rsidRPr="00A977E2">
              <w:rPr>
                <w:lang w:val="pt-BR"/>
              </w:rPr>
              <w:br/>
              <w:t xml:space="preserve">E-mail: </w:t>
            </w:r>
            <w:r w:rsidR="00237017" w:rsidRPr="00A977E2">
              <w:rPr>
                <w:rStyle w:val="-"/>
                <w:rFonts w:ascii="Times New Roman" w:hAnsi="Times New Roman"/>
                <w:lang w:val="pt-BR"/>
              </w:rPr>
              <w:fldChar w:fldCharType="begin"/>
            </w:r>
            <w:r w:rsidR="00237017" w:rsidRPr="00A977E2">
              <w:rPr>
                <w:rStyle w:val="-"/>
                <w:rFonts w:ascii="Times New Roman" w:hAnsi="Times New Roman"/>
                <w:lang w:val="pt-BR"/>
              </w:rPr>
              <w:instrText xml:space="preserve"> HYPERLINK "mailto:dcherkesov@gmail.com" \h </w:instrText>
            </w:r>
            <w:r w:rsidR="00237017" w:rsidRPr="00A977E2">
              <w:rPr>
                <w:rStyle w:val="-"/>
                <w:rFonts w:ascii="Times New Roman" w:hAnsi="Times New Roman"/>
                <w:lang w:val="pt-BR"/>
              </w:rPr>
              <w:fldChar w:fldCharType="separate"/>
            </w:r>
            <w:r w:rsidRPr="00A977E2">
              <w:rPr>
                <w:rStyle w:val="-"/>
                <w:rFonts w:ascii="Times New Roman" w:hAnsi="Times New Roman"/>
                <w:lang w:val="pt-BR"/>
              </w:rPr>
              <w:t>dcherkesov@</w:t>
            </w:r>
            <w:r w:rsidRPr="00A977E2">
              <w:rPr>
                <w:rStyle w:val="-"/>
                <w:rFonts w:ascii="Times New Roman" w:hAnsi="Times New Roman"/>
                <w:lang w:val="fr-CH"/>
              </w:rPr>
              <w:t>gmail.com</w:t>
            </w:r>
            <w:r w:rsidR="00237017" w:rsidRPr="00A977E2">
              <w:rPr>
                <w:rStyle w:val="-"/>
                <w:rFonts w:ascii="Times New Roman" w:hAnsi="Times New Roman"/>
                <w:lang w:val="fr-CH"/>
              </w:rPr>
              <w:fldChar w:fldCharType="end"/>
            </w:r>
          </w:p>
        </w:tc>
      </w:tr>
    </w:tbl>
    <w:p w:rsidR="00FE3BB1" w:rsidRPr="001C32D0" w:rsidRDefault="00FE3BB1">
      <w:pPr>
        <w:rPr>
          <w:lang w:val="fr-CH"/>
        </w:rPr>
      </w:pPr>
    </w:p>
    <w:tbl>
      <w:tblPr>
        <w:tblW w:w="9757" w:type="dxa"/>
        <w:tblCellMar>
          <w:left w:w="57" w:type="dxa"/>
          <w:right w:w="57" w:type="dxa"/>
        </w:tblCellMar>
        <w:tblLook w:val="0000" w:firstRow="0" w:lastRow="0" w:firstColumn="0" w:lastColumn="0" w:noHBand="0" w:noVBand="0"/>
      </w:tblPr>
      <w:tblGrid>
        <w:gridCol w:w="1611"/>
        <w:gridCol w:w="8146"/>
      </w:tblGrid>
      <w:tr w:rsidR="00FE3BB1">
        <w:trPr>
          <w:cantSplit/>
          <w:trHeight w:val="257"/>
        </w:trPr>
        <w:tc>
          <w:tcPr>
            <w:tcW w:w="1611" w:type="dxa"/>
            <w:shd w:val="clear" w:color="auto" w:fill="auto"/>
          </w:tcPr>
          <w:p w:rsidR="00FE3BB1" w:rsidRDefault="001C32D0">
            <w:pPr>
              <w:rPr>
                <w:b/>
                <w:bCs/>
              </w:rPr>
            </w:pPr>
            <w:r>
              <w:rPr>
                <w:b/>
                <w:bCs/>
              </w:rPr>
              <w:t>Keywords:</w:t>
            </w:r>
          </w:p>
        </w:tc>
        <w:tc>
          <w:tcPr>
            <w:tcW w:w="8145" w:type="dxa"/>
            <w:shd w:val="clear" w:color="auto" w:fill="auto"/>
          </w:tcPr>
          <w:p w:rsidR="00FE3BB1" w:rsidRDefault="00FD1E76">
            <w:sdt>
              <w:sdtPr>
                <w:alias w:val="Keywords"/>
                <w:id w:val="1183481452"/>
                <w:dataBinding w:prefixMappings="xmlns:ns0='http://purl.org/dc/elements/1.1/' xmlns:ns1='http://schemas.openxmlformats.org/package/2006/metadata/core-properties' " w:xpath="/ns1:coreProperties[1]/ns1:keywords[1]" w:storeItemID="{6C3C8BC8-F283-45AE-878A-BAB7291924A1}"/>
                <w:text/>
              </w:sdtPr>
              <w:sdtEndPr/>
              <w:sdtContent>
                <w:r w:rsidR="001C32D0">
                  <w:t>SCV terms definitions</w:t>
                </w:r>
              </w:sdtContent>
            </w:sdt>
          </w:p>
        </w:tc>
      </w:tr>
      <w:tr w:rsidR="00FE3BB1">
        <w:trPr>
          <w:cantSplit/>
          <w:trHeight w:val="467"/>
        </w:trPr>
        <w:tc>
          <w:tcPr>
            <w:tcW w:w="1611" w:type="dxa"/>
            <w:shd w:val="clear" w:color="auto" w:fill="auto"/>
          </w:tcPr>
          <w:p w:rsidR="00FE3BB1" w:rsidRDefault="001C32D0">
            <w:pPr>
              <w:rPr>
                <w:b/>
                <w:bCs/>
              </w:rPr>
            </w:pPr>
            <w:r>
              <w:rPr>
                <w:b/>
                <w:bCs/>
              </w:rPr>
              <w:t>Abstract:</w:t>
            </w:r>
          </w:p>
        </w:tc>
        <w:tc>
          <w:tcPr>
            <w:tcW w:w="8145"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00FE3BB1" w:rsidRDefault="001C32D0">
                <w:r>
                  <w:rPr>
                    <w:lang w:val="en-US"/>
                  </w:rPr>
                  <w:t>Liaison to SCV regarding current terms and definition activities within SG2.</w:t>
                </w:r>
              </w:p>
            </w:sdtContent>
          </w:sdt>
        </w:tc>
      </w:tr>
    </w:tbl>
    <w:p w:rsidR="00FE3BB1" w:rsidRDefault="001C32D0">
      <w:pPr>
        <w:spacing w:before="360"/>
        <w:jc w:val="both"/>
      </w:pPr>
      <w:r>
        <w:t xml:space="preserve">ITU-T SG2 thanks SCV/CCV and SGs for the </w:t>
      </w:r>
      <w:r w:rsidR="00516C7A">
        <w:t xml:space="preserve">work on </w:t>
      </w:r>
      <w:r>
        <w:t xml:space="preserve">alignment </w:t>
      </w:r>
      <w:r w:rsidR="00516C7A">
        <w:t xml:space="preserve">of </w:t>
      </w:r>
      <w:r>
        <w:t>terms and definitions</w:t>
      </w:r>
      <w:proofErr w:type="gramStart"/>
      <w:r w:rsidR="00516C7A">
        <w:t>.</w:t>
      </w:r>
      <w:r>
        <w:t>.</w:t>
      </w:r>
      <w:proofErr w:type="gramEnd"/>
    </w:p>
    <w:p w:rsidR="00FE3BB1" w:rsidRDefault="001C32D0">
      <w:pPr>
        <w:pStyle w:val="ListParagraph"/>
        <w:numPr>
          <w:ilvl w:val="0"/>
          <w:numId w:val="1"/>
        </w:numPr>
        <w:contextualSpacing/>
        <w:rPr>
          <w:lang w:val="en-US" w:eastAsia="zh-CN"/>
        </w:rPr>
      </w:pPr>
      <w:r>
        <w:rPr>
          <w:lang w:val="en-US" w:eastAsia="zh-CN"/>
        </w:rPr>
        <w:t xml:space="preserve">At ITU-T Study Group 2 meeting (Geneva, </w:t>
      </w:r>
      <w:r>
        <w:t>19-28 February 2019</w:t>
      </w:r>
      <w:r>
        <w:rPr>
          <w:lang w:val="en-US" w:eastAsia="zh-CN"/>
        </w:rPr>
        <w:t>)</w:t>
      </w:r>
      <w:r w:rsidR="00516C7A">
        <w:rPr>
          <w:lang w:val="en-US" w:eastAsia="zh-CN"/>
        </w:rPr>
        <w:t>,</w:t>
      </w:r>
      <w:r>
        <w:rPr>
          <w:lang w:val="en-US" w:eastAsia="zh-CN"/>
        </w:rPr>
        <w:t xml:space="preserve"> we discussed the results of the last SCV/CCV me</w:t>
      </w:r>
      <w:r w:rsidR="00516C7A">
        <w:rPr>
          <w:lang w:val="en-US" w:eastAsia="zh-CN"/>
        </w:rPr>
        <w:t>eting and evaluated proposals</w:t>
      </w:r>
      <w:r>
        <w:rPr>
          <w:lang w:val="en-US" w:eastAsia="zh-CN"/>
        </w:rPr>
        <w:t xml:space="preserve"> by SCV/CCV and SGs </w:t>
      </w:r>
      <w:r w:rsidR="00516C7A">
        <w:rPr>
          <w:lang w:val="en-US" w:eastAsia="zh-CN"/>
        </w:rPr>
        <w:t xml:space="preserve">on </w:t>
      </w:r>
      <w:r>
        <w:rPr>
          <w:lang w:val="en-US" w:eastAsia="zh-CN"/>
        </w:rPr>
        <w:t xml:space="preserve">terms and definitions. </w:t>
      </w:r>
    </w:p>
    <w:p w:rsidR="00FE3BB1" w:rsidRDefault="001C32D0">
      <w:pPr>
        <w:pStyle w:val="ListParagraph"/>
        <w:numPr>
          <w:ilvl w:val="0"/>
          <w:numId w:val="1"/>
        </w:numPr>
        <w:contextualSpacing/>
      </w:pPr>
      <w:r>
        <w:t xml:space="preserve">At this SG2 meeting, following SCV and SGs recommendations, we amended or decided to reuse definitions for </w:t>
      </w:r>
      <w:r w:rsidR="00516C7A">
        <w:t xml:space="preserve">the </w:t>
      </w:r>
      <w:r>
        <w:t>following terms:</w:t>
      </w:r>
    </w:p>
    <w:p w:rsidR="00FE3BB1" w:rsidRDefault="001C32D0">
      <w:pPr>
        <w:pStyle w:val="ListParagraph"/>
        <w:numPr>
          <w:ilvl w:val="1"/>
          <w:numId w:val="1"/>
        </w:numPr>
        <w:contextualSpacing/>
      </w:pPr>
      <w:proofErr w:type="gramStart"/>
      <w:r>
        <w:rPr>
          <w:b/>
          <w:bCs/>
          <w:lang w:val="en-US" w:eastAsia="zh-CN"/>
        </w:rPr>
        <w:t>telecommunication</w:t>
      </w:r>
      <w:proofErr w:type="gramEnd"/>
      <w:r>
        <w:rPr>
          <w:b/>
          <w:bCs/>
          <w:lang w:val="en-US" w:eastAsia="zh-CN"/>
        </w:rPr>
        <w:t xml:space="preserve"> smart maintenance: </w:t>
      </w:r>
      <w:r>
        <w:rPr>
          <w:lang w:val="en-US" w:eastAsia="zh-CN"/>
        </w:rPr>
        <w:t xml:space="preserve">The maintenance carried out with advanced technology-based (IoT, AR, wearable technology, </w:t>
      </w:r>
      <w:proofErr w:type="spellStart"/>
      <w:r>
        <w:rPr>
          <w:lang w:val="en-US" w:eastAsia="zh-CN"/>
        </w:rPr>
        <w:t>etc</w:t>
      </w:r>
      <w:proofErr w:type="spellEnd"/>
      <w:r>
        <w:rPr>
          <w:lang w:val="en-US" w:eastAsia="zh-CN"/>
        </w:rPr>
        <w:t xml:space="preserve">) toolkit and system, which can provide strong human-computer interaction capabilities and online guidance to </w:t>
      </w:r>
      <w:proofErr w:type="spellStart"/>
      <w:r>
        <w:rPr>
          <w:lang w:val="en-US" w:eastAsia="zh-CN"/>
        </w:rPr>
        <w:t>personnels</w:t>
      </w:r>
      <w:proofErr w:type="spellEnd"/>
      <w:r>
        <w:rPr>
          <w:lang w:val="en-US" w:eastAsia="zh-CN"/>
        </w:rPr>
        <w:t>, to achieve higher efficiency and precision of actions</w:t>
      </w:r>
      <w:r>
        <w:t>.</w:t>
      </w:r>
    </w:p>
    <w:p w:rsidR="00FE3BB1" w:rsidRDefault="001C32D0">
      <w:pPr>
        <w:pStyle w:val="ListParagraph"/>
        <w:numPr>
          <w:ilvl w:val="1"/>
          <w:numId w:val="1"/>
        </w:numPr>
        <w:contextualSpacing/>
      </w:pPr>
      <w:r>
        <w:rPr>
          <w:rFonts w:eastAsia="MS Mincho"/>
          <w:b/>
          <w:bCs/>
          <w:shd w:val="clear" w:color="auto" w:fill="FFFFFF"/>
        </w:rPr>
        <w:t xml:space="preserve">e-health </w:t>
      </w:r>
      <w:r>
        <w:t xml:space="preserve">[ITU-T </w:t>
      </w:r>
      <w:r>
        <w:rPr>
          <w:rFonts w:eastAsia="MS Mincho"/>
        </w:rPr>
        <w:t>X.1092</w:t>
      </w:r>
      <w:r>
        <w:t>]: e-health is the transfer of health resources and health care by electronic means</w:t>
      </w:r>
    </w:p>
    <w:p w:rsidR="00FE3BB1" w:rsidRDefault="001C32D0">
      <w:pPr>
        <w:numPr>
          <w:ilvl w:val="1"/>
          <w:numId w:val="1"/>
        </w:numPr>
        <w:contextualSpacing/>
      </w:pPr>
      <w:proofErr w:type="gramStart"/>
      <w:r>
        <w:rPr>
          <w:rFonts w:eastAsia="Times New Roman"/>
          <w:b/>
          <w:bCs/>
          <w:color w:val="000000"/>
        </w:rPr>
        <w:t>data</w:t>
      </w:r>
      <w:proofErr w:type="gramEnd"/>
      <w:r>
        <w:rPr>
          <w:rFonts w:eastAsia="Times New Roman"/>
          <w:b/>
          <w:bCs/>
          <w:color w:val="000000"/>
        </w:rPr>
        <w:t xml:space="preserve"> quality</w:t>
      </w:r>
      <w:r>
        <w:rPr>
          <w:rFonts w:eastAsia="Times New Roman"/>
          <w:color w:val="000000"/>
        </w:rPr>
        <w:t xml:space="preserve"> [ISO 8000-2]: Degree to which a set of inherent characteristics of data fulfils requirements.</w:t>
      </w:r>
    </w:p>
    <w:p w:rsidR="00FE3BB1" w:rsidRDefault="001C32D0">
      <w:pPr>
        <w:numPr>
          <w:ilvl w:val="1"/>
          <w:numId w:val="1"/>
        </w:numPr>
        <w:contextualSpacing/>
      </w:pPr>
      <w:r>
        <w:rPr>
          <w:rFonts w:eastAsia="Times New Roman"/>
          <w:b/>
          <w:bCs/>
          <w:color w:val="000000"/>
          <w:lang w:eastAsia="zh-CN"/>
        </w:rPr>
        <w:t>telecommunication anti-fraud management</w:t>
      </w:r>
      <w:r>
        <w:rPr>
          <w:rFonts w:eastAsia="Times New Roman"/>
          <w:color w:val="000000"/>
          <w:lang w:eastAsia="zh-CN"/>
        </w:rPr>
        <w:t>: A whole range of management activities to mitigate telecommunication fraud preventively and actively</w:t>
      </w:r>
    </w:p>
    <w:p w:rsidR="00FE3BB1" w:rsidRDefault="001C32D0">
      <w:pPr>
        <w:numPr>
          <w:ilvl w:val="0"/>
          <w:numId w:val="1"/>
        </w:numPr>
        <w:tabs>
          <w:tab w:val="left" w:pos="1560"/>
          <w:tab w:val="left" w:pos="1588"/>
          <w:tab w:val="left" w:pos="1985"/>
        </w:tabs>
        <w:overflowPunct w:val="0"/>
        <w:jc w:val="both"/>
      </w:pPr>
      <w:r>
        <w:rPr>
          <w:color w:val="000000"/>
        </w:rPr>
        <w:t xml:space="preserve">SG2 considered proposals of SG5 and SCV for </w:t>
      </w:r>
      <w:r w:rsidR="00516C7A">
        <w:rPr>
          <w:color w:val="000000"/>
        </w:rPr>
        <w:t xml:space="preserve">definitions of </w:t>
      </w:r>
      <w:r>
        <w:rPr>
          <w:color w:val="000000"/>
        </w:rPr>
        <w:t xml:space="preserve">dependability, </w:t>
      </w:r>
      <w:bookmarkStart w:id="11" w:name="_Hlk524478204"/>
      <w:bookmarkEnd w:id="11"/>
      <w:r>
        <w:rPr>
          <w:color w:val="000000"/>
        </w:rPr>
        <w:t xml:space="preserve">inter-cloud governance, reliability, resiliency, and has no comment on it. </w:t>
      </w:r>
    </w:p>
    <w:p w:rsidR="00FE3BB1" w:rsidRDefault="001C32D0">
      <w:pPr>
        <w:numPr>
          <w:ilvl w:val="0"/>
          <w:numId w:val="1"/>
        </w:numPr>
        <w:tabs>
          <w:tab w:val="left" w:pos="1560"/>
          <w:tab w:val="left" w:pos="1588"/>
          <w:tab w:val="left" w:pos="1985"/>
        </w:tabs>
        <w:overflowPunct w:val="0"/>
        <w:jc w:val="both"/>
      </w:pPr>
      <w:r>
        <w:rPr>
          <w:color w:val="000000"/>
        </w:rPr>
        <w:lastRenderedPageBreak/>
        <w:t>SG2 checked DLT terms and definitions from F</w:t>
      </w:r>
      <w:r w:rsidR="00516C7A">
        <w:rPr>
          <w:color w:val="000000"/>
        </w:rPr>
        <w:t>G</w:t>
      </w:r>
      <w:r>
        <w:rPr>
          <w:color w:val="000000"/>
        </w:rPr>
        <w:t xml:space="preserve"> DLT and FG DPM and has no comment on it.</w:t>
      </w:r>
    </w:p>
    <w:p w:rsidR="00FE3BB1" w:rsidRDefault="001C32D0">
      <w:pPr>
        <w:numPr>
          <w:ilvl w:val="0"/>
          <w:numId w:val="1"/>
        </w:numPr>
        <w:tabs>
          <w:tab w:val="left" w:pos="1560"/>
          <w:tab w:val="left" w:pos="1588"/>
          <w:tab w:val="left" w:pos="1985"/>
        </w:tabs>
        <w:overflowPunct w:val="0"/>
        <w:jc w:val="both"/>
      </w:pPr>
      <w:r>
        <w:rPr>
          <w:color w:val="000000"/>
        </w:rPr>
        <w:t>SG2 checked possible duplication of four terms: Cloud-based network management, Management service analysis function, Management service composing function, Management service deployment function. We fo</w:t>
      </w:r>
      <w:r w:rsidR="00516C7A">
        <w:rPr>
          <w:color w:val="000000"/>
        </w:rPr>
        <w:t>u</w:t>
      </w:r>
      <w:r>
        <w:rPr>
          <w:color w:val="000000"/>
        </w:rPr>
        <w:t>nd out that they are defined in our M.3071, and M.3071 is the only Recommendation within ITU that defines these terms. We haven't found any conflicts with other definitions. As M.3071 was already approved in 2018, currently we think that there are no obvious reasons for SG2 to modify these definitions. SG2 might consider rephrasing these terms when appropriate in the future following SG5 proposals.</w:t>
      </w:r>
    </w:p>
    <w:p w:rsidR="00FE3BB1" w:rsidRDefault="001C32D0">
      <w:pPr>
        <w:numPr>
          <w:ilvl w:val="0"/>
          <w:numId w:val="1"/>
        </w:numPr>
        <w:tabs>
          <w:tab w:val="left" w:pos="1560"/>
          <w:tab w:val="left" w:pos="1588"/>
          <w:tab w:val="left" w:pos="1985"/>
        </w:tabs>
        <w:overflowPunct w:val="0"/>
        <w:jc w:val="both"/>
      </w:pPr>
      <w:r>
        <w:rPr>
          <w:rStyle w:val="ListLabel48"/>
        </w:rPr>
        <w:t xml:space="preserve">SG2 processed </w:t>
      </w:r>
      <w:hyperlink r:id="rId11">
        <w:r>
          <w:rPr>
            <w:rStyle w:val="ListLabel48"/>
          </w:rPr>
          <w:t>liaison from</w:t>
        </w:r>
      </w:hyperlink>
      <w:r>
        <w:rPr>
          <w:color w:val="000000"/>
        </w:rPr>
        <w:t xml:space="preserve"> </w:t>
      </w:r>
      <w:r>
        <w:t>ITU-T SG9 on "</w:t>
      </w:r>
      <w:r>
        <w:rPr>
          <w:color w:val="000000"/>
        </w:rPr>
        <w:t xml:space="preserve">AAP consent of draft new Recommendation ITU-T J.1 (ex. </w:t>
      </w:r>
      <w:proofErr w:type="spellStart"/>
      <w:r>
        <w:rPr>
          <w:color w:val="000000"/>
        </w:rPr>
        <w:t>J.tda</w:t>
      </w:r>
      <w:proofErr w:type="spellEnd"/>
      <w:r>
        <w:rPr>
          <w:color w:val="000000"/>
        </w:rPr>
        <w:t>) "Terms, definitions and acronyms for television and sound transmission and integrated broadband cable networks" (</w:t>
      </w:r>
      <w:hyperlink r:id="rId12" w:history="1">
        <w:r w:rsidR="00516C7A" w:rsidRPr="00ED2ADD">
          <w:rPr>
            <w:rStyle w:val="Hyperlink"/>
          </w:rPr>
          <w:t>SG2-</w:t>
        </w:r>
        <w:r w:rsidRPr="00ED2ADD">
          <w:rPr>
            <w:rStyle w:val="Hyperlink"/>
          </w:rPr>
          <w:t>TD568</w:t>
        </w:r>
      </w:hyperlink>
      <w:r>
        <w:rPr>
          <w:color w:val="000000"/>
        </w:rPr>
        <w:t>)</w:t>
      </w:r>
      <w:r>
        <w:t>. It was noted that Recommendation ITU-T J.1 has already been approved now. WP2/2 SG2 carefully checked many (hundreds?) of proposed/used terms and definitions and would like to propose followings.</w:t>
      </w:r>
    </w:p>
    <w:p w:rsidR="00FE3BB1" w:rsidRDefault="001C32D0">
      <w:pPr>
        <w:numPr>
          <w:ilvl w:val="2"/>
          <w:numId w:val="2"/>
        </w:numPr>
        <w:tabs>
          <w:tab w:val="left" w:pos="1560"/>
          <w:tab w:val="left" w:pos="1588"/>
          <w:tab w:val="left" w:pos="1985"/>
        </w:tabs>
        <w:overflowPunct w:val="0"/>
        <w:jc w:val="both"/>
      </w:pPr>
      <w:r>
        <w:rPr>
          <w:color w:val="000000"/>
        </w:rPr>
        <w:t>There are 3 definitions for Management Information Base (MIB). As SG2 is the leading study group for telecom management, we would li</w:t>
      </w:r>
      <w:r w:rsidR="00ED2ADD">
        <w:rPr>
          <w:color w:val="000000"/>
        </w:rPr>
        <w:t>ke to suggest SG9 to consider</w:t>
      </w:r>
      <w:r>
        <w:rPr>
          <w:color w:val="000000"/>
        </w:rPr>
        <w:t xml:space="preserve"> referring to the definitions in M.60.</w:t>
      </w:r>
    </w:p>
    <w:p w:rsidR="00FE3BB1" w:rsidRDefault="001C32D0">
      <w:pPr>
        <w:tabs>
          <w:tab w:val="left" w:pos="1560"/>
          <w:tab w:val="left" w:pos="1588"/>
          <w:tab w:val="left" w:pos="1985"/>
        </w:tabs>
        <w:overflowPunct w:val="0"/>
        <w:ind w:left="1080"/>
        <w:jc w:val="both"/>
      </w:pPr>
      <w:r>
        <w:rPr>
          <w:b/>
          <w:bCs/>
          <w:color w:val="000000"/>
        </w:rPr>
        <w:t>Term</w:t>
      </w:r>
      <w:r>
        <w:rPr>
          <w:color w:val="000000"/>
        </w:rPr>
        <w:t>: management information base (MIB)</w:t>
      </w:r>
    </w:p>
    <w:p w:rsidR="00FE3BB1" w:rsidRDefault="001C32D0">
      <w:pPr>
        <w:tabs>
          <w:tab w:val="left" w:pos="1560"/>
          <w:tab w:val="left" w:pos="1588"/>
          <w:tab w:val="left" w:pos="1985"/>
        </w:tabs>
        <w:overflowPunct w:val="0"/>
        <w:ind w:left="1080"/>
        <w:jc w:val="both"/>
      </w:pPr>
      <w:r>
        <w:rPr>
          <w:b/>
          <w:bCs/>
          <w:color w:val="000000"/>
        </w:rPr>
        <w:t>Definition</w:t>
      </w:r>
      <w:r>
        <w:rPr>
          <w:color w:val="000000"/>
        </w:rPr>
        <w:t>: Management information may be shared between management processes and is structured according to the requirements of those processes. The MIB neither restricts the interpretation of management data to a pre-defined set, nor to whether the data is stored in a processed or unprocessed form. However, both the abstract syntax and the semantics of information which is part of the MIB are defined so that they can be represented in OSI protocol exchanges.</w:t>
      </w:r>
    </w:p>
    <w:p w:rsidR="00FE3BB1" w:rsidRDefault="001C32D0">
      <w:pPr>
        <w:tabs>
          <w:tab w:val="left" w:pos="1560"/>
          <w:tab w:val="left" w:pos="1588"/>
          <w:tab w:val="left" w:pos="1985"/>
        </w:tabs>
        <w:overflowPunct w:val="0"/>
        <w:ind w:left="1080"/>
        <w:jc w:val="both"/>
      </w:pPr>
      <w:r>
        <w:rPr>
          <w:color w:val="000000"/>
        </w:rPr>
        <w:t>b) There are also many other terms which have multiple definitions within SG9 Recommendations, we would li</w:t>
      </w:r>
      <w:r w:rsidR="00ED2ADD">
        <w:rPr>
          <w:color w:val="000000"/>
        </w:rPr>
        <w:t>ke to suggest SG9 to consider</w:t>
      </w:r>
      <w:r>
        <w:rPr>
          <w:color w:val="000000"/>
        </w:rPr>
        <w:t xml:space="preserve"> merging/amending these terms in one/same definition. These terms include (maybe more): </w:t>
      </w:r>
    </w:p>
    <w:p w:rsidR="00FE3BB1" w:rsidRDefault="001C32D0">
      <w:pPr>
        <w:ind w:left="1440"/>
      </w:pPr>
      <w:r>
        <w:t xml:space="preserve">- </w:t>
      </w:r>
      <w:proofErr w:type="gramStart"/>
      <w:r>
        <w:rPr>
          <w:rFonts w:eastAsia="SimSun"/>
        </w:rPr>
        <w:t>access</w:t>
      </w:r>
      <w:proofErr w:type="gramEnd"/>
      <w:r>
        <w:rPr>
          <w:rFonts w:eastAsia="SimSun"/>
        </w:rPr>
        <w:t xml:space="preserve"> control</w:t>
      </w:r>
    </w:p>
    <w:p w:rsidR="00FE3BB1" w:rsidRDefault="001C32D0">
      <w:pPr>
        <w:ind w:left="1440"/>
      </w:pPr>
      <w:r>
        <w:rPr>
          <w:rFonts w:eastAsia="SimSun"/>
        </w:rPr>
        <w:t xml:space="preserve">- </w:t>
      </w:r>
      <w:proofErr w:type="gramStart"/>
      <w:r>
        <w:rPr>
          <w:rFonts w:eastAsia="SimSun"/>
        </w:rPr>
        <w:t>announcement</w:t>
      </w:r>
      <w:proofErr w:type="gramEnd"/>
      <w:r>
        <w:rPr>
          <w:rFonts w:eastAsia="SimSun"/>
        </w:rPr>
        <w:t xml:space="preserve"> server</w:t>
      </w:r>
    </w:p>
    <w:p w:rsidR="00FE3BB1" w:rsidRDefault="001C32D0">
      <w:pPr>
        <w:ind w:left="1440"/>
      </w:pPr>
      <w:r>
        <w:t xml:space="preserve">- </w:t>
      </w:r>
      <w:r>
        <w:rPr>
          <w:rFonts w:eastAsia="SimSun"/>
        </w:rPr>
        <w:t>API connection</w:t>
      </w:r>
    </w:p>
    <w:p w:rsidR="00FE3BB1" w:rsidRDefault="001C32D0">
      <w:pPr>
        <w:ind w:left="1440"/>
      </w:pPr>
      <w:r>
        <w:rPr>
          <w:rFonts w:eastAsia="SimSun"/>
        </w:rPr>
        <w:t xml:space="preserve">- </w:t>
      </w:r>
      <w:proofErr w:type="gramStart"/>
      <w:r>
        <w:rPr>
          <w:rFonts w:eastAsia="SimSun"/>
        </w:rPr>
        <w:t>application</w:t>
      </w:r>
      <w:proofErr w:type="gramEnd"/>
    </w:p>
    <w:p w:rsidR="00FE3BB1" w:rsidRDefault="001C32D0">
      <w:pPr>
        <w:ind w:left="1440"/>
      </w:pPr>
      <w:r>
        <w:rPr>
          <w:rFonts w:eastAsia="SimSun"/>
        </w:rPr>
        <w:t xml:space="preserve">- </w:t>
      </w:r>
      <w:proofErr w:type="gramStart"/>
      <w:r>
        <w:rPr>
          <w:rFonts w:eastAsia="SimSun"/>
        </w:rPr>
        <w:t>application</w:t>
      </w:r>
      <w:proofErr w:type="gramEnd"/>
      <w:r>
        <w:rPr>
          <w:rFonts w:eastAsia="SimSun"/>
        </w:rPr>
        <w:t xml:space="preserve"> ID</w:t>
      </w:r>
    </w:p>
    <w:p w:rsidR="00FE3BB1" w:rsidRDefault="001C32D0">
      <w:pPr>
        <w:ind w:left="1440"/>
      </w:pPr>
      <w:r>
        <w:rPr>
          <w:rFonts w:eastAsia="SimSun"/>
        </w:rPr>
        <w:t xml:space="preserve">- </w:t>
      </w:r>
      <w:proofErr w:type="gramStart"/>
      <w:r>
        <w:rPr>
          <w:rFonts w:eastAsia="SimSun"/>
        </w:rPr>
        <w:t>authentication</w:t>
      </w:r>
      <w:proofErr w:type="gramEnd"/>
    </w:p>
    <w:p w:rsidR="00FE3BB1" w:rsidRDefault="001C32D0">
      <w:pPr>
        <w:ind w:left="1440"/>
      </w:pPr>
      <w:r>
        <w:rPr>
          <w:rFonts w:eastAsia="SimSun"/>
        </w:rPr>
        <w:t xml:space="preserve">- </w:t>
      </w:r>
      <w:proofErr w:type="gramStart"/>
      <w:r>
        <w:rPr>
          <w:rFonts w:eastAsia="SimSun"/>
        </w:rPr>
        <w:t>authorization</w:t>
      </w:r>
      <w:proofErr w:type="gramEnd"/>
    </w:p>
    <w:p w:rsidR="00FE3BB1" w:rsidRDefault="001C32D0">
      <w:pPr>
        <w:ind w:left="1440"/>
      </w:pPr>
      <w:r>
        <w:rPr>
          <w:rFonts w:eastAsia="SimSun"/>
        </w:rPr>
        <w:t xml:space="preserve">- </w:t>
      </w:r>
      <w:proofErr w:type="gramStart"/>
      <w:r>
        <w:rPr>
          <w:rFonts w:eastAsia="SimSun"/>
        </w:rPr>
        <w:t>authorization</w:t>
      </w:r>
      <w:proofErr w:type="gramEnd"/>
      <w:r>
        <w:rPr>
          <w:rFonts w:eastAsia="SimSun"/>
        </w:rPr>
        <w:t xml:space="preserve"> centre</w:t>
      </w:r>
    </w:p>
    <w:p w:rsidR="00FE3BB1" w:rsidRDefault="001C32D0">
      <w:pPr>
        <w:ind w:left="1440"/>
      </w:pPr>
      <w:r>
        <w:rPr>
          <w:rFonts w:eastAsia="SimSun"/>
        </w:rPr>
        <w:t xml:space="preserve">- </w:t>
      </w:r>
      <w:proofErr w:type="gramStart"/>
      <w:r>
        <w:rPr>
          <w:rFonts w:eastAsia="SimSun"/>
        </w:rPr>
        <w:t>bouquet</w:t>
      </w:r>
      <w:proofErr w:type="gramEnd"/>
    </w:p>
    <w:p w:rsidR="00FE3BB1" w:rsidRDefault="001C32D0">
      <w:pPr>
        <w:ind w:left="1440"/>
      </w:pPr>
      <w:r>
        <w:rPr>
          <w:rFonts w:eastAsia="SimSun"/>
        </w:rPr>
        <w:t xml:space="preserve">- </w:t>
      </w:r>
      <w:proofErr w:type="gramStart"/>
      <w:r>
        <w:rPr>
          <w:rFonts w:eastAsia="SimSun"/>
        </w:rPr>
        <w:t>bridge</w:t>
      </w:r>
      <w:proofErr w:type="gramEnd"/>
      <w:r>
        <w:rPr>
          <w:rFonts w:eastAsia="SimSun"/>
        </w:rPr>
        <w:t xml:space="preserve"> protocol data unit</w:t>
      </w:r>
    </w:p>
    <w:p w:rsidR="00FE3BB1" w:rsidRDefault="001C32D0">
      <w:pPr>
        <w:ind w:left="1440"/>
      </w:pPr>
      <w:r>
        <w:rPr>
          <w:rFonts w:eastAsia="SimSun"/>
        </w:rPr>
        <w:t>- broadcast address</w:t>
      </w:r>
    </w:p>
    <w:p w:rsidR="00FE3BB1" w:rsidRDefault="001C32D0">
      <w:pPr>
        <w:ind w:left="1440"/>
      </w:pPr>
      <w:r>
        <w:rPr>
          <w:rFonts w:eastAsia="SimSun"/>
        </w:rPr>
        <w:t xml:space="preserve">- </w:t>
      </w:r>
      <w:proofErr w:type="gramStart"/>
      <w:r>
        <w:rPr>
          <w:rFonts w:eastAsia="SimSun"/>
        </w:rPr>
        <w:t>broadcast</w:t>
      </w:r>
      <w:proofErr w:type="gramEnd"/>
      <w:r>
        <w:rPr>
          <w:rFonts w:eastAsia="SimSun"/>
        </w:rPr>
        <w:t xml:space="preserve"> channel</w:t>
      </w:r>
    </w:p>
    <w:p w:rsidR="00FE3BB1" w:rsidRDefault="001C32D0">
      <w:pPr>
        <w:ind w:left="1440"/>
      </w:pPr>
      <w:r>
        <w:rPr>
          <w:rFonts w:eastAsia="SimSun"/>
        </w:rPr>
        <w:t xml:space="preserve">- </w:t>
      </w:r>
      <w:proofErr w:type="gramStart"/>
      <w:r>
        <w:rPr>
          <w:rFonts w:eastAsia="SimSun"/>
        </w:rPr>
        <w:t>byte</w:t>
      </w:r>
      <w:proofErr w:type="gramEnd"/>
    </w:p>
    <w:p w:rsidR="00FE3BB1" w:rsidRDefault="001C32D0">
      <w:pPr>
        <w:ind w:left="1440"/>
      </w:pPr>
      <w:r>
        <w:rPr>
          <w:rFonts w:eastAsia="SimSun"/>
        </w:rPr>
        <w:t xml:space="preserve">- </w:t>
      </w:r>
      <w:proofErr w:type="spellStart"/>
      <w:r>
        <w:rPr>
          <w:rFonts w:eastAsia="SimSun"/>
        </w:rPr>
        <w:t>CA_system_ID</w:t>
      </w:r>
      <w:proofErr w:type="spellEnd"/>
    </w:p>
    <w:p w:rsidR="00FE3BB1" w:rsidRDefault="001C32D0">
      <w:pPr>
        <w:ind w:left="1440"/>
      </w:pPr>
      <w:r>
        <w:rPr>
          <w:rFonts w:eastAsia="SimSun"/>
        </w:rPr>
        <w:lastRenderedPageBreak/>
        <w:t xml:space="preserve">- </w:t>
      </w:r>
      <w:proofErr w:type="gramStart"/>
      <w:r>
        <w:rPr>
          <w:rFonts w:eastAsia="SimSun"/>
        </w:rPr>
        <w:t>cable</w:t>
      </w:r>
      <w:proofErr w:type="gramEnd"/>
      <w:r>
        <w:rPr>
          <w:rFonts w:eastAsia="SimSun"/>
        </w:rPr>
        <w:t xml:space="preserve"> modem</w:t>
      </w:r>
    </w:p>
    <w:p w:rsidR="00FE3BB1" w:rsidRDefault="001C32D0">
      <w:pPr>
        <w:ind w:left="1440"/>
      </w:pPr>
      <w:r>
        <w:rPr>
          <w:rFonts w:eastAsia="SimSun"/>
        </w:rPr>
        <w:t xml:space="preserve">- </w:t>
      </w:r>
      <w:proofErr w:type="gramStart"/>
      <w:r>
        <w:rPr>
          <w:rFonts w:eastAsia="SimSun"/>
        </w:rPr>
        <w:t>cable</w:t>
      </w:r>
      <w:proofErr w:type="gramEnd"/>
      <w:r>
        <w:rPr>
          <w:rFonts w:eastAsia="SimSun"/>
        </w:rPr>
        <w:t xml:space="preserve"> modem termination system; Network Side Interface (CMTS-NSI)</w:t>
      </w:r>
    </w:p>
    <w:p w:rsidR="00FE3BB1" w:rsidRDefault="001C32D0">
      <w:pPr>
        <w:ind w:left="1440"/>
      </w:pPr>
      <w:r>
        <w:rPr>
          <w:rFonts w:eastAsia="SimSun"/>
        </w:rPr>
        <w:t>- Cable Modem to CPE Interface (CMCI)</w:t>
      </w:r>
    </w:p>
    <w:p w:rsidR="00FE3BB1" w:rsidRDefault="001C32D0">
      <w:pPr>
        <w:ind w:left="1440"/>
      </w:pPr>
      <w:r>
        <w:rPr>
          <w:rFonts w:eastAsia="SimSun"/>
        </w:rPr>
        <w:t>- Carrier-to-Noise Ratio (C/N or CNR)</w:t>
      </w:r>
    </w:p>
    <w:p w:rsidR="00FE3BB1" w:rsidRDefault="001C32D0">
      <w:pPr>
        <w:ind w:left="1440"/>
      </w:pPr>
      <w:r>
        <w:rPr>
          <w:rFonts w:eastAsia="SimSun"/>
        </w:rPr>
        <w:t xml:space="preserve">- </w:t>
      </w:r>
      <w:proofErr w:type="gramStart"/>
      <w:r>
        <w:rPr>
          <w:rFonts w:eastAsia="SimSun"/>
        </w:rPr>
        <w:t>channel</w:t>
      </w:r>
      <w:proofErr w:type="gramEnd"/>
      <w:r>
        <w:rPr>
          <w:rFonts w:eastAsia="SimSun"/>
        </w:rPr>
        <w:t xml:space="preserve"> </w:t>
      </w:r>
    </w:p>
    <w:p w:rsidR="00FE3BB1" w:rsidRDefault="001C32D0">
      <w:pPr>
        <w:ind w:left="1440"/>
      </w:pPr>
      <w:r>
        <w:rPr>
          <w:rFonts w:eastAsia="SimSun"/>
        </w:rPr>
        <w:t xml:space="preserve">- </w:t>
      </w:r>
      <w:proofErr w:type="gramStart"/>
      <w:r>
        <w:rPr>
          <w:rFonts w:eastAsia="SimSun"/>
        </w:rPr>
        <w:t>conditional</w:t>
      </w:r>
      <w:proofErr w:type="gramEnd"/>
      <w:r>
        <w:rPr>
          <w:rFonts w:eastAsia="SimSun"/>
        </w:rPr>
        <w:t xml:space="preserve"> access client software (CACS)</w:t>
      </w:r>
    </w:p>
    <w:p w:rsidR="00FE3BB1" w:rsidRDefault="001C32D0">
      <w:pPr>
        <w:ind w:left="1440"/>
      </w:pPr>
      <w:r>
        <w:rPr>
          <w:rFonts w:eastAsia="SimSun"/>
        </w:rPr>
        <w:t xml:space="preserve">- </w:t>
      </w:r>
      <w:proofErr w:type="gramStart"/>
      <w:r>
        <w:rPr>
          <w:rFonts w:eastAsia="SimSun"/>
        </w:rPr>
        <w:t>conditional</w:t>
      </w:r>
      <w:proofErr w:type="gramEnd"/>
      <w:r>
        <w:rPr>
          <w:rFonts w:eastAsia="SimSun"/>
        </w:rPr>
        <w:t xml:space="preserve"> access module (CAM)</w:t>
      </w:r>
    </w:p>
    <w:p w:rsidR="00FE3BB1" w:rsidRDefault="001C32D0">
      <w:pPr>
        <w:ind w:left="1440"/>
      </w:pPr>
      <w:r>
        <w:rPr>
          <w:rFonts w:eastAsia="SimSun"/>
        </w:rPr>
        <w:t xml:space="preserve">- </w:t>
      </w:r>
      <w:proofErr w:type="gramStart"/>
      <w:r>
        <w:rPr>
          <w:rFonts w:eastAsia="SimSun"/>
        </w:rPr>
        <w:t>content</w:t>
      </w:r>
      <w:proofErr w:type="gramEnd"/>
      <w:r>
        <w:rPr>
          <w:rFonts w:eastAsia="SimSun"/>
        </w:rPr>
        <w:t xml:space="preserve"> </w:t>
      </w:r>
    </w:p>
    <w:p w:rsidR="00FE3BB1" w:rsidRDefault="001C32D0">
      <w:pPr>
        <w:ind w:left="1440"/>
      </w:pPr>
      <w:r>
        <w:rPr>
          <w:rFonts w:eastAsia="SimSun"/>
        </w:rPr>
        <w:t xml:space="preserve">- </w:t>
      </w:r>
      <w:proofErr w:type="gramStart"/>
      <w:r>
        <w:rPr>
          <w:rFonts w:eastAsia="SimSun"/>
        </w:rPr>
        <w:t>management</w:t>
      </w:r>
      <w:proofErr w:type="gramEnd"/>
      <w:r>
        <w:rPr>
          <w:rFonts w:eastAsia="SimSun"/>
        </w:rPr>
        <w:t xml:space="preserve"> information base</w:t>
      </w:r>
    </w:p>
    <w:p w:rsidR="00FE3BB1" w:rsidRDefault="001C32D0">
      <w:pPr>
        <w:ind w:left="1440"/>
      </w:pPr>
      <w:r>
        <w:rPr>
          <w:rFonts w:eastAsia="SimSun"/>
        </w:rPr>
        <w:t xml:space="preserve">- </w:t>
      </w:r>
      <w:proofErr w:type="gramStart"/>
      <w:r>
        <w:rPr>
          <w:rFonts w:eastAsia="SimSun"/>
        </w:rPr>
        <w:t>message</w:t>
      </w:r>
      <w:proofErr w:type="gramEnd"/>
    </w:p>
    <w:p w:rsidR="00FE3BB1" w:rsidRDefault="001C32D0">
      <w:pPr>
        <w:ind w:left="1440"/>
      </w:pPr>
      <w:r>
        <w:rPr>
          <w:rFonts w:eastAsia="SimSun"/>
        </w:rPr>
        <w:t xml:space="preserve">- </w:t>
      </w:r>
      <w:proofErr w:type="gramStart"/>
      <w:r>
        <w:rPr>
          <w:rFonts w:eastAsia="SimSun"/>
        </w:rPr>
        <w:t>metadata</w:t>
      </w:r>
      <w:proofErr w:type="gramEnd"/>
    </w:p>
    <w:p w:rsidR="00FE3BB1" w:rsidRDefault="001C32D0">
      <w:pPr>
        <w:tabs>
          <w:tab w:val="left" w:pos="1560"/>
          <w:tab w:val="left" w:pos="1588"/>
          <w:tab w:val="left" w:pos="1985"/>
        </w:tabs>
        <w:overflowPunct w:val="0"/>
        <w:ind w:left="1440"/>
        <w:jc w:val="both"/>
      </w:pPr>
      <w:r>
        <w:rPr>
          <w:rFonts w:eastAsia="SimSun"/>
          <w:color w:val="000000"/>
        </w:rPr>
        <w:t xml:space="preserve">- </w:t>
      </w:r>
      <w:proofErr w:type="gramStart"/>
      <w:r>
        <w:rPr>
          <w:rFonts w:eastAsia="SimSun"/>
          <w:color w:val="000000"/>
        </w:rPr>
        <w:t>middleware</w:t>
      </w:r>
      <w:proofErr w:type="gramEnd"/>
    </w:p>
    <w:p w:rsidR="00FE3BB1" w:rsidRDefault="001C32D0">
      <w:pPr>
        <w:jc w:val="center"/>
      </w:pPr>
      <w:r>
        <w:t>_______________________</w:t>
      </w:r>
    </w:p>
    <w:p w:rsidR="00FE3BB1" w:rsidRDefault="00FE3BB1"/>
    <w:sectPr w:rsidR="00FE3BB1" w:rsidSect="00333DB9">
      <w:headerReference w:type="default" r:id="rId13"/>
      <w:pgSz w:w="11906" w:h="16838"/>
      <w:pgMar w:top="1417" w:right="1134" w:bottom="1417"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76" w:rsidRDefault="00FD1E76">
      <w:pPr>
        <w:spacing w:before="0"/>
      </w:pPr>
      <w:r>
        <w:separator/>
      </w:r>
    </w:p>
  </w:endnote>
  <w:endnote w:type="continuationSeparator" w:id="0">
    <w:p w:rsidR="00FD1E76" w:rsidRDefault="00FD1E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76" w:rsidRDefault="00FD1E76">
      <w:pPr>
        <w:spacing w:before="0"/>
      </w:pPr>
      <w:r>
        <w:separator/>
      </w:r>
    </w:p>
  </w:footnote>
  <w:footnote w:type="continuationSeparator" w:id="0">
    <w:p w:rsidR="00FD1E76" w:rsidRDefault="00FD1E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E2" w:rsidRPr="00333DB9" w:rsidRDefault="00333DB9" w:rsidP="00333DB9">
    <w:pPr>
      <w:pStyle w:val="Header"/>
      <w:rPr>
        <w:sz w:val="18"/>
      </w:rPr>
    </w:pPr>
    <w:r w:rsidRPr="00333DB9">
      <w:rPr>
        <w:sz w:val="18"/>
      </w:rPr>
      <w:t xml:space="preserve">- </w:t>
    </w:r>
    <w:r w:rsidRPr="00333DB9">
      <w:rPr>
        <w:sz w:val="18"/>
      </w:rPr>
      <w:fldChar w:fldCharType="begin"/>
    </w:r>
    <w:r w:rsidRPr="00333DB9">
      <w:rPr>
        <w:sz w:val="18"/>
      </w:rPr>
      <w:instrText xml:space="preserve"> PAGE  \* MERGEFORMAT </w:instrText>
    </w:r>
    <w:r w:rsidRPr="00333DB9">
      <w:rPr>
        <w:sz w:val="18"/>
      </w:rPr>
      <w:fldChar w:fldCharType="separate"/>
    </w:r>
    <w:r>
      <w:rPr>
        <w:noProof/>
        <w:sz w:val="18"/>
      </w:rPr>
      <w:t>3</w:t>
    </w:r>
    <w:r w:rsidRPr="00333DB9">
      <w:rPr>
        <w:sz w:val="18"/>
      </w:rPr>
      <w:fldChar w:fldCharType="end"/>
    </w:r>
    <w:r w:rsidRPr="00333DB9">
      <w:rPr>
        <w:sz w:val="18"/>
      </w:rPr>
      <w:t xml:space="preserve"> -</w:t>
    </w:r>
  </w:p>
  <w:p w:rsidR="00333DB9" w:rsidRPr="00333DB9" w:rsidRDefault="00333DB9" w:rsidP="00333DB9">
    <w:pPr>
      <w:pStyle w:val="Header"/>
      <w:spacing w:after="240"/>
      <w:rPr>
        <w:sz w:val="18"/>
      </w:rPr>
    </w:pPr>
    <w:r w:rsidRPr="00333DB9">
      <w:rPr>
        <w:sz w:val="18"/>
      </w:rPr>
      <w:fldChar w:fldCharType="begin"/>
    </w:r>
    <w:r w:rsidRPr="00333DB9">
      <w:rPr>
        <w:sz w:val="18"/>
      </w:rPr>
      <w:instrText xml:space="preserve"> STYLEREF  Docnumber  </w:instrText>
    </w:r>
    <w:r>
      <w:rPr>
        <w:sz w:val="18"/>
      </w:rPr>
      <w:fldChar w:fldCharType="separate"/>
    </w:r>
    <w:r>
      <w:rPr>
        <w:noProof/>
        <w:sz w:val="18"/>
      </w:rPr>
      <w:t>SCV-TD100</w:t>
    </w:r>
    <w:r w:rsidRPr="00333DB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206FC"/>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B1"/>
    <w:rsid w:val="001C32D0"/>
    <w:rsid w:val="00237017"/>
    <w:rsid w:val="003324C1"/>
    <w:rsid w:val="00333DB9"/>
    <w:rsid w:val="00516C7A"/>
    <w:rsid w:val="007933FF"/>
    <w:rsid w:val="008F47DA"/>
    <w:rsid w:val="00A61E50"/>
    <w:rsid w:val="00A977E2"/>
    <w:rsid w:val="00AB2D83"/>
    <w:rsid w:val="00CC42E4"/>
    <w:rsid w:val="00ED2ADD"/>
    <w:rsid w:val="00FD1E76"/>
    <w:rsid w:val="00FE3B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4C47"/>
  <w15:docId w15:val="{3B0610D3-917C-4458-8BB6-2AEA3182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a1">
    <w:name w:val="Выделение"/>
    <w:basedOn w:val="DefaultParagraphFont"/>
    <w:uiPriority w:val="20"/>
    <w:qFormat/>
    <w:rsid w:val="00394DBF"/>
    <w:rPr>
      <w:i/>
      <w:iCs/>
    </w:rPr>
  </w:style>
  <w:style w:type="character" w:customStyle="1" w:styleId="a2">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link w:val="2"/>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3">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4">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Times New Roman" w:hAnsi="Times New Roman"/>
      <w:lang w:val="pt-BR"/>
    </w:rPr>
  </w:style>
  <w:style w:type="character" w:customStyle="1" w:styleId="ListLabel7">
    <w:name w:val="ListLabel 7"/>
    <w:qFormat/>
    <w:rPr>
      <w:rFonts w:ascii="Times New Roman" w:hAnsi="Times New Roman"/>
    </w:rPr>
  </w:style>
  <w:style w:type="character" w:customStyle="1" w:styleId="ListLabel48">
    <w:name w:val="ListLabel 48"/>
    <w:qFormat/>
  </w:style>
  <w:style w:type="character" w:customStyle="1" w:styleId="ListLabel49">
    <w:name w:val="ListLabel 49"/>
    <w:qFormat/>
    <w:rPr>
      <w:rFonts w:cs="Symbol"/>
    </w:rPr>
  </w:style>
  <w:style w:type="character" w:customStyle="1" w:styleId="ListLabel50">
    <w:name w:val="ListLabel 50"/>
    <w:qFormat/>
    <w:rPr>
      <w:lang w:val="pt-BR"/>
    </w:rPr>
  </w:style>
  <w:style w:type="character" w:customStyle="1" w:styleId="ListLabel51">
    <w:name w:val="ListLabel 51"/>
    <w:qFormat/>
  </w:style>
  <w:style w:type="character" w:customStyle="1" w:styleId="ListLabel52">
    <w:name w:val="ListLabel 52"/>
    <w:qFormat/>
  </w:style>
  <w:style w:type="character" w:customStyle="1" w:styleId="a5">
    <w:name w:val="Маркеры списка"/>
    <w:qFormat/>
    <w:rPr>
      <w:rFonts w:ascii="OpenSymbol" w:eastAsia="OpenSymbol" w:hAnsi="OpenSymbol" w:cs="OpenSymbol"/>
    </w:rPr>
  </w:style>
  <w:style w:type="character" w:customStyle="1" w:styleId="a6">
    <w:name w:val="Символ нумерации"/>
    <w:qFormat/>
  </w:style>
  <w:style w:type="paragraph" w:customStyle="1" w:styleId="a7">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before="0" w:after="140" w:line="276" w:lineRule="auto"/>
    </w:pPr>
  </w:style>
  <w:style w:type="paragraph" w:styleId="List">
    <w:name w:val="List"/>
    <w:basedOn w:val="BodyText"/>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a8">
    <w:name w:val="Указатель"/>
    <w:basedOn w:val="Normal"/>
    <w:qFormat/>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9">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Pr>
      <w:rFonts w:eastAsia="Times New Roman" w:cs="Calibri"/>
      <w:sz w:val="22"/>
      <w:szCs w:val="28"/>
      <w:lang w:val="ru-RU" w:eastAsia="ru-RU" w:bidi="th-TH"/>
    </w:rPr>
  </w:style>
  <w:style w:type="paragraph" w:customStyle="1" w:styleId="aa">
    <w:name w:val="Содержимое таблицы"/>
    <w:basedOn w:val="Normal"/>
    <w:qFormat/>
    <w:pPr>
      <w:suppressLineNumbers/>
    </w:pPr>
  </w:style>
  <w:style w:type="paragraph" w:customStyle="1" w:styleId="ab">
    <w:name w:val="Заголовок таблицы"/>
    <w:basedOn w:val="aa"/>
    <w:qFormat/>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977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SG02-190219-TD-GEN-0568/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T17-SG02-190219-TD-GEN-056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65915-8661-44F9-8ABD-5932B1935043}"/>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4053</Characters>
  <Application>Microsoft Office Word</Application>
  <DocSecurity>0</DocSecurity>
  <Lines>122</Lines>
  <Paragraphs>93</Paragraphs>
  <ScaleCrop>false</ScaleCrop>
  <HeadingPairs>
    <vt:vector size="2" baseType="variant">
      <vt:variant>
        <vt:lpstr>Title</vt:lpstr>
      </vt:variant>
      <vt:variant>
        <vt:i4>1</vt:i4>
      </vt:variant>
    </vt:vector>
  </HeadingPairs>
  <TitlesOfParts>
    <vt:vector size="1" baseType="lpstr">
      <vt:lpstr>LS on SCV activity in SG2</vt:lpstr>
    </vt:vector>
  </TitlesOfParts>
  <Manager>ITU-T</Manager>
  <Company>International Telecommunication Union (ITU)</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SCV activity in SG2</dc:title>
  <dc:subject/>
  <dc:creator>ITU-T Study Group 2</dc:creator>
  <cp:keywords>SCV terms definitions</cp:keywords>
  <dc:description>IPR-TD100  For: Virtual, 17 June 2019_x000d_Document date: _x000d_Saved by ITU51011766 at 11:33:20 on 17/04/2019</dc:description>
  <cp:lastModifiedBy>TSB-AC</cp:lastModifiedBy>
  <cp:revision>2</cp:revision>
  <cp:lastPrinted>2016-12-23T12:52:00Z</cp:lastPrinted>
  <dcterms:created xsi:type="dcterms:W3CDTF">2019-04-17T09:43:00Z</dcterms:created>
  <dcterms:modified xsi:type="dcterms:W3CDTF">2019-04-17T09:43:00Z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All/2</vt:lpwstr>
  </property>
  <property fmtid="{D5CDD505-2E9C-101B-9397-08002B2CF9AE}" pid="7" name="Docdate">
    <vt:lpwstr/>
  </property>
  <property fmtid="{D5CDD505-2E9C-101B-9397-08002B2CF9AE}" pid="8" name="Docdest">
    <vt:lpwstr>Virtual, 17 June 2019</vt:lpwstr>
  </property>
  <property fmtid="{D5CDD505-2E9C-101B-9397-08002B2CF9AE}" pid="9" name="Docnum">
    <vt:lpwstr>IPR-TD100</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