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57" w:type="dxa"/>
          <w:right w:w="57" w:type="dxa"/>
        </w:tblCellMar>
        <w:tblLook w:val="0000" w:firstRow="0" w:lastRow="0" w:firstColumn="0" w:lastColumn="0" w:noHBand="0" w:noVBand="0"/>
      </w:tblPr>
      <w:tblGrid>
        <w:gridCol w:w="1132"/>
        <w:gridCol w:w="455"/>
        <w:gridCol w:w="4026"/>
        <w:gridCol w:w="4026"/>
      </w:tblGrid>
      <w:tr w:rsidR="007E62F9" w:rsidRPr="007E62F9" w14:paraId="633B1FCF" w14:textId="77777777" w:rsidTr="008F3B8A">
        <w:trPr>
          <w:cantSplit/>
        </w:trPr>
        <w:tc>
          <w:tcPr>
            <w:tcW w:w="1133" w:type="dxa"/>
            <w:vMerge w:val="restart"/>
            <w:vAlign w:val="center"/>
          </w:tcPr>
          <w:p w14:paraId="2DADF0DE" w14:textId="77777777" w:rsidR="007E62F9" w:rsidRPr="007E62F9" w:rsidRDefault="007E62F9" w:rsidP="007E62F9">
            <w:pPr>
              <w:rPr>
                <w:sz w:val="20"/>
                <w:szCs w:val="20"/>
              </w:rPr>
            </w:pPr>
            <w:bookmarkStart w:id="0" w:name="dnum" w:colFirst="2" w:colLast="2"/>
            <w:bookmarkStart w:id="1" w:name="dtableau"/>
            <w:r w:rsidRPr="007E62F9">
              <w:rPr>
                <w:noProof/>
              </w:rPr>
              <w:drawing>
                <wp:inline distT="0" distB="0" distL="0" distR="0" wp14:anchorId="17916DB9" wp14:editId="412B10C6">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7">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79" w:type="dxa"/>
            <w:gridSpan w:val="2"/>
            <w:vMerge w:val="restart"/>
          </w:tcPr>
          <w:p w14:paraId="04FE364B" w14:textId="77777777" w:rsidR="007E62F9" w:rsidRPr="007E62F9" w:rsidRDefault="007E62F9" w:rsidP="007E62F9">
            <w:pPr>
              <w:rPr>
                <w:sz w:val="16"/>
                <w:szCs w:val="16"/>
              </w:rPr>
            </w:pPr>
            <w:r w:rsidRPr="007E62F9">
              <w:rPr>
                <w:sz w:val="16"/>
                <w:szCs w:val="16"/>
              </w:rPr>
              <w:t>INTERNATIONAL TELECOMMUNICATION UNION</w:t>
            </w:r>
          </w:p>
          <w:p w14:paraId="277583DC" w14:textId="77777777" w:rsidR="007E62F9" w:rsidRPr="007E62F9" w:rsidRDefault="007E62F9" w:rsidP="007E62F9">
            <w:pPr>
              <w:rPr>
                <w:b/>
                <w:bCs/>
                <w:sz w:val="26"/>
                <w:szCs w:val="26"/>
              </w:rPr>
            </w:pPr>
            <w:r w:rsidRPr="007E62F9">
              <w:rPr>
                <w:b/>
                <w:bCs/>
                <w:sz w:val="26"/>
                <w:szCs w:val="26"/>
              </w:rPr>
              <w:t>TELECOMMUNICATION</w:t>
            </w:r>
            <w:r w:rsidRPr="007E62F9">
              <w:rPr>
                <w:b/>
                <w:bCs/>
                <w:sz w:val="26"/>
                <w:szCs w:val="26"/>
              </w:rPr>
              <w:br/>
              <w:t>STANDARDIZATION SECTOR</w:t>
            </w:r>
          </w:p>
          <w:p w14:paraId="625053A1" w14:textId="77777777" w:rsidR="007E62F9" w:rsidRPr="007E62F9" w:rsidRDefault="007E62F9" w:rsidP="007E62F9">
            <w:pPr>
              <w:rPr>
                <w:sz w:val="20"/>
                <w:szCs w:val="20"/>
              </w:rPr>
            </w:pPr>
            <w:r w:rsidRPr="007E62F9">
              <w:rPr>
                <w:sz w:val="20"/>
                <w:szCs w:val="20"/>
              </w:rPr>
              <w:t xml:space="preserve">STUDY PERIOD </w:t>
            </w:r>
            <w:bookmarkStart w:id="2" w:name="dstudyperiod"/>
            <w:r w:rsidRPr="007E62F9">
              <w:rPr>
                <w:sz w:val="20"/>
              </w:rPr>
              <w:t>2022</w:t>
            </w:r>
            <w:r w:rsidRPr="007E62F9">
              <w:rPr>
                <w:sz w:val="20"/>
                <w:szCs w:val="20"/>
              </w:rPr>
              <w:t>-</w:t>
            </w:r>
            <w:r w:rsidRPr="007E62F9">
              <w:rPr>
                <w:sz w:val="20"/>
              </w:rPr>
              <w:t>2024</w:t>
            </w:r>
            <w:bookmarkEnd w:id="2"/>
          </w:p>
        </w:tc>
        <w:tc>
          <w:tcPr>
            <w:tcW w:w="4026" w:type="dxa"/>
            <w:vAlign w:val="center"/>
          </w:tcPr>
          <w:p w14:paraId="3EA536FB" w14:textId="3C989577" w:rsidR="007E62F9" w:rsidRPr="007E62F9" w:rsidRDefault="007E62F9" w:rsidP="007E62F9">
            <w:pPr>
              <w:pStyle w:val="Docnumber"/>
              <w:rPr>
                <w:sz w:val="32"/>
              </w:rPr>
            </w:pPr>
            <w:r>
              <w:rPr>
                <w:sz w:val="32"/>
              </w:rPr>
              <w:t>SCV-TD</w:t>
            </w:r>
            <w:r w:rsidR="0096557D">
              <w:rPr>
                <w:sz w:val="32"/>
              </w:rPr>
              <w:t>0</w:t>
            </w:r>
            <w:r w:rsidR="00BE5DB1">
              <w:rPr>
                <w:sz w:val="32"/>
              </w:rPr>
              <w:t>5</w:t>
            </w:r>
          </w:p>
        </w:tc>
      </w:tr>
      <w:tr w:rsidR="007E62F9" w:rsidRPr="007E62F9" w14:paraId="5741E79A" w14:textId="77777777" w:rsidTr="008F3B8A">
        <w:trPr>
          <w:cantSplit/>
        </w:trPr>
        <w:tc>
          <w:tcPr>
            <w:tcW w:w="1133" w:type="dxa"/>
            <w:vMerge/>
          </w:tcPr>
          <w:p w14:paraId="6E40463A" w14:textId="77777777" w:rsidR="007E62F9" w:rsidRPr="007E62F9" w:rsidRDefault="007E62F9" w:rsidP="007E62F9">
            <w:pPr>
              <w:rPr>
                <w:smallCaps/>
                <w:sz w:val="20"/>
              </w:rPr>
            </w:pPr>
            <w:bookmarkStart w:id="3" w:name="dsg" w:colFirst="2" w:colLast="2"/>
            <w:bookmarkEnd w:id="0"/>
          </w:p>
        </w:tc>
        <w:tc>
          <w:tcPr>
            <w:tcW w:w="3966" w:type="dxa"/>
            <w:gridSpan w:val="2"/>
            <w:vMerge/>
          </w:tcPr>
          <w:p w14:paraId="32D30CD7" w14:textId="77777777" w:rsidR="007E62F9" w:rsidRPr="007E62F9" w:rsidRDefault="007E62F9" w:rsidP="007E62F9">
            <w:pPr>
              <w:rPr>
                <w:smallCaps/>
                <w:sz w:val="20"/>
              </w:rPr>
            </w:pPr>
          </w:p>
        </w:tc>
        <w:tc>
          <w:tcPr>
            <w:tcW w:w="4026" w:type="dxa"/>
          </w:tcPr>
          <w:p w14:paraId="65A071FD" w14:textId="30F3412C" w:rsidR="007E62F9" w:rsidRPr="007E62F9" w:rsidRDefault="007E62F9" w:rsidP="007E62F9">
            <w:pPr>
              <w:pStyle w:val="TSBHeaderRight14"/>
              <w:rPr>
                <w:smallCaps/>
              </w:rPr>
            </w:pPr>
            <w:r>
              <w:rPr>
                <w:smallCaps/>
              </w:rPr>
              <w:t>SCV</w:t>
            </w:r>
          </w:p>
        </w:tc>
      </w:tr>
      <w:bookmarkEnd w:id="3"/>
      <w:tr w:rsidR="007E62F9" w:rsidRPr="007E62F9" w14:paraId="35AD92FE" w14:textId="77777777" w:rsidTr="008F3B8A">
        <w:trPr>
          <w:cantSplit/>
        </w:trPr>
        <w:tc>
          <w:tcPr>
            <w:tcW w:w="1133" w:type="dxa"/>
            <w:vMerge/>
            <w:tcBorders>
              <w:bottom w:val="single" w:sz="12" w:space="0" w:color="auto"/>
            </w:tcBorders>
          </w:tcPr>
          <w:p w14:paraId="165EDFFB" w14:textId="77777777" w:rsidR="007E62F9" w:rsidRPr="007E62F9" w:rsidRDefault="007E62F9" w:rsidP="007E62F9">
            <w:pPr>
              <w:rPr>
                <w:b/>
                <w:bCs/>
                <w:sz w:val="26"/>
              </w:rPr>
            </w:pPr>
          </w:p>
        </w:tc>
        <w:tc>
          <w:tcPr>
            <w:tcW w:w="3966" w:type="dxa"/>
            <w:gridSpan w:val="2"/>
            <w:vMerge/>
            <w:tcBorders>
              <w:bottom w:val="single" w:sz="12" w:space="0" w:color="auto"/>
            </w:tcBorders>
          </w:tcPr>
          <w:p w14:paraId="50C35C46" w14:textId="77777777" w:rsidR="007E62F9" w:rsidRPr="007E62F9" w:rsidRDefault="007E62F9" w:rsidP="007E62F9">
            <w:pPr>
              <w:rPr>
                <w:b/>
                <w:bCs/>
                <w:sz w:val="26"/>
              </w:rPr>
            </w:pPr>
          </w:p>
        </w:tc>
        <w:tc>
          <w:tcPr>
            <w:tcW w:w="4026" w:type="dxa"/>
            <w:tcBorders>
              <w:bottom w:val="single" w:sz="12" w:space="0" w:color="auto"/>
            </w:tcBorders>
            <w:vAlign w:val="center"/>
          </w:tcPr>
          <w:p w14:paraId="71B7DD31" w14:textId="77777777" w:rsidR="007E62F9" w:rsidRPr="007E62F9" w:rsidRDefault="007E62F9" w:rsidP="007E62F9">
            <w:pPr>
              <w:pStyle w:val="TSBHeaderRight14"/>
            </w:pPr>
            <w:r w:rsidRPr="007E62F9">
              <w:t>Original: English</w:t>
            </w:r>
          </w:p>
        </w:tc>
      </w:tr>
      <w:tr w:rsidR="007E62F9" w:rsidRPr="007E62F9" w14:paraId="2FFED583" w14:textId="77777777" w:rsidTr="008F3B8A">
        <w:trPr>
          <w:cantSplit/>
        </w:trPr>
        <w:tc>
          <w:tcPr>
            <w:tcW w:w="1588" w:type="dxa"/>
            <w:gridSpan w:val="2"/>
          </w:tcPr>
          <w:p w14:paraId="5EECED38" w14:textId="77777777" w:rsidR="007E62F9" w:rsidRPr="007E62F9" w:rsidRDefault="007E62F9" w:rsidP="007E62F9">
            <w:pPr>
              <w:rPr>
                <w:b/>
                <w:bCs/>
              </w:rPr>
            </w:pPr>
            <w:bookmarkStart w:id="4" w:name="dbluepink" w:colFirst="1" w:colLast="1"/>
            <w:bookmarkStart w:id="5" w:name="dmeeting" w:colFirst="2" w:colLast="2"/>
            <w:r w:rsidRPr="007E62F9">
              <w:rPr>
                <w:b/>
                <w:bCs/>
              </w:rPr>
              <w:t>Question(s):</w:t>
            </w:r>
          </w:p>
        </w:tc>
        <w:tc>
          <w:tcPr>
            <w:tcW w:w="4026" w:type="dxa"/>
          </w:tcPr>
          <w:p w14:paraId="42555A1B" w14:textId="7EFAD0A9" w:rsidR="007E62F9" w:rsidRPr="007E62F9" w:rsidRDefault="007E62F9" w:rsidP="007E62F9">
            <w:pPr>
              <w:pStyle w:val="TSBHeaderQuestion"/>
            </w:pPr>
          </w:p>
        </w:tc>
        <w:tc>
          <w:tcPr>
            <w:tcW w:w="4026" w:type="dxa"/>
          </w:tcPr>
          <w:p w14:paraId="5F6E92B3" w14:textId="70C84D93" w:rsidR="007E62F9" w:rsidRPr="007E62F9" w:rsidRDefault="007E62F9" w:rsidP="007E62F9">
            <w:pPr>
              <w:pStyle w:val="VenueDate"/>
            </w:pPr>
            <w:r w:rsidRPr="007E62F9">
              <w:t>Virtual, 3 June 2022</w:t>
            </w:r>
          </w:p>
        </w:tc>
      </w:tr>
      <w:tr w:rsidR="007E62F9" w:rsidRPr="007E62F9" w14:paraId="05F53477" w14:textId="77777777" w:rsidTr="005F7827">
        <w:trPr>
          <w:cantSplit/>
        </w:trPr>
        <w:tc>
          <w:tcPr>
            <w:tcW w:w="9639" w:type="dxa"/>
            <w:gridSpan w:val="4"/>
          </w:tcPr>
          <w:p w14:paraId="5E51DF6D" w14:textId="38DEDF4F" w:rsidR="007E62F9" w:rsidRPr="007E62F9" w:rsidRDefault="007E62F9" w:rsidP="00085535">
            <w:pPr>
              <w:jc w:val="center"/>
              <w:rPr>
                <w:b/>
                <w:bCs/>
              </w:rPr>
            </w:pPr>
            <w:bookmarkStart w:id="6" w:name="ddoctype"/>
            <w:bookmarkEnd w:id="4"/>
            <w:bookmarkEnd w:id="5"/>
            <w:r w:rsidRPr="007E62F9">
              <w:rPr>
                <w:b/>
                <w:bCs/>
              </w:rPr>
              <w:t>TD</w:t>
            </w:r>
          </w:p>
        </w:tc>
      </w:tr>
      <w:tr w:rsidR="007E62F9" w:rsidRPr="007E62F9" w14:paraId="2EBB2D44" w14:textId="77777777" w:rsidTr="008F3B8A">
        <w:trPr>
          <w:cantSplit/>
        </w:trPr>
        <w:tc>
          <w:tcPr>
            <w:tcW w:w="1588" w:type="dxa"/>
            <w:gridSpan w:val="2"/>
          </w:tcPr>
          <w:p w14:paraId="2AEA60DF" w14:textId="77777777" w:rsidR="007E62F9" w:rsidRPr="007E62F9" w:rsidRDefault="007E62F9" w:rsidP="007E62F9">
            <w:pPr>
              <w:rPr>
                <w:b/>
                <w:bCs/>
              </w:rPr>
            </w:pPr>
            <w:bookmarkStart w:id="7" w:name="dsource" w:colFirst="1" w:colLast="1"/>
            <w:bookmarkEnd w:id="6"/>
            <w:r w:rsidRPr="007E62F9">
              <w:rPr>
                <w:b/>
                <w:bCs/>
              </w:rPr>
              <w:t>Source:</w:t>
            </w:r>
          </w:p>
        </w:tc>
        <w:tc>
          <w:tcPr>
            <w:tcW w:w="8051" w:type="dxa"/>
            <w:gridSpan w:val="2"/>
          </w:tcPr>
          <w:p w14:paraId="7C9301DB" w14:textId="0E6A67E7" w:rsidR="007E62F9" w:rsidRPr="007E62F9" w:rsidRDefault="00085535" w:rsidP="007E62F9">
            <w:pPr>
              <w:pStyle w:val="TSBHeaderSource"/>
            </w:pPr>
            <w:r>
              <w:t>CCT Chairmen</w:t>
            </w:r>
          </w:p>
        </w:tc>
      </w:tr>
      <w:tr w:rsidR="007E62F9" w:rsidRPr="007E62F9" w14:paraId="5766A33E" w14:textId="77777777" w:rsidTr="008F3B8A">
        <w:trPr>
          <w:cantSplit/>
        </w:trPr>
        <w:tc>
          <w:tcPr>
            <w:tcW w:w="1588" w:type="dxa"/>
            <w:gridSpan w:val="2"/>
            <w:tcBorders>
              <w:bottom w:val="single" w:sz="8" w:space="0" w:color="auto"/>
            </w:tcBorders>
          </w:tcPr>
          <w:p w14:paraId="5DC4432C" w14:textId="77777777" w:rsidR="007E62F9" w:rsidRPr="007E62F9" w:rsidRDefault="007E62F9" w:rsidP="007E62F9">
            <w:pPr>
              <w:rPr>
                <w:b/>
                <w:bCs/>
              </w:rPr>
            </w:pPr>
            <w:bookmarkStart w:id="8" w:name="dtitle1" w:colFirst="1" w:colLast="1"/>
            <w:bookmarkEnd w:id="7"/>
            <w:r w:rsidRPr="007E62F9">
              <w:rPr>
                <w:b/>
                <w:bCs/>
              </w:rPr>
              <w:t>Title:</w:t>
            </w:r>
          </w:p>
        </w:tc>
        <w:tc>
          <w:tcPr>
            <w:tcW w:w="8051" w:type="dxa"/>
            <w:gridSpan w:val="2"/>
            <w:tcBorders>
              <w:bottom w:val="single" w:sz="8" w:space="0" w:color="auto"/>
            </w:tcBorders>
          </w:tcPr>
          <w:p w14:paraId="4D51D509" w14:textId="6FD54124" w:rsidR="007E62F9" w:rsidRPr="007E62F9" w:rsidRDefault="00085535" w:rsidP="007E62F9">
            <w:pPr>
              <w:pStyle w:val="TSBHeaderTitle"/>
            </w:pPr>
            <w:r>
              <w:t xml:space="preserve">Proposed </w:t>
            </w:r>
            <w:r w:rsidR="00227E06">
              <w:t xml:space="preserve">text for a </w:t>
            </w:r>
            <w:r>
              <w:t>Liaison Statement requestin</w:t>
            </w:r>
            <w:r w:rsidR="00227E06">
              <w:t>g</w:t>
            </w:r>
            <w:r>
              <w:t xml:space="preserve"> the appointment of vocabulary rapporteurs</w:t>
            </w:r>
          </w:p>
        </w:tc>
      </w:tr>
      <w:bookmarkEnd w:id="1"/>
      <w:bookmarkEnd w:id="8"/>
    </w:tbl>
    <w:p w14:paraId="75EE629F" w14:textId="77777777" w:rsidR="0046424C" w:rsidRDefault="0046424C" w:rsidP="0046424C"/>
    <w:tbl>
      <w:tblPr>
        <w:tblW w:w="9773" w:type="dxa"/>
        <w:tblLayout w:type="fixed"/>
        <w:tblCellMar>
          <w:left w:w="57" w:type="dxa"/>
          <w:right w:w="57" w:type="dxa"/>
        </w:tblCellMar>
        <w:tblLook w:val="04A0" w:firstRow="1" w:lastRow="0" w:firstColumn="1" w:lastColumn="0" w:noHBand="0" w:noVBand="1"/>
      </w:tblPr>
      <w:tblGrid>
        <w:gridCol w:w="1616"/>
        <w:gridCol w:w="8157"/>
      </w:tblGrid>
      <w:tr w:rsidR="0046424C" w14:paraId="12FC4ED9" w14:textId="77777777" w:rsidTr="00227E06">
        <w:trPr>
          <w:cantSplit/>
        </w:trPr>
        <w:tc>
          <w:tcPr>
            <w:tcW w:w="1616" w:type="dxa"/>
            <w:hideMark/>
          </w:tcPr>
          <w:p w14:paraId="554A6C64" w14:textId="77777777" w:rsidR="0046424C" w:rsidRDefault="0046424C" w:rsidP="00291719">
            <w:pPr>
              <w:rPr>
                <w:b/>
                <w:bCs/>
              </w:rPr>
            </w:pPr>
            <w:r>
              <w:rPr>
                <w:b/>
                <w:bCs/>
              </w:rPr>
              <w:t>Keywords:</w:t>
            </w:r>
          </w:p>
        </w:tc>
        <w:tc>
          <w:tcPr>
            <w:tcW w:w="8157" w:type="dxa"/>
          </w:tcPr>
          <w:p w14:paraId="232D1145" w14:textId="08439FAA" w:rsidR="0046424C" w:rsidRPr="006514FF" w:rsidRDefault="00085535" w:rsidP="00291719">
            <w:r>
              <w:t>Resolution 67, SCV, vocabulary rapporteurs</w:t>
            </w:r>
          </w:p>
        </w:tc>
      </w:tr>
      <w:tr w:rsidR="0046424C" w14:paraId="0DC55861" w14:textId="77777777" w:rsidTr="00227E06">
        <w:trPr>
          <w:cantSplit/>
        </w:trPr>
        <w:tc>
          <w:tcPr>
            <w:tcW w:w="1616" w:type="dxa"/>
            <w:hideMark/>
          </w:tcPr>
          <w:p w14:paraId="746998F2" w14:textId="77777777" w:rsidR="0046424C" w:rsidRDefault="0046424C" w:rsidP="00291719">
            <w:pPr>
              <w:rPr>
                <w:b/>
                <w:bCs/>
              </w:rPr>
            </w:pPr>
            <w:r>
              <w:rPr>
                <w:b/>
                <w:bCs/>
              </w:rPr>
              <w:t>Abstract:</w:t>
            </w:r>
          </w:p>
        </w:tc>
        <w:tc>
          <w:tcPr>
            <w:tcW w:w="8157" w:type="dxa"/>
          </w:tcPr>
          <w:p w14:paraId="121D6C03" w14:textId="0DF5FB74" w:rsidR="0046424C" w:rsidRPr="006514FF" w:rsidRDefault="00085535" w:rsidP="00291719">
            <w:r>
              <w:t>Proposed LS requesting study groups to appoint vocabulary rapporteurs for the 2022-2024 study period</w:t>
            </w:r>
          </w:p>
        </w:tc>
      </w:tr>
    </w:tbl>
    <w:p w14:paraId="421AD8EC" w14:textId="5BCDBBB0" w:rsidR="00227E06" w:rsidRPr="00C77A0E" w:rsidRDefault="00227E06" w:rsidP="00227E06">
      <w:pPr>
        <w:jc w:val="both"/>
      </w:pPr>
      <w:r>
        <w:t xml:space="preserve">At their 3 June 2022 meeting, the participants of the Coordination Committee for Terminology (CCT), which is composed by the Standardization Committee for Vocabulary (SCV), the Consultation Committee for Vocabulary (CCV) and ITU-D representatives, </w:t>
      </w:r>
      <w:r w:rsidRPr="00E20FA4">
        <w:t>review</w:t>
      </w:r>
      <w:r>
        <w:t>ed</w:t>
      </w:r>
      <w:r w:rsidRPr="00E20FA4">
        <w:t xml:space="preserve"> the text of </w:t>
      </w:r>
      <w:hyperlink r:id="rId8" w:history="1">
        <w:r w:rsidRPr="00227E06">
          <w:rPr>
            <w:rStyle w:val="Hyperlink"/>
          </w:rPr>
          <w:t>Resolution 67</w:t>
        </w:r>
      </w:hyperlink>
      <w:r w:rsidRPr="00E20FA4">
        <w:t xml:space="preserve"> (Rev. </w:t>
      </w:r>
      <w:r>
        <w:t>Geneva, 2022</w:t>
      </w:r>
      <w:r w:rsidRPr="00E20FA4">
        <w:t xml:space="preserve">) of the World Telecommunication Standardization Assembly held in </w:t>
      </w:r>
      <w:r>
        <w:t>Geneva, Switzerland (WTSA-20</w:t>
      </w:r>
      <w:r w:rsidRPr="00E20FA4">
        <w:t>)</w:t>
      </w:r>
      <w:r>
        <w:t xml:space="preserve"> and noted, particularly for the ITU-T study groups, that </w:t>
      </w:r>
      <w:r w:rsidRPr="00C77A0E">
        <w:t xml:space="preserve">Res.67 </w:t>
      </w:r>
      <w:r w:rsidRPr="00C77A0E">
        <w:rPr>
          <w:i/>
          <w:iCs/>
        </w:rPr>
        <w:t>resolves</w:t>
      </w:r>
      <w:r w:rsidRPr="00C77A0E">
        <w:t>:</w:t>
      </w:r>
    </w:p>
    <w:p w14:paraId="1B009E31" w14:textId="77777777" w:rsidR="00227E06" w:rsidRPr="00C77A0E" w:rsidRDefault="00227E06" w:rsidP="00DB16FF">
      <w:pPr>
        <w:ind w:left="426" w:right="283"/>
        <w:jc w:val="both"/>
        <w:rPr>
          <w:sz w:val="22"/>
          <w:szCs w:val="22"/>
          <w:lang w:val="en-US"/>
        </w:rPr>
      </w:pPr>
      <w:r w:rsidRPr="00C77A0E">
        <w:rPr>
          <w:sz w:val="22"/>
          <w:szCs w:val="22"/>
        </w:rPr>
        <w:t>1</w:t>
      </w:r>
      <w:r w:rsidRPr="00C77A0E">
        <w:rPr>
          <w:sz w:val="22"/>
          <w:szCs w:val="22"/>
        </w:rPr>
        <w:tab/>
        <w:t>that the ITU</w:t>
      </w:r>
      <w:r w:rsidRPr="00C77A0E">
        <w:rPr>
          <w:sz w:val="22"/>
          <w:szCs w:val="22"/>
        </w:rPr>
        <w:noBreakHyphen/>
        <w:t>T study groups, within their terms of reference, should continue their work on technical and operational terms and their definitions in English only;</w:t>
      </w:r>
    </w:p>
    <w:p w14:paraId="01C18A15" w14:textId="74D437C9" w:rsidR="00227E06" w:rsidRPr="00DB16FF" w:rsidRDefault="00227E06" w:rsidP="00DB16FF">
      <w:pPr>
        <w:ind w:left="426" w:right="283"/>
        <w:jc w:val="both"/>
        <w:rPr>
          <w:sz w:val="22"/>
          <w:szCs w:val="22"/>
        </w:rPr>
      </w:pPr>
      <w:r w:rsidRPr="00C77A0E">
        <w:rPr>
          <w:sz w:val="22"/>
          <w:szCs w:val="22"/>
        </w:rPr>
        <w:t>2</w:t>
      </w:r>
      <w:r w:rsidRPr="00C77A0E">
        <w:rPr>
          <w:sz w:val="22"/>
          <w:szCs w:val="22"/>
        </w:rPr>
        <w:tab/>
      </w:r>
      <w:r w:rsidR="00DB16FF" w:rsidRPr="00DB16FF">
        <w:rPr>
          <w:sz w:val="22"/>
          <w:szCs w:val="22"/>
        </w:rPr>
        <w:t>that the work of standardizing vocabulary within ITU T shall be based on the proposals made by the study groups in the English language, with the consideration and adoption of the translation into the other official languages as proposed by the General Secretariat, and that this shall be ensured by ITU CCT, which is composed of experts fluent in the official languages from all ITU Sectors, and persons designated by interested organizations and other participants in the work of ITU, in close collaboration with the General Secretariat and the Telecommunication Standardization Bureau (TSB) editor for the English language;</w:t>
      </w:r>
    </w:p>
    <w:p w14:paraId="78DAF7A8" w14:textId="77777777" w:rsidR="00227E06" w:rsidRPr="00C77A0E" w:rsidRDefault="00227E06" w:rsidP="00DB16FF">
      <w:pPr>
        <w:ind w:left="426" w:right="283"/>
        <w:jc w:val="both"/>
        <w:rPr>
          <w:sz w:val="22"/>
          <w:szCs w:val="22"/>
          <w:lang w:val="en-US"/>
        </w:rPr>
      </w:pPr>
      <w:r w:rsidRPr="00C77A0E">
        <w:rPr>
          <w:sz w:val="22"/>
          <w:szCs w:val="22"/>
        </w:rPr>
        <w:t>3</w:t>
      </w:r>
      <w:r w:rsidRPr="00C77A0E">
        <w:rPr>
          <w:sz w:val="22"/>
          <w:szCs w:val="22"/>
        </w:rPr>
        <w:tab/>
        <w:t>that, when proposing terms and definitions, the ITU</w:t>
      </w:r>
      <w:r w:rsidRPr="00C77A0E">
        <w:rPr>
          <w:sz w:val="22"/>
          <w:szCs w:val="22"/>
        </w:rPr>
        <w:noBreakHyphen/>
        <w:t>T study groups shall use the guidelines given in Annex B to the "Author's guide for drafting ITU-T Recommendations";</w:t>
      </w:r>
    </w:p>
    <w:p w14:paraId="0E9A3C58" w14:textId="77777777" w:rsidR="00DB16FF" w:rsidRPr="00DB16FF" w:rsidRDefault="00DB16FF" w:rsidP="00DB16FF">
      <w:pPr>
        <w:ind w:left="426" w:right="283"/>
        <w:jc w:val="both"/>
        <w:rPr>
          <w:sz w:val="22"/>
          <w:szCs w:val="22"/>
        </w:rPr>
      </w:pPr>
      <w:r w:rsidRPr="00DB16FF">
        <w:rPr>
          <w:sz w:val="22"/>
          <w:szCs w:val="22"/>
        </w:rPr>
        <w:t>4</w:t>
      </w:r>
      <w:r w:rsidRPr="00DB16FF">
        <w:rPr>
          <w:sz w:val="22"/>
          <w:szCs w:val="22"/>
        </w:rPr>
        <w:tab/>
        <w:t>that, where more than one ITU T study group is defining the same terms and/or concept, efforts should be made to select a single term and a single definition which is acceptable to all of the ITU T study groups concerned;</w:t>
      </w:r>
    </w:p>
    <w:p w14:paraId="4E09A2EE" w14:textId="77777777" w:rsidR="00DB16FF" w:rsidRPr="00DB16FF" w:rsidRDefault="00DB16FF" w:rsidP="00DB16FF">
      <w:pPr>
        <w:ind w:left="426" w:right="283"/>
        <w:jc w:val="both"/>
        <w:rPr>
          <w:sz w:val="22"/>
          <w:szCs w:val="22"/>
        </w:rPr>
      </w:pPr>
      <w:r w:rsidRPr="00DB16FF">
        <w:rPr>
          <w:sz w:val="22"/>
          <w:szCs w:val="22"/>
        </w:rPr>
        <w:t>5</w:t>
      </w:r>
      <w:r w:rsidRPr="00DB16FF">
        <w:rPr>
          <w:sz w:val="22"/>
          <w:szCs w:val="22"/>
        </w:rPr>
        <w:tab/>
        <w:t>that, when selecting terms and preparing definitions, the ITU T study groups shall take into account the established use of terms and existing definitions in ITU, in particular those appearing in the online ITU Terms and Definitions database;</w:t>
      </w:r>
    </w:p>
    <w:p w14:paraId="62BC6FAE" w14:textId="77777777" w:rsidR="00DB16FF" w:rsidRPr="00DB16FF" w:rsidRDefault="00DB16FF" w:rsidP="00DB16FF">
      <w:pPr>
        <w:ind w:left="426" w:right="283"/>
        <w:jc w:val="both"/>
        <w:rPr>
          <w:sz w:val="22"/>
          <w:szCs w:val="22"/>
        </w:rPr>
      </w:pPr>
      <w:r w:rsidRPr="00DB16FF">
        <w:rPr>
          <w:sz w:val="22"/>
          <w:szCs w:val="22"/>
        </w:rPr>
        <w:t>6</w:t>
      </w:r>
      <w:r w:rsidRPr="00DB16FF">
        <w:rPr>
          <w:sz w:val="22"/>
          <w:szCs w:val="22"/>
        </w:rPr>
        <w:tab/>
        <w:t>that TSB should collect all new terms and definitions which are proposed by the ITU study groups in consultation with ITU CCT, enter them in the online ITU Terms and Definitions database, and provide a search mechanism based on time ranges;</w:t>
      </w:r>
    </w:p>
    <w:p w14:paraId="169AC815" w14:textId="4026EA39" w:rsidR="00227E06" w:rsidRDefault="00DB16FF" w:rsidP="00DB16FF">
      <w:pPr>
        <w:ind w:left="426" w:right="283"/>
        <w:jc w:val="both"/>
        <w:rPr>
          <w:sz w:val="22"/>
          <w:szCs w:val="22"/>
        </w:rPr>
      </w:pPr>
      <w:r w:rsidRPr="00DB16FF">
        <w:rPr>
          <w:sz w:val="22"/>
          <w:szCs w:val="22"/>
        </w:rPr>
        <w:t>7</w:t>
      </w:r>
      <w:r w:rsidRPr="00DB16FF">
        <w:rPr>
          <w:sz w:val="22"/>
          <w:szCs w:val="22"/>
        </w:rPr>
        <w:tab/>
        <w:t>that the chairman and six vice-chairmen of SCV, each representing one of the official languages, should be nominated by WTSA;</w:t>
      </w:r>
    </w:p>
    <w:p w14:paraId="2FF4540A" w14:textId="02BF069F" w:rsidR="00DB16FF" w:rsidRPr="0025626B" w:rsidRDefault="00DB16FF" w:rsidP="00DB16FF">
      <w:pPr>
        <w:ind w:left="426" w:right="283"/>
        <w:jc w:val="both"/>
        <w:rPr>
          <w:sz w:val="22"/>
          <w:szCs w:val="22"/>
        </w:rPr>
      </w:pPr>
      <w:r w:rsidRPr="00C00CF8">
        <w:t>8</w:t>
      </w:r>
      <w:r w:rsidRPr="00C00CF8">
        <w:tab/>
        <w:t>that the terms of reference of SCV are given in the annex to this resolution</w:t>
      </w:r>
      <w:r>
        <w:t>,</w:t>
      </w:r>
    </w:p>
    <w:p w14:paraId="4AFA92A3" w14:textId="77777777" w:rsidR="00227E06" w:rsidRDefault="00227E06" w:rsidP="00227E06">
      <w:pPr>
        <w:tabs>
          <w:tab w:val="left" w:pos="567"/>
        </w:tabs>
        <w:jc w:val="both"/>
      </w:pPr>
      <w:r>
        <w:t xml:space="preserve">The Annex to </w:t>
      </w:r>
      <w:r w:rsidRPr="00C77A0E">
        <w:t>Res.67</w:t>
      </w:r>
      <w:r>
        <w:t xml:space="preserve"> indicates, in part, that SCV shall:</w:t>
      </w:r>
    </w:p>
    <w:p w14:paraId="09D85C39" w14:textId="5F919162" w:rsidR="00227E06" w:rsidRPr="00934DCD" w:rsidRDefault="00DB16FF" w:rsidP="00934DCD">
      <w:pPr>
        <w:ind w:left="426" w:right="283"/>
        <w:jc w:val="both"/>
        <w:rPr>
          <w:sz w:val="22"/>
          <w:szCs w:val="22"/>
        </w:rPr>
      </w:pPr>
      <w:r w:rsidRPr="00934DCD">
        <w:rPr>
          <w:sz w:val="22"/>
          <w:szCs w:val="22"/>
        </w:rPr>
        <w:lastRenderedPageBreak/>
        <w:t>"Provide, through ITU CCT, consultation on terms and definitions for vocabulary work for ITU</w:t>
      </w:r>
      <w:r w:rsidRPr="00934DCD">
        <w:rPr>
          <w:sz w:val="22"/>
          <w:szCs w:val="22"/>
        </w:rPr>
        <w:noBreakHyphen/>
        <w:t>T in the official languages, in close collaboration with the General Secretariat (Conferences and Publications Department), the TSB editor for the English language as well as the relevant study group rapporteurs for vocabulary, and to seek harmonization among all ITU</w:t>
      </w:r>
      <w:r w:rsidRPr="00934DCD">
        <w:rPr>
          <w:sz w:val="22"/>
          <w:szCs w:val="22"/>
        </w:rPr>
        <w:noBreakHyphen/>
        <w:t>T study groups concerned regarding terms and definitions."</w:t>
      </w:r>
    </w:p>
    <w:p w14:paraId="4C56A47D" w14:textId="58C4314E" w:rsidR="00227E06" w:rsidRPr="00323063" w:rsidRDefault="00227E06" w:rsidP="00227E06">
      <w:pPr>
        <w:pStyle w:val="Normalaftertitle"/>
        <w:spacing w:before="240"/>
        <w:jc w:val="both"/>
        <w:rPr>
          <w:bCs/>
          <w:lang w:val="en-US"/>
        </w:rPr>
      </w:pPr>
      <w:r>
        <w:rPr>
          <w:bCs/>
          <w:lang w:val="en-US"/>
        </w:rPr>
        <w:t xml:space="preserve">To this end, each Study Group is invited to appoint a vocabulary Rapporteur </w:t>
      </w:r>
      <w:r w:rsidR="00934DCD">
        <w:rPr>
          <w:bCs/>
          <w:lang w:val="en-US"/>
        </w:rPr>
        <w:t>at</w:t>
      </w:r>
      <w:r>
        <w:rPr>
          <w:bCs/>
          <w:lang w:val="en-US"/>
        </w:rPr>
        <w:t xml:space="preserve"> the</w:t>
      </w:r>
      <w:r w:rsidR="00934DCD">
        <w:rPr>
          <w:bCs/>
          <w:lang w:val="en-US"/>
        </w:rPr>
        <w:t>ir next</w:t>
      </w:r>
      <w:r>
        <w:rPr>
          <w:bCs/>
          <w:lang w:val="en-US"/>
        </w:rPr>
        <w:t xml:space="preserve"> Study Group meeting. </w:t>
      </w:r>
      <w:r w:rsidRPr="00323063">
        <w:rPr>
          <w:bCs/>
          <w:lang w:val="en-US"/>
        </w:rPr>
        <w:t>To assist with an understanding of the role of a vocabulary rapporteur, SCV offers the following:</w:t>
      </w:r>
    </w:p>
    <w:p w14:paraId="32F12893" w14:textId="77777777" w:rsidR="00227E06" w:rsidRPr="00323063" w:rsidRDefault="00227E06" w:rsidP="00227E06">
      <w:pPr>
        <w:pStyle w:val="Normalaftertitle"/>
        <w:numPr>
          <w:ilvl w:val="0"/>
          <w:numId w:val="2"/>
        </w:numPr>
        <w:spacing w:before="0"/>
        <w:ind w:left="794"/>
        <w:jc w:val="both"/>
        <w:rPr>
          <w:bCs/>
          <w:lang w:val="en-US"/>
        </w:rPr>
      </w:pPr>
      <w:r w:rsidRPr="00323063">
        <w:rPr>
          <w:bCs/>
          <w:lang w:val="en-US"/>
        </w:rPr>
        <w:t xml:space="preserve">The </w:t>
      </w:r>
      <w:r>
        <w:rPr>
          <w:bCs/>
          <w:lang w:val="en-US"/>
        </w:rPr>
        <w:t xml:space="preserve">vocabulary </w:t>
      </w:r>
      <w:r w:rsidRPr="00323063">
        <w:rPr>
          <w:bCs/>
          <w:lang w:val="en-US"/>
        </w:rPr>
        <w:t>rapporteurs should study vocabulary and related subjects referred to them by:</w:t>
      </w:r>
    </w:p>
    <w:p w14:paraId="68AE6F15" w14:textId="77777777" w:rsidR="00227E06" w:rsidRPr="00323063" w:rsidRDefault="00227E06" w:rsidP="00227E06">
      <w:pPr>
        <w:pStyle w:val="enumlev2"/>
        <w:ind w:left="1265"/>
        <w:jc w:val="both"/>
        <w:rPr>
          <w:bCs/>
          <w:lang w:val="en-US"/>
        </w:rPr>
      </w:pPr>
      <w:r w:rsidRPr="00323063">
        <w:rPr>
          <w:bCs/>
          <w:lang w:val="en-US"/>
        </w:rPr>
        <w:t>–</w:t>
      </w:r>
      <w:r w:rsidRPr="00323063">
        <w:rPr>
          <w:bCs/>
          <w:lang w:val="en-US"/>
        </w:rPr>
        <w:tab/>
        <w:t>working parties of their ITU-T study group;</w:t>
      </w:r>
    </w:p>
    <w:p w14:paraId="06E8771D" w14:textId="77777777" w:rsidR="00227E06" w:rsidRPr="00323063" w:rsidRDefault="00227E06" w:rsidP="00227E06">
      <w:pPr>
        <w:pStyle w:val="enumlev2"/>
        <w:ind w:left="1265"/>
        <w:jc w:val="both"/>
        <w:rPr>
          <w:bCs/>
          <w:lang w:val="en-US"/>
        </w:rPr>
      </w:pPr>
      <w:r w:rsidRPr="00323063">
        <w:rPr>
          <w:bCs/>
          <w:lang w:val="en-US"/>
        </w:rPr>
        <w:t>–</w:t>
      </w:r>
      <w:r w:rsidRPr="00323063">
        <w:rPr>
          <w:bCs/>
          <w:lang w:val="en-US"/>
        </w:rPr>
        <w:tab/>
        <w:t>the ITU-T study group as a whole;</w:t>
      </w:r>
    </w:p>
    <w:p w14:paraId="1F2E3807" w14:textId="77777777" w:rsidR="00227E06" w:rsidRPr="00323063" w:rsidRDefault="00227E06" w:rsidP="00227E06">
      <w:pPr>
        <w:pStyle w:val="enumlev2"/>
        <w:ind w:left="1265"/>
        <w:jc w:val="both"/>
        <w:rPr>
          <w:bCs/>
          <w:lang w:val="en-US"/>
        </w:rPr>
      </w:pPr>
      <w:r w:rsidRPr="00323063">
        <w:rPr>
          <w:bCs/>
          <w:lang w:val="en-US"/>
        </w:rPr>
        <w:t>–</w:t>
      </w:r>
      <w:r w:rsidRPr="00323063">
        <w:rPr>
          <w:bCs/>
          <w:lang w:val="en-US"/>
        </w:rPr>
        <w:tab/>
        <w:t>the rapporteur for vocabulary of another ITU-T study group;</w:t>
      </w:r>
    </w:p>
    <w:p w14:paraId="4B2829A0" w14:textId="77777777" w:rsidR="00227E06" w:rsidRPr="00323063" w:rsidRDefault="00227E06" w:rsidP="00227E06">
      <w:pPr>
        <w:pStyle w:val="enumlev2"/>
        <w:ind w:left="1265"/>
        <w:jc w:val="both"/>
        <w:rPr>
          <w:bCs/>
          <w:lang w:val="en-US"/>
        </w:rPr>
      </w:pPr>
      <w:r w:rsidRPr="00323063">
        <w:rPr>
          <w:bCs/>
          <w:lang w:val="en-US"/>
        </w:rPr>
        <w:t>–</w:t>
      </w:r>
      <w:r w:rsidRPr="00323063">
        <w:rPr>
          <w:bCs/>
          <w:lang w:val="en-US"/>
        </w:rPr>
        <w:tab/>
        <w:t>SCV.</w:t>
      </w:r>
    </w:p>
    <w:p w14:paraId="5ED1CB18" w14:textId="77777777" w:rsidR="00227E06" w:rsidRPr="003739EC" w:rsidRDefault="00227E06" w:rsidP="00227E06">
      <w:pPr>
        <w:pStyle w:val="ListParagraph"/>
        <w:numPr>
          <w:ilvl w:val="0"/>
          <w:numId w:val="2"/>
        </w:numPr>
        <w:ind w:left="794"/>
        <w:jc w:val="both"/>
        <w:rPr>
          <w:bCs/>
          <w:lang w:val="en-US"/>
        </w:rPr>
      </w:pPr>
      <w:r w:rsidRPr="003739EC">
        <w:rPr>
          <w:bCs/>
          <w:lang w:val="en-US"/>
        </w:rPr>
        <w:t>The vocabulary rapporteurs should be responsible for coordination of vocabulary and related subjects within their own ITU-T study groups and with other standardization groups, the objective being to achieve the agreement of the study groups concerned on the proposed terms and definitions.</w:t>
      </w:r>
    </w:p>
    <w:p w14:paraId="31694E1B" w14:textId="77777777" w:rsidR="00227E06" w:rsidRPr="003739EC" w:rsidRDefault="00227E06" w:rsidP="00227E06">
      <w:pPr>
        <w:pStyle w:val="ListParagraph"/>
        <w:numPr>
          <w:ilvl w:val="0"/>
          <w:numId w:val="2"/>
        </w:numPr>
        <w:tabs>
          <w:tab w:val="clear" w:pos="794"/>
          <w:tab w:val="left" w:pos="709"/>
        </w:tabs>
        <w:ind w:left="794"/>
        <w:jc w:val="both"/>
        <w:rPr>
          <w:bCs/>
          <w:lang w:val="en-US"/>
        </w:rPr>
      </w:pPr>
      <w:r>
        <w:rPr>
          <w:bCs/>
          <w:lang w:val="en-US"/>
        </w:rPr>
        <w:t xml:space="preserve"> </w:t>
      </w:r>
      <w:r w:rsidRPr="003739EC">
        <w:rPr>
          <w:bCs/>
          <w:lang w:val="en-US"/>
        </w:rPr>
        <w:t>The vocabulary rapporteurs shall be responsible for liaison between their ITU-T study group and SCV, and encouraged to participate in any meeting of SCV that may be held.</w:t>
      </w:r>
    </w:p>
    <w:p w14:paraId="2FE63B59" w14:textId="49914DDE" w:rsidR="00227E06" w:rsidRPr="003739EC" w:rsidRDefault="00227E06" w:rsidP="00227E06">
      <w:pPr>
        <w:pStyle w:val="ListParagraph"/>
        <w:numPr>
          <w:ilvl w:val="0"/>
          <w:numId w:val="2"/>
        </w:numPr>
        <w:tabs>
          <w:tab w:val="clear" w:pos="794"/>
          <w:tab w:val="left" w:pos="709"/>
        </w:tabs>
        <w:ind w:left="794"/>
        <w:jc w:val="both"/>
        <w:rPr>
          <w:bCs/>
          <w:szCs w:val="24"/>
        </w:rPr>
      </w:pPr>
      <w:r>
        <w:rPr>
          <w:bCs/>
          <w:lang w:val="en-US"/>
        </w:rPr>
        <w:t xml:space="preserve"> </w:t>
      </w:r>
      <w:r w:rsidRPr="003739EC">
        <w:rPr>
          <w:bCs/>
          <w:lang w:val="en-US"/>
        </w:rPr>
        <w:t xml:space="preserve">The ITU-T study groups, through their vocabulary rapporteurs, are encouraged to submit to </w:t>
      </w:r>
      <w:r w:rsidR="00934DCD">
        <w:rPr>
          <w:bCs/>
          <w:lang w:val="en-US"/>
        </w:rPr>
        <w:t>CCT/</w:t>
      </w:r>
      <w:r w:rsidRPr="003739EC">
        <w:rPr>
          <w:bCs/>
          <w:lang w:val="en-US"/>
        </w:rPr>
        <w:t xml:space="preserve">SCV their proposed new terms and definitions </w:t>
      </w:r>
      <w:r w:rsidR="00934DCD">
        <w:rPr>
          <w:bCs/>
          <w:lang w:val="en-US"/>
        </w:rPr>
        <w:t>as soon as possible</w:t>
      </w:r>
      <w:r w:rsidRPr="003739EC">
        <w:rPr>
          <w:bCs/>
          <w:lang w:val="en-US"/>
        </w:rPr>
        <w:t>.</w:t>
      </w:r>
    </w:p>
    <w:p w14:paraId="2E7FA17F" w14:textId="3A5D1036" w:rsidR="00227E06" w:rsidRDefault="00227E06" w:rsidP="00227E06">
      <w:pPr>
        <w:tabs>
          <w:tab w:val="left" w:pos="567"/>
        </w:tabs>
        <w:spacing w:before="240"/>
        <w:jc w:val="both"/>
      </w:pPr>
      <w:r w:rsidRPr="00E20FA4">
        <w:t>SCV</w:t>
      </w:r>
      <w:r>
        <w:t xml:space="preserve"> requests to be informed of the identity and contact information for </w:t>
      </w:r>
      <w:r w:rsidRPr="00F81B8E">
        <w:t>the relevant study group rapporteurs for vocabulary</w:t>
      </w:r>
      <w:r>
        <w:t>, so that SCV may fulfil its responsibilities.</w:t>
      </w:r>
    </w:p>
    <w:p w14:paraId="716348A5" w14:textId="77777777" w:rsidR="00227E06" w:rsidRPr="006B332D" w:rsidRDefault="00227E06" w:rsidP="00227E06">
      <w:pPr>
        <w:numPr>
          <w:ilvl w:val="0"/>
          <w:numId w:val="3"/>
        </w:numPr>
        <w:shd w:val="clear" w:color="auto" w:fill="FFFFFF"/>
        <w:spacing w:before="240"/>
        <w:ind w:left="0"/>
        <w:jc w:val="both"/>
        <w:textAlignment w:val="baseline"/>
      </w:pPr>
      <w:r w:rsidRPr="006B332D">
        <w:t xml:space="preserve">Additionally, SCV wishes to draw your attention to the </w:t>
      </w:r>
      <w:hyperlink r:id="rId9" w:history="1">
        <w:r w:rsidRPr="006B332D">
          <w:rPr>
            <w:rStyle w:val="Hyperlink"/>
          </w:rPr>
          <w:t>SCV webpage</w:t>
        </w:r>
      </w:hyperlink>
      <w:r w:rsidRPr="006B332D">
        <w:t>, which contains SCV documentation, including all meeting announcements</w:t>
      </w:r>
      <w:r w:rsidRPr="006B332D">
        <w:rPr>
          <w:lang w:val="en-US"/>
        </w:rPr>
        <w:t xml:space="preserve"> </w:t>
      </w:r>
      <w:r w:rsidRPr="00C54E21">
        <w:rPr>
          <w:lang w:val="en-US"/>
        </w:rPr>
        <w:t xml:space="preserve">as well as a link to the </w:t>
      </w:r>
      <w:hyperlink r:id="rId10" w:history="1">
        <w:r w:rsidRPr="00C54E21">
          <w:rPr>
            <w:rStyle w:val="Hyperlink"/>
            <w:color w:val="3789BD"/>
            <w:bdr w:val="none" w:sz="0" w:space="0" w:color="auto" w:frame="1"/>
          </w:rPr>
          <w:t>ITU Terms and Definitions Database</w:t>
        </w:r>
      </w:hyperlink>
      <w:r>
        <w:rPr>
          <w:color w:val="444444"/>
        </w:rPr>
        <w:t>.</w:t>
      </w:r>
    </w:p>
    <w:p w14:paraId="66DC37EF" w14:textId="08E6D509" w:rsidR="0046424C" w:rsidRDefault="00227E06" w:rsidP="00227E06">
      <w:r w:rsidRPr="00C820E5">
        <w:rPr>
          <w:lang w:val="en-US"/>
        </w:rPr>
        <w:t xml:space="preserve">Please send replies to this </w:t>
      </w:r>
      <w:r>
        <w:rPr>
          <w:lang w:val="en-US"/>
        </w:rPr>
        <w:t>liaison statement</w:t>
      </w:r>
      <w:r w:rsidRPr="00C820E5">
        <w:rPr>
          <w:lang w:val="en-US"/>
        </w:rPr>
        <w:t xml:space="preserve">, if any, to the secretariat at </w:t>
      </w:r>
      <w:hyperlink r:id="rId11" w:history="1">
        <w:r w:rsidRPr="00F35A98">
          <w:rPr>
            <w:rStyle w:val="Hyperlink"/>
            <w:lang w:val="en-US"/>
          </w:rPr>
          <w:t>tsbscv@itu.int</w:t>
        </w:r>
      </w:hyperlink>
      <w:r>
        <w:rPr>
          <w:lang w:val="en-US"/>
        </w:rPr>
        <w:t>.</w:t>
      </w:r>
    </w:p>
    <w:p w14:paraId="2A5F9185" w14:textId="73663589" w:rsidR="00DA20BB" w:rsidRDefault="0046424C" w:rsidP="006A5923">
      <w:pPr>
        <w:jc w:val="center"/>
      </w:pPr>
      <w:r w:rsidRPr="004E37B5">
        <w:t>____</w:t>
      </w:r>
      <w:r w:rsidR="006A5923">
        <w:t>_____</w:t>
      </w:r>
      <w:r w:rsidRPr="004E37B5">
        <w:t>_____</w:t>
      </w:r>
    </w:p>
    <w:sectPr w:rsidR="00DA20BB" w:rsidSect="007E62F9">
      <w:headerReference w:type="default" r:id="rId12"/>
      <w:pgSz w:w="11906" w:h="16838"/>
      <w:pgMar w:top="1417" w:right="1134" w:bottom="1417"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EDDC9" w14:textId="77777777" w:rsidR="00DB5150" w:rsidRDefault="00DB5150" w:rsidP="0046424C">
      <w:pPr>
        <w:spacing w:before="0"/>
      </w:pPr>
      <w:r>
        <w:separator/>
      </w:r>
    </w:p>
  </w:endnote>
  <w:endnote w:type="continuationSeparator" w:id="0">
    <w:p w14:paraId="6D8F8BCF" w14:textId="77777777" w:rsidR="00DB5150" w:rsidRDefault="00DB5150" w:rsidP="0046424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1E9CA" w14:textId="77777777" w:rsidR="00DB5150" w:rsidRDefault="00DB5150" w:rsidP="0046424C">
      <w:pPr>
        <w:spacing w:before="0"/>
      </w:pPr>
      <w:r>
        <w:separator/>
      </w:r>
    </w:p>
  </w:footnote>
  <w:footnote w:type="continuationSeparator" w:id="0">
    <w:p w14:paraId="2D2BD5DE" w14:textId="77777777" w:rsidR="00DB5150" w:rsidRDefault="00DB5150" w:rsidP="0046424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F6F7E" w14:textId="0C7A1FBF" w:rsidR="0046424C" w:rsidRPr="007E62F9" w:rsidRDefault="007E62F9" w:rsidP="007E62F9">
    <w:pPr>
      <w:pStyle w:val="Header"/>
      <w:jc w:val="center"/>
      <w:rPr>
        <w:sz w:val="18"/>
      </w:rPr>
    </w:pPr>
    <w:r w:rsidRPr="007E62F9">
      <w:rPr>
        <w:sz w:val="18"/>
      </w:rPr>
      <w:t xml:space="preserve">- </w:t>
    </w:r>
    <w:r w:rsidRPr="007E62F9">
      <w:rPr>
        <w:sz w:val="18"/>
      </w:rPr>
      <w:fldChar w:fldCharType="begin"/>
    </w:r>
    <w:r w:rsidRPr="007E62F9">
      <w:rPr>
        <w:sz w:val="18"/>
      </w:rPr>
      <w:instrText xml:space="preserve"> PAGE  \* MERGEFORMAT </w:instrText>
    </w:r>
    <w:r w:rsidRPr="007E62F9">
      <w:rPr>
        <w:sz w:val="18"/>
      </w:rPr>
      <w:fldChar w:fldCharType="separate"/>
    </w:r>
    <w:r w:rsidRPr="007E62F9">
      <w:rPr>
        <w:noProof/>
        <w:sz w:val="18"/>
      </w:rPr>
      <w:t>1</w:t>
    </w:r>
    <w:r w:rsidRPr="007E62F9">
      <w:rPr>
        <w:sz w:val="18"/>
      </w:rPr>
      <w:fldChar w:fldCharType="end"/>
    </w:r>
    <w:r w:rsidRPr="007E62F9">
      <w:rPr>
        <w:sz w:val="18"/>
      </w:rPr>
      <w:t xml:space="preserve"> -</w:t>
    </w:r>
  </w:p>
  <w:p w14:paraId="44208C46" w14:textId="67229E0A" w:rsidR="007E62F9" w:rsidRPr="007E62F9" w:rsidRDefault="007E62F9" w:rsidP="007E62F9">
    <w:pPr>
      <w:pStyle w:val="Header"/>
      <w:spacing w:after="240"/>
      <w:jc w:val="center"/>
      <w:rPr>
        <w:sz w:val="18"/>
      </w:rPr>
    </w:pPr>
    <w:r w:rsidRPr="007E62F9">
      <w:rPr>
        <w:sz w:val="18"/>
      </w:rPr>
      <w:fldChar w:fldCharType="begin"/>
    </w:r>
    <w:r w:rsidRPr="007E62F9">
      <w:rPr>
        <w:sz w:val="18"/>
      </w:rPr>
      <w:instrText xml:space="preserve"> STYLEREF  Docnumber  </w:instrText>
    </w:r>
    <w:r w:rsidRPr="007E62F9">
      <w:rPr>
        <w:sz w:val="18"/>
      </w:rPr>
      <w:fldChar w:fldCharType="separate"/>
    </w:r>
    <w:r w:rsidR="00BE5DB1">
      <w:rPr>
        <w:noProof/>
        <w:sz w:val="18"/>
      </w:rPr>
      <w:t>SCV-TD05</w:t>
    </w:r>
    <w:r w:rsidRPr="007E62F9">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E7EE6"/>
    <w:multiLevelType w:val="hybridMultilevel"/>
    <w:tmpl w:val="1116D09E"/>
    <w:lvl w:ilvl="0" w:tplc="1FCC1A3E">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 w15:restartNumberingAfterBreak="0">
    <w:nsid w:val="4D700B16"/>
    <w:multiLevelType w:val="hybridMultilevel"/>
    <w:tmpl w:val="DDF8FBB2"/>
    <w:lvl w:ilvl="0" w:tplc="C4A458B0">
      <w:start w:val="1"/>
      <w:numFmt w:val="decimal"/>
      <w:lvlText w:val="%1"/>
      <w:lvlJc w:val="left"/>
      <w:pPr>
        <w:ind w:left="6031" w:hanging="360"/>
      </w:pPr>
      <w:rPr>
        <w:rFonts w:hint="default"/>
      </w:rPr>
    </w:lvl>
    <w:lvl w:ilvl="1" w:tplc="04090019">
      <w:start w:val="1"/>
      <w:numFmt w:val="lowerLetter"/>
      <w:lvlText w:val="%2."/>
      <w:lvlJc w:val="left"/>
      <w:pPr>
        <w:ind w:left="6751" w:hanging="360"/>
      </w:pPr>
    </w:lvl>
    <w:lvl w:ilvl="2" w:tplc="0409001B" w:tentative="1">
      <w:start w:val="1"/>
      <w:numFmt w:val="lowerRoman"/>
      <w:lvlText w:val="%3."/>
      <w:lvlJc w:val="right"/>
      <w:pPr>
        <w:ind w:left="7471" w:hanging="180"/>
      </w:pPr>
    </w:lvl>
    <w:lvl w:ilvl="3" w:tplc="0409000F" w:tentative="1">
      <w:start w:val="1"/>
      <w:numFmt w:val="decimal"/>
      <w:lvlText w:val="%4."/>
      <w:lvlJc w:val="left"/>
      <w:pPr>
        <w:ind w:left="8191" w:hanging="360"/>
      </w:pPr>
    </w:lvl>
    <w:lvl w:ilvl="4" w:tplc="04090019" w:tentative="1">
      <w:start w:val="1"/>
      <w:numFmt w:val="lowerLetter"/>
      <w:lvlText w:val="%5."/>
      <w:lvlJc w:val="left"/>
      <w:pPr>
        <w:ind w:left="8911" w:hanging="360"/>
      </w:pPr>
    </w:lvl>
    <w:lvl w:ilvl="5" w:tplc="0409001B" w:tentative="1">
      <w:start w:val="1"/>
      <w:numFmt w:val="lowerRoman"/>
      <w:lvlText w:val="%6."/>
      <w:lvlJc w:val="right"/>
      <w:pPr>
        <w:ind w:left="9631" w:hanging="180"/>
      </w:pPr>
    </w:lvl>
    <w:lvl w:ilvl="6" w:tplc="0409000F" w:tentative="1">
      <w:start w:val="1"/>
      <w:numFmt w:val="decimal"/>
      <w:lvlText w:val="%7."/>
      <w:lvlJc w:val="left"/>
      <w:pPr>
        <w:ind w:left="10351" w:hanging="360"/>
      </w:pPr>
    </w:lvl>
    <w:lvl w:ilvl="7" w:tplc="04090019" w:tentative="1">
      <w:start w:val="1"/>
      <w:numFmt w:val="lowerLetter"/>
      <w:lvlText w:val="%8."/>
      <w:lvlJc w:val="left"/>
      <w:pPr>
        <w:ind w:left="11071" w:hanging="360"/>
      </w:pPr>
    </w:lvl>
    <w:lvl w:ilvl="8" w:tplc="0409001B" w:tentative="1">
      <w:start w:val="1"/>
      <w:numFmt w:val="lowerRoman"/>
      <w:lvlText w:val="%9."/>
      <w:lvlJc w:val="right"/>
      <w:pPr>
        <w:ind w:left="11791" w:hanging="180"/>
      </w:pPr>
    </w:lvl>
  </w:abstractNum>
  <w:abstractNum w:abstractNumId="2" w15:restartNumberingAfterBreak="0">
    <w:nsid w:val="62483DF9"/>
    <w:multiLevelType w:val="multilevel"/>
    <w:tmpl w:val="5D8A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470316">
    <w:abstractNumId w:val="0"/>
  </w:num>
  <w:num w:numId="2" w16cid:durableId="708380451">
    <w:abstractNumId w:val="1"/>
  </w:num>
  <w:num w:numId="3" w16cid:durableId="17783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24C"/>
    <w:rsid w:val="00061F00"/>
    <w:rsid w:val="00085535"/>
    <w:rsid w:val="001E1677"/>
    <w:rsid w:val="00227E06"/>
    <w:rsid w:val="003C1F29"/>
    <w:rsid w:val="00453C33"/>
    <w:rsid w:val="0046424C"/>
    <w:rsid w:val="006A5923"/>
    <w:rsid w:val="007C4B0D"/>
    <w:rsid w:val="007E62F9"/>
    <w:rsid w:val="00934DCD"/>
    <w:rsid w:val="0096557D"/>
    <w:rsid w:val="00B21EF1"/>
    <w:rsid w:val="00BE5DB1"/>
    <w:rsid w:val="00DA20BB"/>
    <w:rsid w:val="00DB16FF"/>
    <w:rsid w:val="00DB5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7358"/>
  <w15:chartTrackingRefBased/>
  <w15:docId w15:val="{8F6C3AB3-0B94-4C96-AE61-B4EF3564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424C"/>
    <w:pPr>
      <w:spacing w:before="120" w:after="0" w:line="240" w:lineRule="auto"/>
    </w:pPr>
    <w:rPr>
      <w:rFonts w:ascii="Times New Roman" w:eastAsiaTheme="minorEastAsia"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SDeadline">
    <w:name w:val="LSDeadline"/>
    <w:basedOn w:val="LSTitle"/>
    <w:next w:val="Normal"/>
    <w:rsid w:val="0046424C"/>
    <w:rPr>
      <w:bCs w:val="0"/>
    </w:rPr>
  </w:style>
  <w:style w:type="paragraph" w:customStyle="1" w:styleId="LSForAction">
    <w:name w:val="LSForAction"/>
    <w:basedOn w:val="LSTitle"/>
    <w:next w:val="Normal"/>
    <w:rsid w:val="0046424C"/>
    <w:rPr>
      <w:bCs w:val="0"/>
    </w:rPr>
  </w:style>
  <w:style w:type="paragraph" w:customStyle="1" w:styleId="LSSource">
    <w:name w:val="LSSource"/>
    <w:basedOn w:val="LSTitle"/>
    <w:next w:val="Normal"/>
    <w:rsid w:val="0046424C"/>
    <w:rPr>
      <w:bCs w:val="0"/>
    </w:rPr>
  </w:style>
  <w:style w:type="paragraph" w:customStyle="1" w:styleId="LSTitle">
    <w:name w:val="LSTitle"/>
    <w:basedOn w:val="Normal"/>
    <w:next w:val="Normal"/>
    <w:link w:val="LSTitleChar"/>
    <w:rsid w:val="0046424C"/>
    <w:pPr>
      <w:outlineLvl w:val="0"/>
    </w:pPr>
    <w:rPr>
      <w:bCs/>
    </w:rPr>
  </w:style>
  <w:style w:type="character" w:customStyle="1" w:styleId="LSTitleChar">
    <w:name w:val="LSTitle Char"/>
    <w:link w:val="LSTitle"/>
    <w:qFormat/>
    <w:rsid w:val="0046424C"/>
    <w:rPr>
      <w:rFonts w:ascii="Times New Roman" w:eastAsiaTheme="minorEastAsia" w:hAnsi="Times New Roman" w:cs="Times New Roman"/>
      <w:bCs/>
      <w:sz w:val="24"/>
      <w:szCs w:val="24"/>
      <w:lang w:eastAsia="ja-JP"/>
    </w:rPr>
  </w:style>
  <w:style w:type="paragraph" w:customStyle="1" w:styleId="LSForInfo">
    <w:name w:val="LSForInfo"/>
    <w:basedOn w:val="LSTitle"/>
    <w:next w:val="Normal"/>
    <w:rsid w:val="0046424C"/>
  </w:style>
  <w:style w:type="paragraph" w:customStyle="1" w:styleId="LSForComment">
    <w:name w:val="LSForComment"/>
    <w:basedOn w:val="LSTitle"/>
    <w:next w:val="Normal"/>
    <w:rsid w:val="0046424C"/>
  </w:style>
  <w:style w:type="character" w:styleId="Hyperlink">
    <w:name w:val="Hyperlink"/>
    <w:basedOn w:val="DefaultParagraphFont"/>
    <w:rsid w:val="0046424C"/>
    <w:rPr>
      <w:color w:val="0000FF"/>
      <w:u w:val="single"/>
    </w:rPr>
  </w:style>
  <w:style w:type="paragraph" w:customStyle="1" w:styleId="LSnumber">
    <w:name w:val="LSnumber"/>
    <w:basedOn w:val="Normal"/>
    <w:rsid w:val="0046424C"/>
    <w:pPr>
      <w:jc w:val="right"/>
    </w:pPr>
    <w:rPr>
      <w:b/>
      <w:bCs/>
      <w:sz w:val="32"/>
      <w:szCs w:val="32"/>
    </w:rPr>
  </w:style>
  <w:style w:type="paragraph" w:styleId="Header">
    <w:name w:val="header"/>
    <w:basedOn w:val="Normal"/>
    <w:link w:val="HeaderChar"/>
    <w:uiPriority w:val="99"/>
    <w:unhideWhenUsed/>
    <w:rsid w:val="0046424C"/>
    <w:pPr>
      <w:tabs>
        <w:tab w:val="center" w:pos="4513"/>
        <w:tab w:val="right" w:pos="9026"/>
      </w:tabs>
      <w:spacing w:before="0"/>
    </w:pPr>
  </w:style>
  <w:style w:type="character" w:customStyle="1" w:styleId="HeaderChar">
    <w:name w:val="Header Char"/>
    <w:basedOn w:val="DefaultParagraphFont"/>
    <w:link w:val="Header"/>
    <w:uiPriority w:val="99"/>
    <w:rsid w:val="0046424C"/>
    <w:rPr>
      <w:rFonts w:ascii="Times New Roman" w:eastAsiaTheme="minorEastAsia" w:hAnsi="Times New Roman" w:cs="Times New Roman"/>
      <w:sz w:val="24"/>
      <w:szCs w:val="24"/>
      <w:lang w:eastAsia="ja-JP"/>
    </w:rPr>
  </w:style>
  <w:style w:type="paragraph" w:styleId="Footer">
    <w:name w:val="footer"/>
    <w:basedOn w:val="Normal"/>
    <w:link w:val="FooterChar"/>
    <w:uiPriority w:val="99"/>
    <w:unhideWhenUsed/>
    <w:rsid w:val="0046424C"/>
    <w:pPr>
      <w:tabs>
        <w:tab w:val="center" w:pos="4513"/>
        <w:tab w:val="right" w:pos="9026"/>
      </w:tabs>
      <w:spacing w:before="0"/>
    </w:pPr>
  </w:style>
  <w:style w:type="character" w:customStyle="1" w:styleId="FooterChar">
    <w:name w:val="Footer Char"/>
    <w:basedOn w:val="DefaultParagraphFont"/>
    <w:link w:val="Footer"/>
    <w:uiPriority w:val="99"/>
    <w:rsid w:val="0046424C"/>
    <w:rPr>
      <w:rFonts w:ascii="Times New Roman" w:eastAsiaTheme="minorEastAsia" w:hAnsi="Times New Roman" w:cs="Times New Roman"/>
      <w:sz w:val="24"/>
      <w:szCs w:val="24"/>
      <w:lang w:eastAsia="ja-JP"/>
    </w:rPr>
  </w:style>
  <w:style w:type="paragraph" w:customStyle="1" w:styleId="Docnumber">
    <w:name w:val="Docnumber"/>
    <w:basedOn w:val="Normal"/>
    <w:link w:val="DocnumberChar"/>
    <w:qFormat/>
    <w:rsid w:val="0046424C"/>
    <w:pPr>
      <w:tabs>
        <w:tab w:val="left" w:pos="794"/>
        <w:tab w:val="left" w:pos="1191"/>
        <w:tab w:val="left" w:pos="1588"/>
        <w:tab w:val="left" w:pos="1985"/>
      </w:tabs>
      <w:overflowPunct w:val="0"/>
      <w:autoSpaceDE w:val="0"/>
      <w:autoSpaceDN w:val="0"/>
      <w:adjustRightInd w:val="0"/>
      <w:jc w:val="right"/>
      <w:textAlignment w:val="baseline"/>
    </w:pPr>
    <w:rPr>
      <w:rFonts w:eastAsia="Times New Roman"/>
      <w:b/>
      <w:bCs/>
      <w:sz w:val="40"/>
      <w:szCs w:val="20"/>
      <w:lang w:eastAsia="en-US"/>
    </w:rPr>
  </w:style>
  <w:style w:type="character" w:customStyle="1" w:styleId="DocnumberChar">
    <w:name w:val="Docnumber Char"/>
    <w:basedOn w:val="DefaultParagraphFont"/>
    <w:link w:val="Docnumber"/>
    <w:rsid w:val="0046424C"/>
    <w:rPr>
      <w:rFonts w:ascii="Times New Roman" w:eastAsia="Times New Roman" w:hAnsi="Times New Roman" w:cs="Times New Roman"/>
      <w:b/>
      <w:bCs/>
      <w:sz w:val="40"/>
      <w:szCs w:val="20"/>
    </w:rPr>
  </w:style>
  <w:style w:type="character" w:styleId="UnresolvedMention">
    <w:name w:val="Unresolved Mention"/>
    <w:basedOn w:val="DefaultParagraphFont"/>
    <w:uiPriority w:val="99"/>
    <w:semiHidden/>
    <w:unhideWhenUsed/>
    <w:rsid w:val="006A5923"/>
    <w:rPr>
      <w:color w:val="605E5C"/>
      <w:shd w:val="clear" w:color="auto" w:fill="E1DFDD"/>
    </w:rPr>
  </w:style>
  <w:style w:type="paragraph" w:customStyle="1" w:styleId="TSBHeaderQuestion">
    <w:name w:val="TSBHeaderQuestion"/>
    <w:basedOn w:val="Normal"/>
    <w:qFormat/>
    <w:rsid w:val="007E62F9"/>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Source">
    <w:name w:val="TSBHeaderSource"/>
    <w:basedOn w:val="Normal"/>
    <w:qFormat/>
    <w:rsid w:val="007E62F9"/>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Title">
    <w:name w:val="TSBHeaderTitle"/>
    <w:basedOn w:val="Normal"/>
    <w:qFormat/>
    <w:rsid w:val="007E62F9"/>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Right14">
    <w:name w:val="TSBHeaderRight14"/>
    <w:basedOn w:val="Normal"/>
    <w:qFormat/>
    <w:rsid w:val="007E62F9"/>
    <w:pPr>
      <w:tabs>
        <w:tab w:val="left" w:pos="794"/>
        <w:tab w:val="left" w:pos="1191"/>
        <w:tab w:val="left" w:pos="1588"/>
        <w:tab w:val="left" w:pos="1985"/>
      </w:tabs>
      <w:overflowPunct w:val="0"/>
      <w:autoSpaceDE w:val="0"/>
      <w:autoSpaceDN w:val="0"/>
      <w:adjustRightInd w:val="0"/>
      <w:jc w:val="right"/>
      <w:textAlignment w:val="baseline"/>
    </w:pPr>
    <w:rPr>
      <w:rFonts w:eastAsia="Times New Roman"/>
      <w:b/>
      <w:bCs/>
      <w:sz w:val="28"/>
      <w:szCs w:val="28"/>
      <w:lang w:eastAsia="en-US"/>
    </w:rPr>
  </w:style>
  <w:style w:type="paragraph" w:customStyle="1" w:styleId="VenueDate">
    <w:name w:val="VenueDate"/>
    <w:basedOn w:val="Normal"/>
    <w:qFormat/>
    <w:rsid w:val="007E62F9"/>
    <w:pPr>
      <w:tabs>
        <w:tab w:val="left" w:pos="794"/>
        <w:tab w:val="left" w:pos="1191"/>
        <w:tab w:val="left" w:pos="1588"/>
        <w:tab w:val="left" w:pos="1985"/>
      </w:tabs>
      <w:overflowPunct w:val="0"/>
      <w:autoSpaceDE w:val="0"/>
      <w:autoSpaceDN w:val="0"/>
      <w:adjustRightInd w:val="0"/>
      <w:jc w:val="right"/>
      <w:textAlignment w:val="baseline"/>
    </w:pPr>
    <w:rPr>
      <w:rFonts w:eastAsia="Times New Roman"/>
      <w:lang w:eastAsia="en-US"/>
    </w:rPr>
  </w:style>
  <w:style w:type="character" w:styleId="FollowedHyperlink">
    <w:name w:val="FollowedHyperlink"/>
    <w:basedOn w:val="DefaultParagraphFont"/>
    <w:uiPriority w:val="99"/>
    <w:semiHidden/>
    <w:unhideWhenUsed/>
    <w:rsid w:val="0096557D"/>
    <w:rPr>
      <w:color w:val="954F72" w:themeColor="followedHyperlink"/>
      <w:u w:val="single"/>
    </w:rPr>
  </w:style>
  <w:style w:type="paragraph" w:customStyle="1" w:styleId="enumlev2">
    <w:name w:val="enumlev2"/>
    <w:basedOn w:val="Normal"/>
    <w:rsid w:val="00227E06"/>
    <w:pPr>
      <w:tabs>
        <w:tab w:val="left" w:pos="794"/>
        <w:tab w:val="left" w:pos="1191"/>
        <w:tab w:val="left" w:pos="1588"/>
        <w:tab w:val="left" w:pos="1985"/>
      </w:tabs>
      <w:overflowPunct w:val="0"/>
      <w:autoSpaceDE w:val="0"/>
      <w:autoSpaceDN w:val="0"/>
      <w:adjustRightInd w:val="0"/>
      <w:spacing w:before="80"/>
      <w:ind w:left="1191" w:hanging="397"/>
      <w:textAlignment w:val="baseline"/>
    </w:pPr>
    <w:rPr>
      <w:rFonts w:eastAsia="Times New Roman"/>
      <w:szCs w:val="20"/>
      <w:lang w:eastAsia="en-US"/>
    </w:rPr>
  </w:style>
  <w:style w:type="paragraph" w:customStyle="1" w:styleId="Normalaftertitle">
    <w:name w:val="Normal_after_title"/>
    <w:basedOn w:val="Normal"/>
    <w:next w:val="Normal"/>
    <w:rsid w:val="00227E06"/>
    <w:pPr>
      <w:tabs>
        <w:tab w:val="left" w:pos="794"/>
        <w:tab w:val="left" w:pos="1191"/>
        <w:tab w:val="left" w:pos="1588"/>
        <w:tab w:val="left" w:pos="1985"/>
      </w:tabs>
      <w:overflowPunct w:val="0"/>
      <w:autoSpaceDE w:val="0"/>
      <w:autoSpaceDN w:val="0"/>
      <w:adjustRightInd w:val="0"/>
      <w:spacing w:before="360"/>
      <w:textAlignment w:val="baseline"/>
    </w:pPr>
    <w:rPr>
      <w:rFonts w:eastAsia="Times New Roman"/>
      <w:szCs w:val="20"/>
      <w:lang w:eastAsia="en-US"/>
    </w:rPr>
  </w:style>
  <w:style w:type="paragraph" w:customStyle="1" w:styleId="Normalaftertitle0">
    <w:name w:val="Normal after title"/>
    <w:basedOn w:val="Normal"/>
    <w:next w:val="Normal"/>
    <w:link w:val="NormalaftertitleChar"/>
    <w:rsid w:val="00227E06"/>
    <w:pPr>
      <w:tabs>
        <w:tab w:val="left" w:pos="1134"/>
        <w:tab w:val="left" w:pos="1871"/>
        <w:tab w:val="left" w:pos="2268"/>
      </w:tabs>
      <w:overflowPunct w:val="0"/>
      <w:autoSpaceDE w:val="0"/>
      <w:autoSpaceDN w:val="0"/>
      <w:adjustRightInd w:val="0"/>
      <w:spacing w:before="280"/>
      <w:jc w:val="both"/>
      <w:textAlignment w:val="baseline"/>
    </w:pPr>
    <w:rPr>
      <w:rFonts w:eastAsia="Times New Roman"/>
      <w:sz w:val="22"/>
      <w:szCs w:val="20"/>
      <w:lang w:eastAsia="en-US"/>
    </w:rPr>
  </w:style>
  <w:style w:type="character" w:customStyle="1" w:styleId="NormalaftertitleChar">
    <w:name w:val="Normal after title Char"/>
    <w:link w:val="Normalaftertitle0"/>
    <w:locked/>
    <w:rsid w:val="00227E06"/>
    <w:rPr>
      <w:rFonts w:ascii="Times New Roman" w:eastAsia="Times New Roman" w:hAnsi="Times New Roman" w:cs="Times New Roman"/>
      <w:szCs w:val="20"/>
    </w:rPr>
  </w:style>
  <w:style w:type="paragraph" w:styleId="ListParagraph">
    <w:name w:val="List Paragraph"/>
    <w:basedOn w:val="Normal"/>
    <w:uiPriority w:val="34"/>
    <w:qFormat/>
    <w:rsid w:val="00227E06"/>
    <w:pPr>
      <w:tabs>
        <w:tab w:val="left" w:pos="794"/>
        <w:tab w:val="left" w:pos="1191"/>
        <w:tab w:val="left" w:pos="1588"/>
        <w:tab w:val="left" w:pos="1985"/>
      </w:tabs>
      <w:overflowPunct w:val="0"/>
      <w:autoSpaceDE w:val="0"/>
      <w:autoSpaceDN w:val="0"/>
      <w:adjustRightInd w:val="0"/>
      <w:ind w:left="720"/>
      <w:contextualSpacing/>
      <w:textAlignment w:val="baseline"/>
    </w:pPr>
    <w:rPr>
      <w:rFonts w:eastAsia="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T-RES-T.67-20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bscv@itu.int"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itu.int/ITU-R/index.asp?redirect=true&amp;category=information&amp;rlink=terminology-database" TargetMode="External"/><Relationship Id="rId4" Type="http://schemas.openxmlformats.org/officeDocument/2006/relationships/webSettings" Target="webSettings.xml"/><Relationship Id="rId9" Type="http://schemas.openxmlformats.org/officeDocument/2006/relationships/hyperlink" Target="http://www.itu.int/en/ITU-T/committees/scv/Pages/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487812B7DF734F899F9E259C366837" ma:contentTypeVersion="4" ma:contentTypeDescription="Create a new document." ma:contentTypeScope="" ma:versionID="0be65b79ed8ee8f3c4734464d812cf59">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69FBDAD-F595-4805-8816-FF1C509A2298}"/>
</file>

<file path=customXml/itemProps2.xml><?xml version="1.0" encoding="utf-8"?>
<ds:datastoreItem xmlns:ds="http://schemas.openxmlformats.org/officeDocument/2006/customXml" ds:itemID="{CCAB5ACF-2264-483D-A46E-9308F35B876E}"/>
</file>

<file path=customXml/itemProps3.xml><?xml version="1.0" encoding="utf-8"?>
<ds:datastoreItem xmlns:ds="http://schemas.openxmlformats.org/officeDocument/2006/customXml" ds:itemID="{266560E6-BDC0-4060-8652-5071B8C7D3FD}"/>
</file>

<file path=docProps/app.xml><?xml version="1.0" encoding="utf-8"?>
<Properties xmlns="http://schemas.openxmlformats.org/officeDocument/2006/extended-properties" xmlns:vt="http://schemas.openxmlformats.org/officeDocument/2006/docPropsVTypes">
  <Template>Normal.dotm</Template>
  <TotalTime>13</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LS/r on OTTs (SG3-LS106) [to ITU-T SG3]</vt:lpstr>
    </vt:vector>
  </TitlesOfParts>
  <Manager>ITU-T</Manager>
  <Company>International Telecommunication Union (ITU)</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on OTTs (SG3-LS106) [to ITU-T SG3]</dc:title>
  <dc:subject/>
  <dc:creator>ITU-T Study Group 16</dc:creator>
  <cp:keywords/>
  <dc:description>TSAG-TD2  For: Virtual, 3 June 2022_x000d_Document date: _x000d_Saved by ITU51015586 at 11:28:10 on 18/05/2022</dc:description>
  <cp:lastModifiedBy>TSB-AC</cp:lastModifiedBy>
  <cp:revision>4</cp:revision>
  <dcterms:created xsi:type="dcterms:W3CDTF">2022-05-18T13:42:00Z</dcterms:created>
  <dcterms:modified xsi:type="dcterms:W3CDTF">2022-05-18T15:21:00Z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Publicly available TSAG-TD2</vt:lpwstr>
  </property>
  <property fmtid="{D5CDD505-2E9C-101B-9397-08002B2CF9AE}" pid="3" name="Docdate">
    <vt:lpwstr/>
  </property>
  <property fmtid="{D5CDD505-2E9C-101B-9397-08002B2CF9AE}" pid="4" name="Docorlang">
    <vt:lpwstr/>
  </property>
  <property fmtid="{D5CDD505-2E9C-101B-9397-08002B2CF9AE}" pid="5" name="Docbluepink">
    <vt:lpwstr>13/16</vt:lpwstr>
  </property>
  <property fmtid="{D5CDD505-2E9C-101B-9397-08002B2CF9AE}" pid="6" name="Docdest">
    <vt:lpwstr>Virtual, 3 June 2022</vt:lpwstr>
  </property>
  <property fmtid="{D5CDD505-2E9C-101B-9397-08002B2CF9AE}" pid="7" name="Docauthor">
    <vt:lpwstr>ITU-T Study Group 16</vt:lpwstr>
  </property>
  <property fmtid="{D5CDD505-2E9C-101B-9397-08002B2CF9AE}" pid="8" name="ContentTypeId">
    <vt:lpwstr>0x01010017487812B7DF734F899F9E259C366837</vt:lpwstr>
  </property>
</Properties>
</file>