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26"/>
        <w:gridCol w:w="567"/>
        <w:gridCol w:w="3058"/>
        <w:gridCol w:w="769"/>
        <w:gridCol w:w="3912"/>
      </w:tblGrid>
      <w:tr w:rsidR="00941224" w:rsidRPr="00941224" w:rsidTr="003F6975">
        <w:trPr>
          <w:cantSplit/>
        </w:trPr>
        <w:tc>
          <w:tcPr>
            <w:tcW w:w="1191" w:type="dxa"/>
            <w:vMerge w:val="restart"/>
          </w:tcPr>
          <w:p w:rsidR="00941224" w:rsidRPr="00941224" w:rsidRDefault="00941224" w:rsidP="00941224">
            <w:pPr>
              <w:rPr>
                <w:sz w:val="20"/>
              </w:rPr>
            </w:pPr>
            <w:bookmarkStart w:id="0" w:name="dnum" w:colFirst="2" w:colLast="2"/>
            <w:bookmarkStart w:id="1" w:name="dtableau"/>
            <w:r w:rsidRPr="00941224">
              <w:rPr>
                <w:noProof/>
                <w:sz w:val="20"/>
                <w:lang w:eastAsia="zh-CN"/>
              </w:rPr>
              <w:drawing>
                <wp:inline distT="0" distB="0" distL="0" distR="0" wp14:anchorId="52F7D923" wp14:editId="0951EEC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941224" w:rsidRPr="00941224" w:rsidRDefault="00941224" w:rsidP="00941224">
            <w:pPr>
              <w:rPr>
                <w:sz w:val="16"/>
                <w:szCs w:val="16"/>
              </w:rPr>
            </w:pPr>
            <w:r w:rsidRPr="00941224">
              <w:rPr>
                <w:sz w:val="16"/>
                <w:szCs w:val="16"/>
              </w:rPr>
              <w:t>INTERNATIONAL TELECOMMUNICATION UNION</w:t>
            </w:r>
          </w:p>
          <w:p w:rsidR="00941224" w:rsidRPr="00941224" w:rsidRDefault="00941224" w:rsidP="00941224">
            <w:pPr>
              <w:rPr>
                <w:b/>
                <w:bCs/>
                <w:sz w:val="26"/>
                <w:szCs w:val="26"/>
              </w:rPr>
            </w:pPr>
            <w:r w:rsidRPr="00941224">
              <w:rPr>
                <w:b/>
                <w:bCs/>
                <w:sz w:val="26"/>
                <w:szCs w:val="26"/>
              </w:rPr>
              <w:t>TELECOMMUNICATION</w:t>
            </w:r>
            <w:r w:rsidRPr="00941224">
              <w:rPr>
                <w:b/>
                <w:bCs/>
                <w:sz w:val="26"/>
                <w:szCs w:val="26"/>
              </w:rPr>
              <w:br/>
              <w:t>STANDARDIZATION SECTOR</w:t>
            </w:r>
          </w:p>
          <w:p w:rsidR="00941224" w:rsidRPr="00941224" w:rsidRDefault="00941224" w:rsidP="00941224">
            <w:pPr>
              <w:rPr>
                <w:sz w:val="20"/>
              </w:rPr>
            </w:pPr>
            <w:r w:rsidRPr="00941224">
              <w:rPr>
                <w:sz w:val="20"/>
              </w:rPr>
              <w:t xml:space="preserve">STUDY PERIOD </w:t>
            </w:r>
            <w:bookmarkStart w:id="2" w:name="dstudyperiod"/>
            <w:r w:rsidRPr="00941224">
              <w:rPr>
                <w:sz w:val="20"/>
              </w:rPr>
              <w:t>2017-2020</w:t>
            </w:r>
            <w:bookmarkEnd w:id="2"/>
          </w:p>
        </w:tc>
        <w:tc>
          <w:tcPr>
            <w:tcW w:w="4681" w:type="dxa"/>
            <w:gridSpan w:val="2"/>
            <w:vAlign w:val="center"/>
          </w:tcPr>
          <w:p w:rsidR="00941224" w:rsidRPr="00941224" w:rsidRDefault="00DB4544" w:rsidP="00941224">
            <w:pPr>
              <w:pStyle w:val="Docnumber"/>
              <w:rPr>
                <w:sz w:val="32"/>
              </w:rPr>
            </w:pPr>
            <w:r>
              <w:rPr>
                <w:sz w:val="32"/>
              </w:rPr>
              <w:t>SCV</w:t>
            </w:r>
            <w:r w:rsidR="00941224">
              <w:rPr>
                <w:sz w:val="32"/>
              </w:rPr>
              <w:t>-TD</w:t>
            </w:r>
            <w:r w:rsidR="002C5B17">
              <w:rPr>
                <w:sz w:val="32"/>
              </w:rPr>
              <w:t xml:space="preserve"> </w:t>
            </w:r>
            <w:r w:rsidR="00941224">
              <w:rPr>
                <w:sz w:val="32"/>
              </w:rPr>
              <w:t>72</w:t>
            </w:r>
          </w:p>
        </w:tc>
      </w:tr>
      <w:tr w:rsidR="00941224" w:rsidRPr="00941224" w:rsidTr="003F6975">
        <w:trPr>
          <w:cantSplit/>
        </w:trPr>
        <w:tc>
          <w:tcPr>
            <w:tcW w:w="1191" w:type="dxa"/>
            <w:vMerge/>
          </w:tcPr>
          <w:p w:rsidR="00941224" w:rsidRPr="00941224" w:rsidRDefault="00941224" w:rsidP="00941224">
            <w:pPr>
              <w:rPr>
                <w:smallCaps/>
                <w:sz w:val="20"/>
              </w:rPr>
            </w:pPr>
            <w:bookmarkStart w:id="3" w:name="dsg" w:colFirst="2" w:colLast="2"/>
            <w:bookmarkEnd w:id="0"/>
          </w:p>
        </w:tc>
        <w:tc>
          <w:tcPr>
            <w:tcW w:w="4051" w:type="dxa"/>
            <w:gridSpan w:val="3"/>
            <w:vMerge/>
          </w:tcPr>
          <w:p w:rsidR="00941224" w:rsidRPr="00941224" w:rsidRDefault="00941224" w:rsidP="00941224">
            <w:pPr>
              <w:rPr>
                <w:smallCaps/>
                <w:sz w:val="20"/>
              </w:rPr>
            </w:pPr>
          </w:p>
        </w:tc>
        <w:tc>
          <w:tcPr>
            <w:tcW w:w="4681" w:type="dxa"/>
            <w:gridSpan w:val="2"/>
          </w:tcPr>
          <w:p w:rsidR="00941224" w:rsidRPr="00941224" w:rsidRDefault="00941224" w:rsidP="00941224">
            <w:pPr>
              <w:jc w:val="right"/>
              <w:rPr>
                <w:b/>
                <w:bCs/>
                <w:smallCaps/>
                <w:sz w:val="28"/>
                <w:szCs w:val="28"/>
              </w:rPr>
            </w:pPr>
            <w:r>
              <w:rPr>
                <w:b/>
                <w:bCs/>
                <w:smallCaps/>
                <w:sz w:val="28"/>
                <w:szCs w:val="28"/>
              </w:rPr>
              <w:t>SCV</w:t>
            </w:r>
          </w:p>
        </w:tc>
      </w:tr>
      <w:bookmarkEnd w:id="3"/>
      <w:tr w:rsidR="00941224" w:rsidRPr="00941224" w:rsidTr="003F6975">
        <w:trPr>
          <w:cantSplit/>
        </w:trPr>
        <w:tc>
          <w:tcPr>
            <w:tcW w:w="1191" w:type="dxa"/>
            <w:vMerge/>
            <w:tcBorders>
              <w:bottom w:val="single" w:sz="12" w:space="0" w:color="auto"/>
            </w:tcBorders>
          </w:tcPr>
          <w:p w:rsidR="00941224" w:rsidRPr="00941224" w:rsidRDefault="00941224" w:rsidP="00941224">
            <w:pPr>
              <w:rPr>
                <w:b/>
                <w:bCs/>
                <w:sz w:val="26"/>
              </w:rPr>
            </w:pPr>
          </w:p>
        </w:tc>
        <w:tc>
          <w:tcPr>
            <w:tcW w:w="4051" w:type="dxa"/>
            <w:gridSpan w:val="3"/>
            <w:vMerge/>
            <w:tcBorders>
              <w:bottom w:val="single" w:sz="12" w:space="0" w:color="auto"/>
            </w:tcBorders>
          </w:tcPr>
          <w:p w:rsidR="00941224" w:rsidRPr="00941224" w:rsidRDefault="00941224" w:rsidP="00941224">
            <w:pPr>
              <w:rPr>
                <w:b/>
                <w:bCs/>
                <w:sz w:val="26"/>
              </w:rPr>
            </w:pPr>
          </w:p>
        </w:tc>
        <w:tc>
          <w:tcPr>
            <w:tcW w:w="4681" w:type="dxa"/>
            <w:gridSpan w:val="2"/>
            <w:tcBorders>
              <w:bottom w:val="single" w:sz="12" w:space="0" w:color="auto"/>
            </w:tcBorders>
            <w:vAlign w:val="center"/>
          </w:tcPr>
          <w:p w:rsidR="00941224" w:rsidRPr="00941224" w:rsidRDefault="00941224" w:rsidP="00941224">
            <w:pPr>
              <w:jc w:val="right"/>
              <w:rPr>
                <w:b/>
                <w:bCs/>
                <w:sz w:val="28"/>
                <w:szCs w:val="28"/>
              </w:rPr>
            </w:pPr>
            <w:r w:rsidRPr="00941224">
              <w:rPr>
                <w:b/>
                <w:bCs/>
                <w:sz w:val="28"/>
                <w:szCs w:val="28"/>
              </w:rPr>
              <w:t>Original: English</w:t>
            </w:r>
          </w:p>
        </w:tc>
      </w:tr>
      <w:tr w:rsidR="00941224" w:rsidRPr="00941224" w:rsidTr="003F6975">
        <w:trPr>
          <w:cantSplit/>
        </w:trPr>
        <w:tc>
          <w:tcPr>
            <w:tcW w:w="1617" w:type="dxa"/>
            <w:gridSpan w:val="2"/>
          </w:tcPr>
          <w:p w:rsidR="00941224" w:rsidRPr="00941224" w:rsidRDefault="00941224" w:rsidP="00941224">
            <w:pPr>
              <w:rPr>
                <w:b/>
                <w:bCs/>
                <w:szCs w:val="24"/>
              </w:rPr>
            </w:pPr>
            <w:bookmarkStart w:id="4" w:name="dbluepink" w:colFirst="1" w:colLast="1"/>
            <w:bookmarkStart w:id="5" w:name="dmeeting" w:colFirst="2" w:colLast="2"/>
          </w:p>
        </w:tc>
        <w:tc>
          <w:tcPr>
            <w:tcW w:w="3625" w:type="dxa"/>
            <w:gridSpan w:val="2"/>
          </w:tcPr>
          <w:p w:rsidR="00941224" w:rsidRPr="00941224" w:rsidRDefault="00941224" w:rsidP="00941224">
            <w:pPr>
              <w:rPr>
                <w:szCs w:val="24"/>
              </w:rPr>
            </w:pPr>
            <w:r w:rsidRPr="00941224">
              <w:rPr>
                <w:szCs w:val="24"/>
              </w:rPr>
              <w:t>All/15</w:t>
            </w:r>
          </w:p>
        </w:tc>
        <w:tc>
          <w:tcPr>
            <w:tcW w:w="4681" w:type="dxa"/>
            <w:gridSpan w:val="2"/>
          </w:tcPr>
          <w:p w:rsidR="00941224" w:rsidRPr="00941224" w:rsidRDefault="00941224" w:rsidP="00941224">
            <w:pPr>
              <w:jc w:val="right"/>
              <w:rPr>
                <w:szCs w:val="24"/>
              </w:rPr>
            </w:pPr>
            <w:r w:rsidRPr="00941224">
              <w:rPr>
                <w:szCs w:val="24"/>
              </w:rPr>
              <w:t>Virtual</w:t>
            </w:r>
            <w:r>
              <w:rPr>
                <w:szCs w:val="24"/>
              </w:rPr>
              <w:t xml:space="preserve"> meeting</w:t>
            </w:r>
            <w:r w:rsidRPr="00941224">
              <w:rPr>
                <w:szCs w:val="24"/>
              </w:rPr>
              <w:t>, 1</w:t>
            </w:r>
            <w:r w:rsidRPr="00941224">
              <w:rPr>
                <w:szCs w:val="24"/>
                <w:vertAlign w:val="superscript"/>
              </w:rPr>
              <w:t>st</w:t>
            </w:r>
            <w:r w:rsidRPr="00941224">
              <w:rPr>
                <w:szCs w:val="24"/>
              </w:rPr>
              <w:t xml:space="preserve"> June 2018</w:t>
            </w:r>
          </w:p>
        </w:tc>
      </w:tr>
      <w:tr w:rsidR="00941224" w:rsidRPr="00941224" w:rsidTr="003F6975">
        <w:trPr>
          <w:cantSplit/>
        </w:trPr>
        <w:tc>
          <w:tcPr>
            <w:tcW w:w="9923" w:type="dxa"/>
            <w:gridSpan w:val="6"/>
          </w:tcPr>
          <w:p w:rsidR="00941224" w:rsidRPr="00941224" w:rsidRDefault="00941224" w:rsidP="00941224">
            <w:pPr>
              <w:jc w:val="center"/>
              <w:rPr>
                <w:b/>
                <w:bCs/>
                <w:szCs w:val="24"/>
              </w:rPr>
            </w:pPr>
            <w:bookmarkStart w:id="6" w:name="ddoctype" w:colFirst="0" w:colLast="0"/>
            <w:bookmarkEnd w:id="4"/>
            <w:bookmarkEnd w:id="5"/>
            <w:r w:rsidRPr="00941224">
              <w:rPr>
                <w:b/>
                <w:bCs/>
                <w:szCs w:val="24"/>
              </w:rPr>
              <w:t>TD</w:t>
            </w:r>
          </w:p>
          <w:p w:rsidR="00941224" w:rsidRPr="00941224" w:rsidRDefault="00941224" w:rsidP="00941224">
            <w:pPr>
              <w:jc w:val="center"/>
              <w:rPr>
                <w:b/>
                <w:bCs/>
                <w:szCs w:val="24"/>
              </w:rPr>
            </w:pPr>
            <w:r w:rsidRPr="00941224">
              <w:rPr>
                <w:b/>
                <w:bCs/>
                <w:szCs w:val="24"/>
              </w:rPr>
              <w:t>(Ref.: SG15-LS88)</w:t>
            </w:r>
          </w:p>
        </w:tc>
      </w:tr>
      <w:tr w:rsidR="00941224" w:rsidRPr="00941224" w:rsidTr="003F6975">
        <w:trPr>
          <w:cantSplit/>
        </w:trPr>
        <w:tc>
          <w:tcPr>
            <w:tcW w:w="1617" w:type="dxa"/>
            <w:gridSpan w:val="2"/>
          </w:tcPr>
          <w:p w:rsidR="00941224" w:rsidRPr="00941224" w:rsidRDefault="00941224" w:rsidP="00941224">
            <w:pPr>
              <w:rPr>
                <w:b/>
                <w:bCs/>
                <w:szCs w:val="24"/>
              </w:rPr>
            </w:pPr>
            <w:bookmarkStart w:id="7" w:name="dsource" w:colFirst="1" w:colLast="1"/>
            <w:bookmarkEnd w:id="6"/>
            <w:r w:rsidRPr="00941224">
              <w:rPr>
                <w:b/>
                <w:bCs/>
                <w:szCs w:val="24"/>
              </w:rPr>
              <w:t>Source:</w:t>
            </w:r>
          </w:p>
        </w:tc>
        <w:tc>
          <w:tcPr>
            <w:tcW w:w="8306" w:type="dxa"/>
            <w:gridSpan w:val="4"/>
          </w:tcPr>
          <w:p w:rsidR="00941224" w:rsidRPr="00941224" w:rsidRDefault="00941224" w:rsidP="00941224">
            <w:pPr>
              <w:rPr>
                <w:szCs w:val="24"/>
              </w:rPr>
            </w:pPr>
            <w:r w:rsidRPr="00941224">
              <w:rPr>
                <w:szCs w:val="24"/>
              </w:rPr>
              <w:t>ITU-T Study Group 15</w:t>
            </w:r>
          </w:p>
        </w:tc>
      </w:tr>
      <w:tr w:rsidR="00941224" w:rsidRPr="00941224" w:rsidTr="003F6975">
        <w:trPr>
          <w:cantSplit/>
        </w:trPr>
        <w:tc>
          <w:tcPr>
            <w:tcW w:w="1617" w:type="dxa"/>
            <w:gridSpan w:val="2"/>
          </w:tcPr>
          <w:p w:rsidR="00941224" w:rsidRPr="00941224" w:rsidRDefault="00941224" w:rsidP="00941224">
            <w:pPr>
              <w:rPr>
                <w:szCs w:val="24"/>
              </w:rPr>
            </w:pPr>
            <w:bookmarkStart w:id="8" w:name="dtitle1" w:colFirst="1" w:colLast="1"/>
            <w:bookmarkEnd w:id="7"/>
            <w:r w:rsidRPr="00941224">
              <w:rPr>
                <w:b/>
                <w:bCs/>
                <w:szCs w:val="24"/>
              </w:rPr>
              <w:t>Title:</w:t>
            </w:r>
          </w:p>
        </w:tc>
        <w:tc>
          <w:tcPr>
            <w:tcW w:w="8306" w:type="dxa"/>
            <w:gridSpan w:val="4"/>
          </w:tcPr>
          <w:p w:rsidR="00941224" w:rsidRPr="00941224" w:rsidRDefault="00941224" w:rsidP="00941224">
            <w:pPr>
              <w:rPr>
                <w:szCs w:val="24"/>
              </w:rPr>
            </w:pPr>
            <w:r w:rsidRPr="00941224">
              <w:rPr>
                <w:szCs w:val="24"/>
              </w:rPr>
              <w:t>LS to Standardization Committee for Vocabulary on definition of broadband access and on new ITU-T SG13 terms and definitions</w:t>
            </w:r>
          </w:p>
        </w:tc>
      </w:tr>
      <w:tr w:rsidR="00941224" w:rsidRPr="00941224" w:rsidTr="003F6975">
        <w:trPr>
          <w:cantSplit/>
        </w:trPr>
        <w:tc>
          <w:tcPr>
            <w:tcW w:w="1617" w:type="dxa"/>
            <w:gridSpan w:val="2"/>
            <w:tcBorders>
              <w:bottom w:val="single" w:sz="8" w:space="0" w:color="auto"/>
            </w:tcBorders>
          </w:tcPr>
          <w:p w:rsidR="00941224" w:rsidRPr="00941224" w:rsidRDefault="00941224" w:rsidP="00941224">
            <w:pPr>
              <w:rPr>
                <w:b/>
                <w:bCs/>
                <w:szCs w:val="24"/>
              </w:rPr>
            </w:pPr>
            <w:bookmarkStart w:id="9" w:name="dpurpose" w:colFirst="1" w:colLast="1"/>
            <w:bookmarkEnd w:id="8"/>
            <w:r w:rsidRPr="00941224">
              <w:rPr>
                <w:b/>
                <w:bCs/>
                <w:szCs w:val="24"/>
              </w:rPr>
              <w:t>Purpose:</w:t>
            </w:r>
          </w:p>
        </w:tc>
        <w:tc>
          <w:tcPr>
            <w:tcW w:w="8306" w:type="dxa"/>
            <w:gridSpan w:val="4"/>
            <w:tcBorders>
              <w:bottom w:val="single" w:sz="8" w:space="0" w:color="auto"/>
            </w:tcBorders>
          </w:tcPr>
          <w:p w:rsidR="00941224" w:rsidRPr="00941224" w:rsidRDefault="00941224" w:rsidP="00941224">
            <w:pPr>
              <w:rPr>
                <w:szCs w:val="24"/>
              </w:rPr>
            </w:pPr>
          </w:p>
        </w:tc>
      </w:tr>
      <w:bookmarkEnd w:id="1"/>
      <w:bookmarkEnd w:id="9"/>
      <w:tr w:rsidR="00C41E9A" w:rsidRPr="001B2EB4" w:rsidTr="000D76AB">
        <w:trPr>
          <w:cantSplit/>
          <w:trHeight w:val="357"/>
        </w:trPr>
        <w:tc>
          <w:tcPr>
            <w:tcW w:w="9923" w:type="dxa"/>
            <w:gridSpan w:val="6"/>
            <w:tcBorders>
              <w:top w:val="single" w:sz="12" w:space="0" w:color="auto"/>
            </w:tcBorders>
          </w:tcPr>
          <w:p w:rsidR="00C41E9A" w:rsidRPr="001B2EB4" w:rsidRDefault="00C41E9A" w:rsidP="000D76AB">
            <w:pPr>
              <w:jc w:val="center"/>
              <w:rPr>
                <w:b/>
                <w:bCs/>
              </w:rPr>
            </w:pPr>
            <w:r w:rsidRPr="001B2EB4">
              <w:rPr>
                <w:b/>
                <w:bCs/>
              </w:rPr>
              <w:t>LIAISON STATEMENT</w:t>
            </w:r>
          </w:p>
        </w:tc>
      </w:tr>
      <w:tr w:rsidR="00C41E9A" w:rsidRPr="001B2EB4" w:rsidTr="000D76AB">
        <w:trPr>
          <w:cantSplit/>
          <w:trHeight w:val="357"/>
        </w:trPr>
        <w:tc>
          <w:tcPr>
            <w:tcW w:w="2184" w:type="dxa"/>
            <w:gridSpan w:val="3"/>
          </w:tcPr>
          <w:p w:rsidR="00C41E9A" w:rsidRPr="001B2EB4" w:rsidRDefault="00C41E9A" w:rsidP="000D76AB">
            <w:pPr>
              <w:rPr>
                <w:b/>
                <w:bCs/>
              </w:rPr>
            </w:pPr>
            <w:r w:rsidRPr="001B2EB4">
              <w:rPr>
                <w:b/>
                <w:bCs/>
              </w:rPr>
              <w:t>For action to:</w:t>
            </w:r>
          </w:p>
        </w:tc>
        <w:tc>
          <w:tcPr>
            <w:tcW w:w="7739" w:type="dxa"/>
            <w:gridSpan w:val="3"/>
          </w:tcPr>
          <w:p w:rsidR="00C41E9A" w:rsidRPr="004E37B5" w:rsidRDefault="00C41E9A" w:rsidP="000D76AB">
            <w:pPr>
              <w:pStyle w:val="LSForAction"/>
            </w:pPr>
          </w:p>
        </w:tc>
      </w:tr>
      <w:tr w:rsidR="00C41E9A" w:rsidRPr="001B2EB4" w:rsidTr="000D76AB">
        <w:trPr>
          <w:cantSplit/>
          <w:trHeight w:val="357"/>
        </w:trPr>
        <w:tc>
          <w:tcPr>
            <w:tcW w:w="2184" w:type="dxa"/>
            <w:gridSpan w:val="3"/>
          </w:tcPr>
          <w:p w:rsidR="00C41E9A" w:rsidRPr="001B2EB4" w:rsidRDefault="00C41E9A" w:rsidP="000D76AB">
            <w:pPr>
              <w:rPr>
                <w:b/>
                <w:bCs/>
              </w:rPr>
            </w:pPr>
            <w:r w:rsidRPr="001B2EB4">
              <w:rPr>
                <w:b/>
                <w:bCs/>
              </w:rPr>
              <w:t>For comment to:</w:t>
            </w:r>
          </w:p>
        </w:tc>
        <w:tc>
          <w:tcPr>
            <w:tcW w:w="7739" w:type="dxa"/>
            <w:gridSpan w:val="3"/>
          </w:tcPr>
          <w:p w:rsidR="00C41E9A" w:rsidRPr="004E37B5" w:rsidRDefault="00C41E9A" w:rsidP="000D76AB">
            <w:pPr>
              <w:pStyle w:val="LSForComment"/>
              <w:rPr>
                <w:highlight w:val="yellow"/>
              </w:rPr>
            </w:pPr>
          </w:p>
        </w:tc>
      </w:tr>
      <w:tr w:rsidR="00C41E9A" w:rsidRPr="001B2EB4" w:rsidTr="000D76AB">
        <w:trPr>
          <w:cantSplit/>
          <w:trHeight w:val="357"/>
        </w:trPr>
        <w:tc>
          <w:tcPr>
            <w:tcW w:w="2184" w:type="dxa"/>
            <w:gridSpan w:val="3"/>
          </w:tcPr>
          <w:p w:rsidR="00C41E9A" w:rsidRPr="001B2EB4" w:rsidRDefault="00C41E9A" w:rsidP="000D76AB">
            <w:pPr>
              <w:rPr>
                <w:b/>
                <w:bCs/>
              </w:rPr>
            </w:pPr>
            <w:r w:rsidRPr="001B2EB4">
              <w:rPr>
                <w:b/>
                <w:bCs/>
              </w:rPr>
              <w:t>For information to:</w:t>
            </w:r>
          </w:p>
        </w:tc>
        <w:tc>
          <w:tcPr>
            <w:tcW w:w="7739" w:type="dxa"/>
            <w:gridSpan w:val="3"/>
          </w:tcPr>
          <w:p w:rsidR="00C41E9A" w:rsidRPr="00FF3FD5" w:rsidRDefault="00C41E9A" w:rsidP="000D76AB">
            <w:pPr>
              <w:pStyle w:val="LSForInfo"/>
              <w:rPr>
                <w:b w:val="0"/>
                <w:bCs w:val="0"/>
                <w:highlight w:val="yellow"/>
              </w:rPr>
            </w:pPr>
            <w:r w:rsidRPr="00FF3FD5">
              <w:rPr>
                <w:b w:val="0"/>
                <w:bCs w:val="0"/>
              </w:rPr>
              <w:t>Standardization Committee for Vocabulary (SCV)</w:t>
            </w:r>
          </w:p>
        </w:tc>
      </w:tr>
      <w:tr w:rsidR="00C41E9A" w:rsidRPr="001B2EB4" w:rsidTr="000D76AB">
        <w:trPr>
          <w:cantSplit/>
          <w:trHeight w:val="357"/>
        </w:trPr>
        <w:tc>
          <w:tcPr>
            <w:tcW w:w="2184" w:type="dxa"/>
            <w:gridSpan w:val="3"/>
          </w:tcPr>
          <w:p w:rsidR="00C41E9A" w:rsidRPr="001B2EB4" w:rsidRDefault="00C41E9A" w:rsidP="000D76AB">
            <w:pPr>
              <w:rPr>
                <w:b/>
                <w:bCs/>
              </w:rPr>
            </w:pPr>
            <w:r w:rsidRPr="001B2EB4">
              <w:rPr>
                <w:b/>
                <w:bCs/>
              </w:rPr>
              <w:t>Approval:</w:t>
            </w:r>
          </w:p>
        </w:tc>
        <w:tc>
          <w:tcPr>
            <w:tcW w:w="7739" w:type="dxa"/>
            <w:gridSpan w:val="3"/>
          </w:tcPr>
          <w:p w:rsidR="00C41E9A" w:rsidRPr="00FF3FD5" w:rsidRDefault="00C41E9A" w:rsidP="00FF3FD5">
            <w:r w:rsidRPr="00FF3FD5">
              <w:t>ITU-T SG15 meeting (Geneva, 9 February 2018)</w:t>
            </w:r>
          </w:p>
        </w:tc>
      </w:tr>
      <w:tr w:rsidR="00C41E9A" w:rsidRPr="001B2EB4" w:rsidTr="000D76AB">
        <w:trPr>
          <w:cantSplit/>
          <w:trHeight w:val="357"/>
        </w:trPr>
        <w:tc>
          <w:tcPr>
            <w:tcW w:w="2184" w:type="dxa"/>
            <w:gridSpan w:val="3"/>
            <w:tcBorders>
              <w:bottom w:val="single" w:sz="12" w:space="0" w:color="auto"/>
            </w:tcBorders>
          </w:tcPr>
          <w:p w:rsidR="00C41E9A" w:rsidRPr="001B2EB4" w:rsidRDefault="00C41E9A" w:rsidP="000D76AB">
            <w:pPr>
              <w:rPr>
                <w:b/>
                <w:bCs/>
              </w:rPr>
            </w:pPr>
            <w:r w:rsidRPr="001B2EB4">
              <w:rPr>
                <w:b/>
                <w:bCs/>
              </w:rPr>
              <w:t>Deadline:</w:t>
            </w:r>
          </w:p>
        </w:tc>
        <w:tc>
          <w:tcPr>
            <w:tcW w:w="7739" w:type="dxa"/>
            <w:gridSpan w:val="3"/>
            <w:tcBorders>
              <w:bottom w:val="single" w:sz="12" w:space="0" w:color="auto"/>
            </w:tcBorders>
          </w:tcPr>
          <w:p w:rsidR="00C41E9A" w:rsidRPr="000F47AC" w:rsidRDefault="00C41E9A" w:rsidP="000D76AB">
            <w:pPr>
              <w:pStyle w:val="LSDeadline"/>
              <w:rPr>
                <w:b w:val="0"/>
              </w:rPr>
            </w:pPr>
          </w:p>
        </w:tc>
      </w:tr>
      <w:tr w:rsidR="00C41E9A" w:rsidRPr="001B2EB4" w:rsidTr="000D76AB">
        <w:trPr>
          <w:cantSplit/>
          <w:trHeight w:val="204"/>
        </w:trPr>
        <w:tc>
          <w:tcPr>
            <w:tcW w:w="1617" w:type="dxa"/>
            <w:gridSpan w:val="2"/>
            <w:tcBorders>
              <w:top w:val="single" w:sz="12" w:space="0" w:color="auto"/>
            </w:tcBorders>
          </w:tcPr>
          <w:p w:rsidR="00C41E9A" w:rsidRPr="001B2EB4" w:rsidRDefault="00C41E9A" w:rsidP="000D76AB">
            <w:pPr>
              <w:rPr>
                <w:b/>
                <w:bCs/>
              </w:rPr>
            </w:pPr>
            <w:r w:rsidRPr="001B2EB4">
              <w:rPr>
                <w:b/>
                <w:bCs/>
              </w:rPr>
              <w:t>Contact:</w:t>
            </w:r>
          </w:p>
        </w:tc>
        <w:tc>
          <w:tcPr>
            <w:tcW w:w="4394" w:type="dxa"/>
            <w:gridSpan w:val="3"/>
            <w:tcBorders>
              <w:top w:val="single" w:sz="12" w:space="0" w:color="auto"/>
            </w:tcBorders>
          </w:tcPr>
          <w:p w:rsidR="00C41E9A" w:rsidRPr="001B2EB4" w:rsidRDefault="00C41E9A" w:rsidP="000D76AB">
            <w:r>
              <w:t xml:space="preserve">Jean-Marie </w:t>
            </w:r>
            <w:proofErr w:type="spellStart"/>
            <w:r>
              <w:t>Fromenteau</w:t>
            </w:r>
            <w:proofErr w:type="spellEnd"/>
            <w:r>
              <w:br/>
              <w:t>Corning Incorporated</w:t>
            </w:r>
            <w:r>
              <w:br/>
              <w:t>USA</w:t>
            </w:r>
            <w:r w:rsidRPr="001B2EB4">
              <w:t xml:space="preserve"> </w:t>
            </w:r>
          </w:p>
        </w:tc>
        <w:tc>
          <w:tcPr>
            <w:tcW w:w="3912" w:type="dxa"/>
            <w:tcBorders>
              <w:top w:val="single" w:sz="12" w:space="0" w:color="auto"/>
            </w:tcBorders>
          </w:tcPr>
          <w:p w:rsidR="00C41E9A" w:rsidRPr="001B2EB4" w:rsidRDefault="00C41E9A" w:rsidP="000D76AB">
            <w:r w:rsidRPr="001B2EB4">
              <w:t>Tel:</w:t>
            </w:r>
            <w:r>
              <w:t xml:space="preserve"> + 49 9561 42 74 20</w:t>
            </w:r>
            <w:r w:rsidRPr="001B2EB4">
              <w:br/>
              <w:t>Fax:</w:t>
            </w:r>
            <w:r>
              <w:rPr>
                <w:lang w:val="fr-CH"/>
              </w:rPr>
              <w:t xml:space="preserve"> + 49 9561 42 74 21</w:t>
            </w:r>
            <w:r w:rsidRPr="001B2EB4">
              <w:br/>
              <w:t xml:space="preserve">Email: </w:t>
            </w:r>
            <w:hyperlink r:id="rId8" w:history="1">
              <w:r w:rsidRPr="0051651A">
                <w:rPr>
                  <w:rStyle w:val="Hyperlink"/>
                  <w:lang w:val="fr-CH"/>
                </w:rPr>
                <w:t>fromentejm@corning.com</w:t>
              </w:r>
            </w:hyperlink>
          </w:p>
        </w:tc>
      </w:tr>
      <w:tr w:rsidR="00C41E9A" w:rsidRPr="001B2EB4" w:rsidTr="000D76AB">
        <w:trPr>
          <w:cantSplit/>
          <w:trHeight w:val="204"/>
        </w:trPr>
        <w:tc>
          <w:tcPr>
            <w:tcW w:w="9923" w:type="dxa"/>
            <w:gridSpan w:val="6"/>
            <w:tcBorders>
              <w:top w:val="single" w:sz="12" w:space="0" w:color="auto"/>
            </w:tcBorders>
          </w:tcPr>
          <w:p w:rsidR="00C41E9A" w:rsidRPr="001B2EB4" w:rsidRDefault="00C41E9A" w:rsidP="000D76AB">
            <w:pPr>
              <w:spacing w:before="0"/>
              <w:rPr>
                <w:sz w:val="18"/>
                <w:szCs w:val="18"/>
              </w:rPr>
            </w:pPr>
            <w:r w:rsidRPr="001B2EB4">
              <w:rPr>
                <w:sz w:val="18"/>
                <w:szCs w:val="18"/>
              </w:rPr>
              <w:t>Please don’t change the structure of this table, just insert the necessary information.</w:t>
            </w:r>
          </w:p>
        </w:tc>
      </w:tr>
    </w:tbl>
    <w:p w:rsidR="00C41E9A" w:rsidRDefault="00C41E9A" w:rsidP="00C41E9A">
      <w:pPr>
        <w:rPr>
          <w:b/>
          <w:bCs/>
        </w:rPr>
      </w:pPr>
    </w:p>
    <w:p w:rsidR="00C41E9A" w:rsidRDefault="00C41E9A" w:rsidP="00C41E9A">
      <w:pPr>
        <w:rPr>
          <w:bCs/>
        </w:rPr>
      </w:pPr>
      <w:r w:rsidRPr="00A02195">
        <w:rPr>
          <w:bCs/>
        </w:rPr>
        <w:t>ITU-T SG15 thanks</w:t>
      </w:r>
      <w:r w:rsidRPr="00A02195">
        <w:t xml:space="preserve"> </w:t>
      </w:r>
      <w:r w:rsidRPr="00A02195">
        <w:rPr>
          <w:bCs/>
        </w:rPr>
        <w:t xml:space="preserve">Standardization Committee for Vocabulary (SCV) </w:t>
      </w:r>
      <w:r>
        <w:rPr>
          <w:bCs/>
        </w:rPr>
        <w:t>for its liaisons statements:</w:t>
      </w:r>
    </w:p>
    <w:p w:rsidR="00C41E9A" w:rsidRPr="00A02195" w:rsidRDefault="00C41E9A" w:rsidP="00C41E9A">
      <w:pPr>
        <w:pStyle w:val="ListParagraph"/>
        <w:numPr>
          <w:ilvl w:val="0"/>
          <w:numId w:val="1"/>
        </w:numPr>
        <w:rPr>
          <w:rStyle w:val="Hyperlink"/>
          <w:bCs/>
        </w:rPr>
      </w:pPr>
      <w:r w:rsidRPr="00A02195">
        <w:rPr>
          <w:bCs/>
        </w:rPr>
        <w:t xml:space="preserve">TD142-GEN-Ref.: </w:t>
      </w:r>
      <w:hyperlink r:id="rId9" w:tooltip="ITU-T ftp file restricted to TIES access only" w:history="1">
        <w:r w:rsidRPr="00C41E9A">
          <w:rPr>
            <w:rStyle w:val="Hyperlink"/>
          </w:rPr>
          <w:t>SCV - LS 15 -E</w:t>
        </w:r>
      </w:hyperlink>
      <w:r w:rsidRPr="00A02195">
        <w:rPr>
          <w:rStyle w:val="Hyperlink"/>
        </w:rPr>
        <w:t xml:space="preserve"> on Definition of broadband access</w:t>
      </w:r>
    </w:p>
    <w:p w:rsidR="00C41E9A" w:rsidRDefault="00C41E9A" w:rsidP="00C41E9A">
      <w:pPr>
        <w:pStyle w:val="ListParagraph"/>
        <w:rPr>
          <w:rStyle w:val="Hyperlink"/>
        </w:rPr>
      </w:pPr>
      <w:proofErr w:type="gramStart"/>
      <w:r>
        <w:rPr>
          <w:rStyle w:val="Hyperlink"/>
        </w:rPr>
        <w:t>and</w:t>
      </w:r>
      <w:proofErr w:type="gramEnd"/>
      <w:r>
        <w:rPr>
          <w:rStyle w:val="Hyperlink"/>
        </w:rPr>
        <w:t xml:space="preserve"> </w:t>
      </w:r>
    </w:p>
    <w:p w:rsidR="00C41E9A" w:rsidRDefault="00C41E9A" w:rsidP="00C41E9A">
      <w:pPr>
        <w:pStyle w:val="ListParagraph"/>
        <w:numPr>
          <w:ilvl w:val="0"/>
          <w:numId w:val="1"/>
        </w:numPr>
        <w:rPr>
          <w:rStyle w:val="Hyperlink"/>
        </w:rPr>
      </w:pPr>
      <w:r>
        <w:rPr>
          <w:rStyle w:val="Hyperlink"/>
        </w:rPr>
        <w:t xml:space="preserve">TD143-GEN-Ref.: </w:t>
      </w:r>
      <w:hyperlink r:id="rId10" w:tooltip="ITU-T ftp file restricted to TIES access only" w:history="1">
        <w:r w:rsidRPr="00C41E9A">
          <w:rPr>
            <w:rStyle w:val="Hyperlink"/>
          </w:rPr>
          <w:t>SCV - LS 16 -E</w:t>
        </w:r>
      </w:hyperlink>
      <w:r>
        <w:rPr>
          <w:rStyle w:val="Hyperlink"/>
        </w:rPr>
        <w:t xml:space="preserve"> on </w:t>
      </w:r>
      <w:r w:rsidRPr="00A02195">
        <w:rPr>
          <w:rStyle w:val="Hyperlink"/>
        </w:rPr>
        <w:t>New ITU-T SG13 terms and definitions</w:t>
      </w:r>
    </w:p>
    <w:p w:rsidR="00C41E9A" w:rsidRPr="00040D13" w:rsidRDefault="00C41E9A" w:rsidP="00C41E9A">
      <w:pPr>
        <w:rPr>
          <w:bCs/>
        </w:rPr>
      </w:pPr>
      <w:r w:rsidRPr="00A02195">
        <w:rPr>
          <w:bCs/>
        </w:rPr>
        <w:t xml:space="preserve">The experts of ITU-T SG15 </w:t>
      </w:r>
      <w:r w:rsidRPr="00941224">
        <w:rPr>
          <w:bCs/>
        </w:rPr>
        <w:t>Working Party</w:t>
      </w:r>
      <w:r w:rsidRPr="00A02195">
        <w:rPr>
          <w:bCs/>
        </w:rPr>
        <w:t xml:space="preserve"> WP1/15 have reviewed both liaisons and would like to respond</w:t>
      </w:r>
      <w:r>
        <w:rPr>
          <w:bCs/>
        </w:rPr>
        <w:t xml:space="preserve"> as following: </w:t>
      </w:r>
      <w:r w:rsidRPr="00A02195">
        <w:rPr>
          <w:bCs/>
        </w:rPr>
        <w:br/>
      </w:r>
      <w:r w:rsidRPr="00522315">
        <w:rPr>
          <w:bCs/>
          <w:highlight w:val="yellow"/>
        </w:rPr>
        <w:br/>
      </w:r>
      <w:r w:rsidRPr="00A02195">
        <w:rPr>
          <w:bCs/>
        </w:rPr>
        <w:t xml:space="preserve">1) </w:t>
      </w:r>
      <w:r w:rsidRPr="00040D13">
        <w:rPr>
          <w:bCs/>
          <w:u w:val="single"/>
        </w:rPr>
        <w:t>TD142-GEN on definition of broadband access</w:t>
      </w:r>
    </w:p>
    <w:p w:rsidR="00C41E9A" w:rsidRPr="00040D13" w:rsidRDefault="00C41E9A" w:rsidP="00C41E9A">
      <w:pPr>
        <w:rPr>
          <w:bCs/>
        </w:rPr>
      </w:pPr>
      <w:r>
        <w:rPr>
          <w:bCs/>
        </w:rPr>
        <w:t xml:space="preserve">ITU-T </w:t>
      </w:r>
      <w:r w:rsidRPr="00040D13">
        <w:rPr>
          <w:bCs/>
        </w:rPr>
        <w:t xml:space="preserve">SG15 does not recommend stating a minimum data rate “greater than 2 </w:t>
      </w:r>
      <w:proofErr w:type="spellStart"/>
      <w:r w:rsidRPr="00040D13">
        <w:rPr>
          <w:bCs/>
        </w:rPr>
        <w:t>Mbits</w:t>
      </w:r>
      <w:proofErr w:type="spellEnd"/>
      <w:r w:rsidRPr="00040D13">
        <w:rPr>
          <w:bCs/>
        </w:rPr>
        <w:t xml:space="preserve">/s” in the definition of broadband access set by the ITU as it could potentially create misunderstanding among the broadband industry and regulators possibly discrediting </w:t>
      </w:r>
      <w:r>
        <w:rPr>
          <w:bCs/>
        </w:rPr>
        <w:t xml:space="preserve">ITU-T </w:t>
      </w:r>
      <w:r w:rsidRPr="00040D13">
        <w:rPr>
          <w:bCs/>
        </w:rPr>
        <w:t xml:space="preserve">SG15 standardization works with respect to broadband access. </w:t>
      </w:r>
    </w:p>
    <w:p w:rsidR="00C41E9A" w:rsidRPr="00040D13" w:rsidRDefault="00C41E9A" w:rsidP="00C41E9A">
      <w:pPr>
        <w:rPr>
          <w:bCs/>
        </w:rPr>
      </w:pPr>
      <w:r w:rsidRPr="00040D13">
        <w:rPr>
          <w:bCs/>
        </w:rPr>
        <w:t xml:space="preserve">Worldwide, many countries are implementing broadband deployment programmes based on minimum data rates defined by their respective regulators. The minimum data rates depend on the ICT environment of their countries including their access network infrastructures and evolve with the technologies deployed for the broadband access. These current minimum data rates are typically significantly higher than 2 </w:t>
      </w:r>
      <w:proofErr w:type="spellStart"/>
      <w:r w:rsidRPr="00040D13">
        <w:rPr>
          <w:bCs/>
        </w:rPr>
        <w:t>Mbits</w:t>
      </w:r>
      <w:proofErr w:type="spellEnd"/>
      <w:r w:rsidRPr="00040D13">
        <w:rPr>
          <w:bCs/>
        </w:rPr>
        <w:t>/s.</w:t>
      </w:r>
    </w:p>
    <w:p w:rsidR="00C41E9A" w:rsidRDefault="00C41E9A" w:rsidP="00C41E9A">
      <w:pPr>
        <w:rPr>
          <w:bCs/>
        </w:rPr>
      </w:pPr>
      <w:r w:rsidRPr="00040D13">
        <w:rPr>
          <w:bCs/>
        </w:rPr>
        <w:lastRenderedPageBreak/>
        <w:t xml:space="preserve">Therefore </w:t>
      </w:r>
      <w:r>
        <w:rPr>
          <w:bCs/>
        </w:rPr>
        <w:t xml:space="preserve">ITU-T </w:t>
      </w:r>
      <w:r w:rsidRPr="00040D13">
        <w:rPr>
          <w:bCs/>
        </w:rPr>
        <w:t>SG15 maintains its proposed definition for broadband access as it has previously provided: Access in which the connection(s) capabilities support data rates significantly greater than the narrowband rate access.</w:t>
      </w:r>
    </w:p>
    <w:p w:rsidR="00C41E9A" w:rsidRDefault="00C41E9A" w:rsidP="00C41E9A">
      <w:pPr>
        <w:rPr>
          <w:bCs/>
        </w:rPr>
      </w:pPr>
    </w:p>
    <w:p w:rsidR="00C41E9A" w:rsidRPr="00040D13" w:rsidRDefault="00C41E9A" w:rsidP="00C41E9A">
      <w:pPr>
        <w:rPr>
          <w:bCs/>
        </w:rPr>
      </w:pPr>
      <w:r w:rsidRPr="00040D13">
        <w:rPr>
          <w:bCs/>
        </w:rPr>
        <w:t xml:space="preserve">2) </w:t>
      </w:r>
      <w:r w:rsidRPr="00C61978">
        <w:rPr>
          <w:bCs/>
          <w:u w:val="single"/>
        </w:rPr>
        <w:t>TD143-GEN on New ITU-T SG13 terms and definitions</w:t>
      </w:r>
    </w:p>
    <w:p w:rsidR="00C41E9A" w:rsidRPr="00040D13" w:rsidRDefault="00C41E9A" w:rsidP="00C41E9A">
      <w:pPr>
        <w:rPr>
          <w:bCs/>
        </w:rPr>
      </w:pPr>
      <w:r w:rsidRPr="00040D13">
        <w:rPr>
          <w:bCs/>
        </w:rPr>
        <w:t xml:space="preserve">SG15 took note of the four terms and definitions provided by ITU-T SG13 for consideration and comments. </w:t>
      </w:r>
    </w:p>
    <w:p w:rsidR="00C41E9A" w:rsidRDefault="00C41E9A" w:rsidP="00C41E9A">
      <w:pPr>
        <w:rPr>
          <w:bCs/>
        </w:rPr>
      </w:pPr>
      <w:r w:rsidRPr="00040D13">
        <w:rPr>
          <w:bCs/>
        </w:rPr>
        <w:t>SG15 has no particular comments or specific positions to express regarding these four terms and definitions as they belong to commonly used technical vocabulary words.</w:t>
      </w:r>
    </w:p>
    <w:p w:rsidR="00A82A5A" w:rsidRPr="001C49AB" w:rsidRDefault="00C41E9A" w:rsidP="001C49AB">
      <w:pPr>
        <w:rPr>
          <w:bCs/>
        </w:rPr>
      </w:pPr>
      <w:r w:rsidRPr="00522315">
        <w:rPr>
          <w:bCs/>
          <w:i/>
          <w:highlight w:val="yellow"/>
          <w:lang w:val="en-US"/>
        </w:rPr>
        <w:br/>
      </w:r>
      <w:r w:rsidRPr="006A1720">
        <w:rPr>
          <w:bCs/>
          <w:lang w:val="en-US"/>
        </w:rPr>
        <w:br/>
      </w:r>
      <w:r w:rsidRPr="006A1720">
        <w:rPr>
          <w:bCs/>
        </w:rPr>
        <w:t>ITU-T SG15 looks forward to continuing its cooperation with Standardization Committee f</w:t>
      </w:r>
      <w:r>
        <w:rPr>
          <w:bCs/>
        </w:rPr>
        <w:t>or Vocabulary (SCV).</w:t>
      </w:r>
      <w:bookmarkStart w:id="10" w:name="_GoBack"/>
      <w:bookmarkEnd w:id="10"/>
    </w:p>
    <w:sectPr w:rsidR="00A82A5A" w:rsidRPr="001C49AB" w:rsidSect="00941224">
      <w:headerReference w:type="default" r:id="rId11"/>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5A3" w:rsidRDefault="008875A3" w:rsidP="000F61F0">
      <w:pPr>
        <w:spacing w:before="0"/>
      </w:pPr>
      <w:r>
        <w:separator/>
      </w:r>
    </w:p>
  </w:endnote>
  <w:endnote w:type="continuationSeparator" w:id="0">
    <w:p w:rsidR="008875A3" w:rsidRDefault="008875A3" w:rsidP="000F61F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5A3" w:rsidRDefault="008875A3" w:rsidP="000F61F0">
      <w:pPr>
        <w:spacing w:before="0"/>
      </w:pPr>
      <w:r>
        <w:separator/>
      </w:r>
    </w:p>
  </w:footnote>
  <w:footnote w:type="continuationSeparator" w:id="0">
    <w:p w:rsidR="008875A3" w:rsidRDefault="008875A3" w:rsidP="000F61F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1F0" w:rsidRPr="00941224" w:rsidRDefault="00941224" w:rsidP="00941224">
    <w:pPr>
      <w:pStyle w:val="Header"/>
      <w:jc w:val="center"/>
      <w:rPr>
        <w:sz w:val="18"/>
      </w:rPr>
    </w:pPr>
    <w:r w:rsidRPr="00941224">
      <w:rPr>
        <w:sz w:val="18"/>
      </w:rPr>
      <w:t xml:space="preserve">- </w:t>
    </w:r>
    <w:r w:rsidRPr="00941224">
      <w:rPr>
        <w:sz w:val="18"/>
      </w:rPr>
      <w:fldChar w:fldCharType="begin"/>
    </w:r>
    <w:r w:rsidRPr="00941224">
      <w:rPr>
        <w:sz w:val="18"/>
      </w:rPr>
      <w:instrText xml:space="preserve"> PAGE  \* MERGEFORMAT </w:instrText>
    </w:r>
    <w:r w:rsidRPr="00941224">
      <w:rPr>
        <w:sz w:val="18"/>
      </w:rPr>
      <w:fldChar w:fldCharType="separate"/>
    </w:r>
    <w:r w:rsidR="00DB4544">
      <w:rPr>
        <w:noProof/>
        <w:sz w:val="18"/>
      </w:rPr>
      <w:t>2</w:t>
    </w:r>
    <w:r w:rsidRPr="00941224">
      <w:rPr>
        <w:sz w:val="18"/>
      </w:rPr>
      <w:fldChar w:fldCharType="end"/>
    </w:r>
    <w:r w:rsidRPr="00941224">
      <w:rPr>
        <w:sz w:val="18"/>
      </w:rPr>
      <w:t xml:space="preserve"> -</w:t>
    </w:r>
  </w:p>
  <w:p w:rsidR="00941224" w:rsidRPr="00941224" w:rsidRDefault="00941224" w:rsidP="00941224">
    <w:pPr>
      <w:pStyle w:val="Header"/>
      <w:spacing w:after="240"/>
      <w:jc w:val="center"/>
      <w:rPr>
        <w:sz w:val="18"/>
      </w:rPr>
    </w:pPr>
    <w:r w:rsidRPr="00941224">
      <w:rPr>
        <w:sz w:val="18"/>
      </w:rPr>
      <w:fldChar w:fldCharType="begin"/>
    </w:r>
    <w:r w:rsidRPr="00941224">
      <w:rPr>
        <w:sz w:val="18"/>
      </w:rPr>
      <w:instrText xml:space="preserve"> STYLEREF  Docnumber  </w:instrText>
    </w:r>
    <w:r w:rsidRPr="00941224">
      <w:rPr>
        <w:sz w:val="18"/>
      </w:rPr>
      <w:fldChar w:fldCharType="separate"/>
    </w:r>
    <w:r w:rsidR="00DB4544">
      <w:rPr>
        <w:noProof/>
        <w:sz w:val="18"/>
      </w:rPr>
      <w:t>SCV-TD 72</w:t>
    </w:r>
    <w:r w:rsidRPr="00941224">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EE6948"/>
    <w:multiLevelType w:val="hybridMultilevel"/>
    <w:tmpl w:val="8570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9A"/>
    <w:rsid w:val="000B1ADD"/>
    <w:rsid w:val="000F61F0"/>
    <w:rsid w:val="001C49AB"/>
    <w:rsid w:val="0020592C"/>
    <w:rsid w:val="002C5B17"/>
    <w:rsid w:val="003326F5"/>
    <w:rsid w:val="003D7688"/>
    <w:rsid w:val="008875A3"/>
    <w:rsid w:val="00941224"/>
    <w:rsid w:val="00A82A5A"/>
    <w:rsid w:val="00C41E9A"/>
    <w:rsid w:val="00DB4544"/>
    <w:rsid w:val="00E0429E"/>
    <w:rsid w:val="00FE71DD"/>
    <w:rsid w:val="00FF3F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CEBFB-FDEB-4374-93A0-EA326D63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E9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41E9A"/>
    <w:rPr>
      <w:color w:val="0563C1" w:themeColor="hyperlink"/>
      <w:u w:val="single"/>
    </w:rPr>
  </w:style>
  <w:style w:type="paragraph" w:styleId="ListParagraph">
    <w:name w:val="List Paragraph"/>
    <w:basedOn w:val="Normal"/>
    <w:uiPriority w:val="34"/>
    <w:qFormat/>
    <w:rsid w:val="00C41E9A"/>
    <w:pPr>
      <w:ind w:left="720"/>
      <w:contextualSpacing/>
    </w:pPr>
  </w:style>
  <w:style w:type="paragraph" w:customStyle="1" w:styleId="LSSource">
    <w:name w:val="LSSource"/>
    <w:basedOn w:val="Normal"/>
    <w:rsid w:val="00C41E9A"/>
    <w:rPr>
      <w:rFonts w:eastAsia="MS Mincho"/>
      <w:b/>
      <w:bCs/>
    </w:rPr>
  </w:style>
  <w:style w:type="paragraph" w:customStyle="1" w:styleId="LSTitle">
    <w:name w:val="LSTitle"/>
    <w:basedOn w:val="Normal"/>
    <w:link w:val="LSTitleChar"/>
    <w:rsid w:val="00C41E9A"/>
    <w:rPr>
      <w:rFonts w:eastAsia="MS Mincho"/>
      <w:b/>
      <w:bCs/>
    </w:rPr>
  </w:style>
  <w:style w:type="paragraph" w:customStyle="1" w:styleId="LSForComment">
    <w:name w:val="LSForComment"/>
    <w:basedOn w:val="Normal"/>
    <w:rsid w:val="00C41E9A"/>
    <w:rPr>
      <w:rFonts w:eastAsia="MS Mincho"/>
      <w:b/>
      <w:bCs/>
    </w:rPr>
  </w:style>
  <w:style w:type="paragraph" w:customStyle="1" w:styleId="LSDeadline">
    <w:name w:val="LSDeadline"/>
    <w:basedOn w:val="Normal"/>
    <w:rsid w:val="00C41E9A"/>
    <w:rPr>
      <w:rFonts w:eastAsia="MS Mincho"/>
      <w:b/>
      <w:bCs/>
    </w:rPr>
  </w:style>
  <w:style w:type="paragraph" w:customStyle="1" w:styleId="LSForAction">
    <w:name w:val="LSForAction"/>
    <w:basedOn w:val="Normal"/>
    <w:rsid w:val="00C41E9A"/>
    <w:rPr>
      <w:rFonts w:eastAsia="MS Mincho"/>
      <w:b/>
      <w:bCs/>
    </w:rPr>
  </w:style>
  <w:style w:type="paragraph" w:customStyle="1" w:styleId="LSForInfo">
    <w:name w:val="LSForInfo"/>
    <w:basedOn w:val="LSForAction"/>
    <w:rsid w:val="00C41E9A"/>
  </w:style>
  <w:style w:type="character" w:customStyle="1" w:styleId="LSTitleChar">
    <w:name w:val="LSTitle Char"/>
    <w:link w:val="LSTitle"/>
    <w:rsid w:val="00C41E9A"/>
    <w:rPr>
      <w:rFonts w:ascii="Times New Roman" w:eastAsia="MS Mincho" w:hAnsi="Times New Roman" w:cs="Times New Roman"/>
      <w:b/>
      <w:bCs/>
      <w:sz w:val="24"/>
      <w:szCs w:val="20"/>
      <w:lang w:eastAsia="en-US"/>
    </w:rPr>
  </w:style>
  <w:style w:type="paragraph" w:styleId="Header">
    <w:name w:val="header"/>
    <w:basedOn w:val="Normal"/>
    <w:link w:val="HeaderChar"/>
    <w:uiPriority w:val="99"/>
    <w:unhideWhenUsed/>
    <w:rsid w:val="000F61F0"/>
    <w:pPr>
      <w:tabs>
        <w:tab w:val="clear" w:pos="794"/>
        <w:tab w:val="clear" w:pos="1191"/>
        <w:tab w:val="clear" w:pos="1588"/>
        <w:tab w:val="clear" w:pos="1985"/>
        <w:tab w:val="center" w:pos="4513"/>
        <w:tab w:val="right" w:pos="9026"/>
      </w:tabs>
      <w:spacing w:before="0"/>
    </w:pPr>
  </w:style>
  <w:style w:type="character" w:customStyle="1" w:styleId="HeaderChar">
    <w:name w:val="Header Char"/>
    <w:basedOn w:val="DefaultParagraphFont"/>
    <w:link w:val="Header"/>
    <w:uiPriority w:val="99"/>
    <w:rsid w:val="000F61F0"/>
    <w:rPr>
      <w:rFonts w:ascii="Times New Roman" w:eastAsia="Times New Roman" w:hAnsi="Times New Roman" w:cs="Times New Roman"/>
      <w:sz w:val="24"/>
      <w:szCs w:val="20"/>
      <w:lang w:eastAsia="en-US"/>
    </w:rPr>
  </w:style>
  <w:style w:type="paragraph" w:styleId="Footer">
    <w:name w:val="footer"/>
    <w:basedOn w:val="Normal"/>
    <w:link w:val="FooterChar"/>
    <w:uiPriority w:val="99"/>
    <w:unhideWhenUsed/>
    <w:rsid w:val="000F61F0"/>
    <w:pPr>
      <w:tabs>
        <w:tab w:val="clear" w:pos="794"/>
        <w:tab w:val="clear" w:pos="1191"/>
        <w:tab w:val="clear" w:pos="1588"/>
        <w:tab w:val="clear" w:pos="1985"/>
        <w:tab w:val="center" w:pos="4513"/>
        <w:tab w:val="right" w:pos="9026"/>
      </w:tabs>
      <w:spacing w:before="0"/>
    </w:pPr>
  </w:style>
  <w:style w:type="character" w:customStyle="1" w:styleId="FooterChar">
    <w:name w:val="Footer Char"/>
    <w:basedOn w:val="DefaultParagraphFont"/>
    <w:link w:val="Footer"/>
    <w:uiPriority w:val="99"/>
    <w:rsid w:val="000F61F0"/>
    <w:rPr>
      <w:rFonts w:ascii="Times New Roman" w:eastAsia="Times New Roman" w:hAnsi="Times New Roman" w:cs="Times New Roman"/>
      <w:sz w:val="24"/>
      <w:szCs w:val="20"/>
      <w:lang w:eastAsia="en-US"/>
    </w:rPr>
  </w:style>
  <w:style w:type="paragraph" w:customStyle="1" w:styleId="Docnumber">
    <w:name w:val="Docnumber"/>
    <w:basedOn w:val="Normal"/>
    <w:link w:val="DocnumberChar"/>
    <w:qFormat/>
    <w:rsid w:val="000F61F0"/>
    <w:pPr>
      <w:jc w:val="right"/>
    </w:pPr>
    <w:rPr>
      <w:b/>
      <w:bCs/>
      <w:sz w:val="40"/>
    </w:rPr>
  </w:style>
  <w:style w:type="character" w:customStyle="1" w:styleId="DocnumberChar">
    <w:name w:val="Docnumber Char"/>
    <w:basedOn w:val="DefaultParagraphFont"/>
    <w:link w:val="Docnumber"/>
    <w:rsid w:val="000F61F0"/>
    <w:rPr>
      <w:rFonts w:ascii="Times New Roman" w:eastAsia="Times New Roman" w:hAnsi="Times New Roman" w:cs="Times New Roman"/>
      <w:b/>
      <w:bCs/>
      <w:sz w:val="4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omentejm@cornin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handle.itu.int/11.1002/ls/sp16-scv-oLS-00016.docx" TargetMode="External"/><Relationship Id="rId4" Type="http://schemas.openxmlformats.org/officeDocument/2006/relationships/webSettings" Target="webSettings.xml"/><Relationship Id="rId9" Type="http://schemas.openxmlformats.org/officeDocument/2006/relationships/hyperlink" Target="http://handle.itu.int/11.1002/ls/sp16-scv-oLS-00015.docx"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CC18AC-D4CF-484C-82FD-3195FAE53C4C}"/>
</file>

<file path=customXml/itemProps2.xml><?xml version="1.0" encoding="utf-8"?>
<ds:datastoreItem xmlns:ds="http://schemas.openxmlformats.org/officeDocument/2006/customXml" ds:itemID="{0A997692-0076-40AD-9B2B-68B3916B58E7}"/>
</file>

<file path=customXml/itemProps3.xml><?xml version="1.0" encoding="utf-8"?>
<ds:datastoreItem xmlns:ds="http://schemas.openxmlformats.org/officeDocument/2006/customXml" ds:itemID="{B82555A8-08DB-4E73-8F24-F585998D0BC7}"/>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2184</Characters>
  <Application>Microsoft Office Word</Application>
  <DocSecurity>0</DocSecurity>
  <Lines>74</Lines>
  <Paragraphs>39</Paragraphs>
  <ScaleCrop>false</ScaleCrop>
  <HeadingPairs>
    <vt:vector size="2" baseType="variant">
      <vt:variant>
        <vt:lpstr>Title</vt:lpstr>
      </vt:variant>
      <vt:variant>
        <vt:i4>1</vt:i4>
      </vt:variant>
    </vt:vector>
  </HeadingPairs>
  <TitlesOfParts>
    <vt:vector size="1" baseType="lpstr">
      <vt:lpstr>LS/i/r to Standardization Committee for Vocabulary on definition of broadband access and on new ITU-T SG13 terms and definitions</vt:lpstr>
    </vt:vector>
  </TitlesOfParts>
  <Manager>ITU-T</Manager>
  <Company>International Telecommunication Union (ITU)</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to Standardization Committee for Vocabulary on definition of broadband access and on new ITU-T SG13 terms and definitions</dc:title>
  <dc:subject/>
  <dc:creator>ITU-T Study Group 15</dc:creator>
  <cp:keywords/>
  <dc:description>SCV-TD 72  For: Virtual meeting, 1st June 2018_x000d_Document date: _x000d_Saved by ITU51011766 at 17:57:38 on 26/02/2018</dc:description>
  <cp:lastModifiedBy>TSB-AC</cp:lastModifiedBy>
  <cp:revision>6</cp:revision>
  <dcterms:created xsi:type="dcterms:W3CDTF">2018-02-26T16:48:00Z</dcterms:created>
  <dcterms:modified xsi:type="dcterms:W3CDTF">2018-02-26T16:57:00Z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SCV-TD 72</vt:lpwstr>
  </property>
  <property fmtid="{D5CDD505-2E9C-101B-9397-08002B2CF9AE}" pid="3" name="Docdate">
    <vt:lpwstr/>
  </property>
  <property fmtid="{D5CDD505-2E9C-101B-9397-08002B2CF9AE}" pid="4" name="Docorlang">
    <vt:lpwstr/>
  </property>
  <property fmtid="{D5CDD505-2E9C-101B-9397-08002B2CF9AE}" pid="5" name="Docbluepink">
    <vt:lpwstr>All/15</vt:lpwstr>
  </property>
  <property fmtid="{D5CDD505-2E9C-101B-9397-08002B2CF9AE}" pid="6" name="Docdest">
    <vt:lpwstr>Virtual meeting, 1st June 2018</vt:lpwstr>
  </property>
  <property fmtid="{D5CDD505-2E9C-101B-9397-08002B2CF9AE}" pid="7" name="Docauthor">
    <vt:lpwstr>ITU-T Study Group 15</vt:lpwstr>
  </property>
  <property fmtid="{D5CDD505-2E9C-101B-9397-08002B2CF9AE}" pid="8" name="ContentTypeId">
    <vt:lpwstr>0x01010017487812B7DF734F899F9E259C366837</vt:lpwstr>
  </property>
</Properties>
</file>