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A22E6AE" wp14:editId="17F87549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0BD094AD" w14:textId="49697865" w:rsidR="00344BEA" w:rsidRPr="00F50108" w:rsidRDefault="002F3948" w:rsidP="002F3948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6E3C8FBC" wp14:editId="43AD2F78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Pr="00141BDB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48702792" w:rsidR="003D38E3" w:rsidRPr="00141BDB" w:rsidRDefault="00AA4858" w:rsidP="002F3948">
            <w:pPr>
              <w:pStyle w:val="Tabletext"/>
              <w:spacing w:before="240" w:after="120"/>
            </w:pPr>
            <w:r w:rsidRPr="00141BDB">
              <w:t>Geneva,</w:t>
            </w:r>
            <w:r w:rsidR="00141BDB" w:rsidRPr="00141BDB">
              <w:t xml:space="preserve"> </w:t>
            </w:r>
            <w:r w:rsidR="002F3948">
              <w:t>21</w:t>
            </w:r>
            <w:r w:rsidR="00310142">
              <w:t xml:space="preserve"> March </w:t>
            </w:r>
            <w:r w:rsidR="009918EA" w:rsidRPr="00141BDB">
              <w:t>2016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BC4608" w:rsidRDefault="00932E45" w:rsidP="0088403A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14:paraId="62075245" w14:textId="65474EA4" w:rsidR="00932E45" w:rsidRPr="00BC4608" w:rsidRDefault="001C00E5" w:rsidP="002F3948">
            <w:pPr>
              <w:pStyle w:val="Tabletext"/>
              <w:rPr>
                <w:b/>
                <w:sz w:val="22"/>
                <w:szCs w:val="22"/>
              </w:rPr>
            </w:pPr>
            <w:r w:rsidRPr="00BC4608">
              <w:rPr>
                <w:b/>
                <w:sz w:val="22"/>
                <w:szCs w:val="22"/>
              </w:rPr>
              <w:t xml:space="preserve">TSB Circular </w:t>
            </w:r>
            <w:r w:rsidR="002F3948">
              <w:rPr>
                <w:b/>
                <w:sz w:val="22"/>
                <w:szCs w:val="22"/>
              </w:rPr>
              <w:t>210</w:t>
            </w:r>
          </w:p>
          <w:p w14:paraId="4DEC15E1" w14:textId="3B653DF3" w:rsidR="00932E45" w:rsidRPr="00BC4608" w:rsidRDefault="00932E45" w:rsidP="00A15267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TSB Workshops/</w:t>
            </w:r>
            <w:r w:rsidR="00A15267" w:rsidRPr="00BC4608">
              <w:rPr>
                <w:sz w:val="22"/>
                <w:szCs w:val="22"/>
              </w:rPr>
              <w:t>MA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Pr="00141BDB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 w:rsidRPr="00141BDB">
              <w:t>-</w:t>
            </w:r>
            <w:r w:rsidRPr="00141BDB">
              <w:tab/>
              <w:t>To Administrations of Member States of the Union;</w:t>
            </w:r>
          </w:p>
          <w:p w14:paraId="0A76BDAC" w14:textId="77777777" w:rsidR="00932E45" w:rsidRPr="00141BDB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 w:rsidRPr="00141BDB">
              <w:rPr>
                <w:color w:val="000000"/>
              </w:rPr>
              <w:t>-</w:t>
            </w:r>
            <w:r w:rsidRPr="00141BDB">
              <w:rPr>
                <w:color w:val="000000"/>
              </w:rPr>
              <w:tab/>
              <w:t>To ITU-T Sector Members;</w:t>
            </w:r>
          </w:p>
          <w:p w14:paraId="08572B35" w14:textId="77777777" w:rsidR="00932E45" w:rsidRPr="00141BDB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 w:rsidRPr="00141BDB">
              <w:rPr>
                <w:color w:val="000000"/>
              </w:rPr>
              <w:t>-</w:t>
            </w:r>
            <w:r w:rsidRPr="00141BDB">
              <w:rPr>
                <w:color w:val="000000"/>
              </w:rPr>
              <w:tab/>
              <w:t>To ITU-T Associates;</w:t>
            </w:r>
          </w:p>
          <w:p w14:paraId="13213AD1" w14:textId="438002FF" w:rsidR="00932E45" w:rsidRPr="00141BDB" w:rsidRDefault="006B22FA" w:rsidP="00222D56">
            <w:pPr>
              <w:pStyle w:val="Tabletext"/>
              <w:ind w:left="283" w:hanging="283"/>
            </w:pPr>
            <w:r w:rsidRPr="00141BDB">
              <w:rPr>
                <w:color w:val="000000"/>
              </w:rPr>
              <w:t>-</w:t>
            </w:r>
            <w:r w:rsidRPr="00141BDB">
              <w:rPr>
                <w:color w:val="000000"/>
              </w:rPr>
              <w:tab/>
              <w:t xml:space="preserve">To ITU </w:t>
            </w:r>
            <w:r w:rsidR="00932E45" w:rsidRPr="00141BDB">
              <w:rPr>
                <w:color w:val="000000"/>
              </w:rPr>
              <w:t>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BC4608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14:paraId="41655E46" w14:textId="6C80C811" w:rsidR="00932E45" w:rsidRPr="00BC4608" w:rsidRDefault="00A15267" w:rsidP="009B6449">
            <w:pPr>
              <w:pStyle w:val="Tabletext"/>
              <w:rPr>
                <w:b/>
                <w:sz w:val="22"/>
                <w:szCs w:val="22"/>
              </w:rPr>
            </w:pPr>
            <w:r w:rsidRPr="00BC4608">
              <w:rPr>
                <w:b/>
                <w:sz w:val="22"/>
                <w:szCs w:val="22"/>
              </w:rPr>
              <w:t>Martin Adolph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Pr="00141BDB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BC4608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14:paraId="2909BDA3" w14:textId="315DF502" w:rsidR="00932E45" w:rsidRPr="00BC4608" w:rsidRDefault="00932E45" w:rsidP="00A15267">
            <w:pPr>
              <w:pStyle w:val="Tabletext"/>
              <w:rPr>
                <w:b/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+41 22 730</w:t>
            </w:r>
            <w:r w:rsidR="001C00E5" w:rsidRPr="00BC4608">
              <w:rPr>
                <w:sz w:val="22"/>
                <w:szCs w:val="22"/>
              </w:rPr>
              <w:t xml:space="preserve"> </w:t>
            </w:r>
            <w:r w:rsidR="00A15267" w:rsidRPr="00BC4608">
              <w:rPr>
                <w:sz w:val="22"/>
                <w:szCs w:val="22"/>
              </w:rPr>
              <w:t>6828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Pr="00141BDB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BC4608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BC4608" w:rsidRDefault="00932E45" w:rsidP="009B6449">
            <w:pPr>
              <w:pStyle w:val="Tabletext"/>
              <w:rPr>
                <w:b/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BC4608" w:rsidRDefault="0087300D" w:rsidP="009B6449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E-mail:</w:t>
            </w:r>
          </w:p>
        </w:tc>
        <w:tc>
          <w:tcPr>
            <w:tcW w:w="4244" w:type="dxa"/>
            <w:gridSpan w:val="2"/>
          </w:tcPr>
          <w:p w14:paraId="43FEBA4C" w14:textId="44A0D497" w:rsidR="00052C09" w:rsidRPr="00F36AC4" w:rsidRDefault="00007A3B" w:rsidP="00052C09">
            <w:pPr>
              <w:pStyle w:val="Tabletext"/>
            </w:pPr>
            <w:hyperlink r:id="rId10" w:history="1">
              <w:r w:rsidR="00052C09" w:rsidRPr="0039123D">
                <w:rPr>
                  <w:rStyle w:val="Hyperlink"/>
                </w:rPr>
                <w:t>Martin.Adolph@itu.int</w:t>
              </w:r>
            </w:hyperlink>
            <w:r w:rsidR="00052C09">
              <w:t xml:space="preserve"> </w:t>
            </w:r>
            <w:r w:rsidR="0087300D" w:rsidRPr="00F36AC4">
              <w:t xml:space="preserve"> </w:t>
            </w:r>
            <w:r w:rsidR="00052C09">
              <w:t xml:space="preserve"> </w:t>
            </w:r>
          </w:p>
        </w:tc>
        <w:tc>
          <w:tcPr>
            <w:tcW w:w="4394" w:type="dxa"/>
            <w:gridSpan w:val="2"/>
          </w:tcPr>
          <w:p w14:paraId="1E3DCDB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45C67EAB" w14:textId="4BC21136" w:rsidR="00310142" w:rsidRDefault="0087300D" w:rsidP="003101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Radiocommunication Bureau</w:t>
            </w:r>
          </w:p>
          <w:p w14:paraId="344B76ED" w14:textId="7206191F" w:rsidR="00E1290A" w:rsidRDefault="00E1290A" w:rsidP="003131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3FB9ED99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522B2B58" w14:textId="60E0A1A5" w:rsidR="00352BCD" w:rsidRPr="0094235B" w:rsidRDefault="00310142" w:rsidP="00310142">
            <w:pPr>
              <w:pStyle w:val="Tabletext"/>
              <w:rPr>
                <w:b/>
                <w:bCs/>
              </w:rPr>
            </w:pPr>
            <w:r w:rsidRPr="00310142">
              <w:rPr>
                <w:rFonts w:cs="Segoe UI"/>
                <w:b/>
                <w:bCs/>
                <w:color w:val="000000"/>
                <w:szCs w:val="24"/>
              </w:rPr>
              <w:t>ITU Workshop on “Quality of Service and Quality of Experience of Multimedia Applications and Services”</w:t>
            </w:r>
            <w:r w:rsidR="007A44DF">
              <w:rPr>
                <w:b/>
                <w:bCs/>
              </w:rPr>
              <w:t xml:space="preserve"> </w:t>
            </w:r>
            <w:r w:rsidR="00B94D9D">
              <w:rPr>
                <w:b/>
                <w:bCs/>
              </w:rPr>
              <w:br/>
            </w:r>
            <w:r w:rsidRPr="00310142">
              <w:rPr>
                <w:b/>
                <w:bCs/>
              </w:rPr>
              <w:t>(Haarlem</w:t>
            </w:r>
            <w:r w:rsidR="004B341F">
              <w:rPr>
                <w:b/>
                <w:bCs/>
              </w:rPr>
              <w:t>/Amsterdam</w:t>
            </w:r>
            <w:r w:rsidRPr="00310142">
              <w:rPr>
                <w:b/>
                <w:bCs/>
              </w:rPr>
              <w:t xml:space="preserve">, The Netherlands, </w:t>
            </w:r>
            <w:r>
              <w:rPr>
                <w:b/>
                <w:bCs/>
              </w:rPr>
              <w:t xml:space="preserve">9-11 </w:t>
            </w:r>
            <w:r w:rsidRPr="00310142">
              <w:rPr>
                <w:b/>
                <w:bCs/>
              </w:rPr>
              <w:t>May 2016)</w:t>
            </w:r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2C2B0C">
        <w:rPr>
          <w:szCs w:val="24"/>
        </w:rPr>
        <w:t>Dear Sir/Madam,</w:t>
      </w:r>
    </w:p>
    <w:p w14:paraId="74601318" w14:textId="7ABBC4DD" w:rsidR="00310142" w:rsidRDefault="001C00E5" w:rsidP="00637EC5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9918EA">
        <w:t>A</w:t>
      </w:r>
      <w:r w:rsidR="009918EA" w:rsidRPr="00293E27">
        <w:t xml:space="preserve">t the kind invitation of </w:t>
      </w:r>
      <w:proofErr w:type="spellStart"/>
      <w:r w:rsidR="009045C0">
        <w:t>Anite</w:t>
      </w:r>
      <w:proofErr w:type="spellEnd"/>
      <w:r w:rsidR="00310142">
        <w:t xml:space="preserve"> and Omnitele</w:t>
      </w:r>
      <w:r w:rsidR="009918EA">
        <w:t>, the International Telecommunication Union (ITU) will convene a</w:t>
      </w:r>
      <w:r w:rsidR="00310142">
        <w:t xml:space="preserve"> workshop on </w:t>
      </w:r>
      <w:r w:rsidR="00310142" w:rsidRPr="00310142">
        <w:t>Quality of Service and Quality of Experience of Multimedia Applications and Services</w:t>
      </w:r>
      <w:r w:rsidR="00310142">
        <w:t xml:space="preserve"> from 9 to 11 May 2016 at </w:t>
      </w:r>
      <w:hyperlink r:id="rId11" w:history="1">
        <w:r w:rsidR="00310142" w:rsidRPr="00292572">
          <w:rPr>
            <w:rStyle w:val="Hyperlink"/>
          </w:rPr>
          <w:t xml:space="preserve">Hotel Van der </w:t>
        </w:r>
        <w:proofErr w:type="spellStart"/>
        <w:r w:rsidR="00310142" w:rsidRPr="00292572">
          <w:rPr>
            <w:rStyle w:val="Hyperlink"/>
          </w:rPr>
          <w:t>Valk</w:t>
        </w:r>
        <w:proofErr w:type="spellEnd"/>
      </w:hyperlink>
      <w:r w:rsidR="00310142" w:rsidRPr="00310142">
        <w:t xml:space="preserve"> (</w:t>
      </w:r>
      <w:proofErr w:type="spellStart"/>
      <w:r w:rsidR="00310142" w:rsidRPr="00310142">
        <w:t>Toekanweg</w:t>
      </w:r>
      <w:proofErr w:type="spellEnd"/>
      <w:r w:rsidR="00310142" w:rsidRPr="00310142">
        <w:t xml:space="preserve"> 2, 2035 LC HAARLEM, </w:t>
      </w:r>
      <w:proofErr w:type="gramStart"/>
      <w:r w:rsidR="00310142" w:rsidRPr="00310142">
        <w:t>The</w:t>
      </w:r>
      <w:proofErr w:type="gramEnd"/>
      <w:r w:rsidR="00310142" w:rsidRPr="00310142">
        <w:t xml:space="preserve"> Netherlands)</w:t>
      </w:r>
      <w:r w:rsidR="009918EA">
        <w:t>.</w:t>
      </w:r>
      <w:r w:rsidR="00310142">
        <w:t xml:space="preserve"> </w:t>
      </w:r>
    </w:p>
    <w:p w14:paraId="3B6B0E39" w14:textId="6C24A34D" w:rsidR="001C00E5" w:rsidRDefault="001C00E5" w:rsidP="00310142">
      <w:r w:rsidRPr="005D3859">
        <w:t xml:space="preserve">The </w:t>
      </w:r>
      <w:r w:rsidR="00310142">
        <w:t xml:space="preserve">workshop </w:t>
      </w:r>
      <w:r w:rsidRPr="007A44DF">
        <w:t xml:space="preserve">will open at </w:t>
      </w:r>
      <w:r w:rsidR="009C2DBB">
        <w:t xml:space="preserve">10:00 </w:t>
      </w:r>
      <w:r w:rsidRPr="00141BDB">
        <w:t>hours</w:t>
      </w:r>
      <w:r w:rsidR="00A15267" w:rsidRPr="00141BDB">
        <w:t xml:space="preserve"> on </w:t>
      </w:r>
      <w:r w:rsidR="00310142">
        <w:t xml:space="preserve">9 May </w:t>
      </w:r>
      <w:r w:rsidR="00A15267" w:rsidRPr="00141BDB">
        <w:t>2016</w:t>
      </w:r>
      <w:r w:rsidRPr="00141BDB">
        <w:t>. Participant</w:t>
      </w:r>
      <w:r w:rsidR="00375BF5" w:rsidRPr="00141BDB">
        <w:t xml:space="preserve">s’ registration will begin at </w:t>
      </w:r>
      <w:r w:rsidR="009C2DBB">
        <w:t>09:00</w:t>
      </w:r>
      <w:r w:rsidR="00310142">
        <w:t xml:space="preserve"> </w:t>
      </w:r>
      <w:r w:rsidRPr="00141BDB">
        <w:t>hours</w:t>
      </w:r>
      <w:r w:rsidR="00375BF5" w:rsidRPr="00141BDB">
        <w:t>.</w:t>
      </w:r>
      <w:r w:rsidR="00375BF5" w:rsidRPr="007A44DF">
        <w:t xml:space="preserve"> </w:t>
      </w:r>
    </w:p>
    <w:p w14:paraId="21D72AB2" w14:textId="16BC80C6" w:rsidR="00637EC5" w:rsidRDefault="00637EC5" w:rsidP="00310142">
      <w:r>
        <w:t xml:space="preserve">The workshop will be held in conjunction with </w:t>
      </w:r>
      <w:r w:rsidRPr="00310142">
        <w:t>the thirty-third meeting of Quality of Service Development Group (QSDG)</w:t>
      </w:r>
      <w:r>
        <w:t>, from 12 to 13 May 2016.</w:t>
      </w:r>
    </w:p>
    <w:p w14:paraId="28BAEEA7" w14:textId="58A4E493" w:rsidR="00937F10" w:rsidRDefault="0094235B" w:rsidP="00310142">
      <w:r w:rsidRPr="007A44DF">
        <w:t>2</w:t>
      </w:r>
      <w:r w:rsidR="001C00E5" w:rsidRPr="007A44DF">
        <w:tab/>
      </w:r>
      <w:r w:rsidR="00937F10" w:rsidRPr="007A44DF">
        <w:t xml:space="preserve">Discussions will be held in </w:t>
      </w:r>
      <w:r w:rsidR="00BB22A0" w:rsidRPr="007A44DF">
        <w:t>English</w:t>
      </w:r>
      <w:r w:rsidR="00637EC5">
        <w:t xml:space="preserve"> only</w:t>
      </w:r>
      <w:r w:rsidR="004B3A06" w:rsidRPr="00DE0D0B">
        <w:t>.</w:t>
      </w:r>
      <w:r w:rsidR="00B004E8">
        <w:t xml:space="preserve"> </w:t>
      </w:r>
    </w:p>
    <w:p w14:paraId="42BB4C2B" w14:textId="16736473" w:rsidR="001C00E5" w:rsidRDefault="00937F10" w:rsidP="00BA7DC5">
      <w:r>
        <w:t>3</w:t>
      </w:r>
      <w:r>
        <w:tab/>
      </w:r>
      <w:r w:rsidR="001C00E5" w:rsidRPr="00352BCD">
        <w:t xml:space="preserve"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</w:t>
      </w:r>
      <w:r w:rsidR="00B94D9D">
        <w:t xml:space="preserve">Participation </w:t>
      </w:r>
      <w:r w:rsidR="00BB22A0">
        <w:t xml:space="preserve">is free of charge. </w:t>
      </w:r>
    </w:p>
    <w:p w14:paraId="288C4C8F" w14:textId="77777777" w:rsidR="00310142" w:rsidRPr="00310142" w:rsidRDefault="00DF0FF7" w:rsidP="00310142">
      <w:pPr>
        <w:textAlignment w:val="auto"/>
      </w:pPr>
      <w:r w:rsidRPr="00310142">
        <w:rPr>
          <w:szCs w:val="24"/>
        </w:rPr>
        <w:t>4</w:t>
      </w:r>
      <w:r w:rsidR="001C00E5" w:rsidRPr="00310142">
        <w:rPr>
          <w:szCs w:val="24"/>
        </w:rPr>
        <w:tab/>
      </w:r>
      <w:r w:rsidR="00310142" w:rsidRPr="00310142">
        <w:rPr>
          <w:szCs w:val="24"/>
        </w:rPr>
        <w:t xml:space="preserve">Objectives of the workshop include: </w:t>
      </w:r>
    </w:p>
    <w:p w14:paraId="28224B2C" w14:textId="16A4A57D" w:rsidR="00310142" w:rsidRDefault="00310142" w:rsidP="00310142">
      <w:pPr>
        <w:pStyle w:val="ListParagraph"/>
        <w:numPr>
          <w:ilvl w:val="0"/>
          <w:numId w:val="6"/>
        </w:numPr>
        <w:textAlignment w:val="auto"/>
      </w:pPr>
      <w:r>
        <w:t>Introduce ITU-T Study Group 12 and its activities;</w:t>
      </w:r>
    </w:p>
    <w:p w14:paraId="46AA909B" w14:textId="33423E14" w:rsidR="00310142" w:rsidRDefault="00310142" w:rsidP="00310142">
      <w:pPr>
        <w:pStyle w:val="ListParagraph"/>
        <w:numPr>
          <w:ilvl w:val="0"/>
          <w:numId w:val="6"/>
        </w:numPr>
        <w:textAlignment w:val="auto"/>
      </w:pPr>
      <w:r>
        <w:t>Discuss quality of service (QoS) &amp; quality of experience (QoE) of multimedia services; and</w:t>
      </w:r>
    </w:p>
    <w:p w14:paraId="187A57F0" w14:textId="11B6AB1D" w:rsidR="00310142" w:rsidRPr="004B341F" w:rsidRDefault="00310142" w:rsidP="00310142">
      <w:pPr>
        <w:pStyle w:val="ListParagraph"/>
        <w:numPr>
          <w:ilvl w:val="0"/>
          <w:numId w:val="6"/>
        </w:numPr>
        <w:textAlignment w:val="auto"/>
      </w:pPr>
      <w:r>
        <w:t>Exchange information on QoS &amp; QoE in terms of standardization, best practices, frameworks, regulatory and operational aspects, assessment of QoS parameters for different services, multimedia performance assessment methods, etc.</w:t>
      </w:r>
    </w:p>
    <w:p w14:paraId="02ED0A51" w14:textId="7374BF6D" w:rsidR="009C2DBB" w:rsidRPr="004B341F" w:rsidRDefault="009C2DBB" w:rsidP="004B341F">
      <w:pPr>
        <w:numPr>
          <w:ilvl w:val="0"/>
          <w:numId w:val="6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/>
        <w:jc w:val="both"/>
        <w:textAlignment w:val="auto"/>
      </w:pPr>
      <w:r w:rsidRPr="004B341F">
        <w:lastRenderedPageBreak/>
        <w:t>Optimization and Evaluation of Wireless Mobile Networks (Including 3G/WCDMA, LTE and LTE advanced).</w:t>
      </w:r>
    </w:p>
    <w:p w14:paraId="3C154470" w14:textId="1A89495B" w:rsidR="007C2CF5" w:rsidRDefault="00310142" w:rsidP="00310142">
      <w:pPr>
        <w:rPr>
          <w:szCs w:val="24"/>
        </w:rPr>
      </w:pPr>
      <w:r>
        <w:rPr>
          <w:szCs w:val="24"/>
        </w:rPr>
        <w:t>5</w:t>
      </w:r>
      <w:r>
        <w:rPr>
          <w:szCs w:val="24"/>
        </w:rPr>
        <w:tab/>
      </w:r>
      <w:r w:rsidR="007C2CF5" w:rsidRPr="007C2CF5">
        <w:rPr>
          <w:szCs w:val="24"/>
        </w:rPr>
        <w:t xml:space="preserve">The target audience of the </w:t>
      </w:r>
      <w:r>
        <w:rPr>
          <w:szCs w:val="24"/>
        </w:rPr>
        <w:t xml:space="preserve">workshop </w:t>
      </w:r>
      <w:r w:rsidR="007C2CF5" w:rsidRPr="007C2CF5">
        <w:rPr>
          <w:szCs w:val="24"/>
        </w:rPr>
        <w:t>include</w:t>
      </w:r>
      <w:r>
        <w:rPr>
          <w:szCs w:val="24"/>
        </w:rPr>
        <w:t>s</w:t>
      </w:r>
      <w:r w:rsidR="007C2CF5" w:rsidRPr="007C2CF5">
        <w:rPr>
          <w:szCs w:val="24"/>
        </w:rPr>
        <w:t xml:space="preserve"> </w:t>
      </w:r>
      <w:r>
        <w:rPr>
          <w:szCs w:val="24"/>
        </w:rPr>
        <w:t xml:space="preserve">representatives of </w:t>
      </w:r>
      <w:r w:rsidR="007C2CF5" w:rsidRPr="007C2CF5">
        <w:rPr>
          <w:szCs w:val="24"/>
        </w:rPr>
        <w:t xml:space="preserve">ITU Member States, national standards bodies, regulators, </w:t>
      </w:r>
      <w:r>
        <w:rPr>
          <w:szCs w:val="24"/>
        </w:rPr>
        <w:t>operators, vendors, service providers</w:t>
      </w:r>
      <w:r w:rsidR="007C2CF5" w:rsidRPr="007C2CF5">
        <w:rPr>
          <w:szCs w:val="24"/>
        </w:rPr>
        <w:t xml:space="preserve"> and academia</w:t>
      </w:r>
      <w:r w:rsidR="007C2CF5">
        <w:rPr>
          <w:szCs w:val="24"/>
        </w:rPr>
        <w:t>.</w:t>
      </w:r>
    </w:p>
    <w:p w14:paraId="2DF455DA" w14:textId="51EE1D35" w:rsidR="001C00E5" w:rsidRDefault="002F3948" w:rsidP="00007A3B">
      <w:r>
        <w:t>6</w:t>
      </w:r>
      <w:r w:rsidR="00B76872" w:rsidRPr="00141BDB">
        <w:tab/>
      </w:r>
      <w:r w:rsidR="0059191B" w:rsidRPr="00141BDB">
        <w:t>A</w:t>
      </w:r>
      <w:r w:rsidR="001C00E5" w:rsidRPr="00141BDB">
        <w:t xml:space="preserve"> </w:t>
      </w:r>
      <w:r w:rsidR="001C00E5" w:rsidRPr="00141BDB">
        <w:rPr>
          <w:b/>
          <w:bCs/>
          <w:u w:val="single"/>
        </w:rPr>
        <w:t>draft programme</w:t>
      </w:r>
      <w:r w:rsidR="001C00E5" w:rsidRPr="00141BDB">
        <w:t xml:space="preserve"> of the </w:t>
      </w:r>
      <w:r w:rsidR="00F24B37" w:rsidRPr="00141BDB">
        <w:t xml:space="preserve">Forum </w:t>
      </w:r>
      <w:r w:rsidR="00A9176F" w:rsidRPr="00141BDB">
        <w:t xml:space="preserve">will be made available on the </w:t>
      </w:r>
      <w:r w:rsidR="0077372B">
        <w:t>event</w:t>
      </w:r>
      <w:r w:rsidR="00A9176F" w:rsidRPr="00352BCD">
        <w:br/>
      </w:r>
      <w:r w:rsidR="001C00E5" w:rsidRPr="00352BCD">
        <w:t>website</w:t>
      </w:r>
      <w:r w:rsidR="007C2CF5">
        <w:t xml:space="preserve">: </w:t>
      </w:r>
      <w:hyperlink r:id="rId12" w:history="1">
        <w:r w:rsidR="00007A3B" w:rsidRPr="00087FF2">
          <w:rPr>
            <w:rStyle w:val="Hyperlink"/>
          </w:rPr>
          <w:t>http://www.itu.int/en/ITU-T/Workshops-and-Seminars/qos/201605/Pages/default.aspx</w:t>
        </w:r>
      </w:hyperlink>
      <w:proofErr w:type="gramStart"/>
      <w:r w:rsidR="00007A3B">
        <w:t xml:space="preserve"> </w:t>
      </w:r>
      <w:bookmarkStart w:id="5" w:name="_GoBack"/>
      <w:bookmarkEnd w:id="5"/>
      <w:proofErr w:type="gramEnd"/>
      <w:r w:rsidR="00BC4608">
        <w:t xml:space="preserve"> </w:t>
      </w:r>
      <w:r w:rsidR="00310142">
        <w:t xml:space="preserve">. </w:t>
      </w:r>
      <w:r w:rsidR="001C00E5" w:rsidRPr="00352BCD">
        <w:t>This website will be regularly updated as new or modified information become available. Participants are requested to check periodically for new updates.</w:t>
      </w:r>
      <w:r w:rsidR="00352BCD">
        <w:t xml:space="preserve"> </w:t>
      </w:r>
    </w:p>
    <w:p w14:paraId="3365B68B" w14:textId="46FD8E1B" w:rsidR="00A9176F" w:rsidRPr="00141BDB" w:rsidRDefault="0077372B" w:rsidP="00BC4608">
      <w:r>
        <w:t>7</w:t>
      </w:r>
      <w:r w:rsidR="001C00E5">
        <w:tab/>
      </w:r>
      <w:r w:rsidR="0059191B" w:rsidRPr="00141BDB">
        <w:t>G</w:t>
      </w:r>
      <w:r w:rsidR="00A9176F" w:rsidRPr="00141BDB">
        <w:t xml:space="preserve">eneral information for participants including hotel accommodation, transportation and visa requirements </w:t>
      </w:r>
      <w:r w:rsidR="005A0771" w:rsidRPr="00141BDB">
        <w:t>will be made available at</w:t>
      </w:r>
      <w:r w:rsidR="00A9176F" w:rsidRPr="00141BDB">
        <w:t xml:space="preserve"> </w:t>
      </w:r>
      <w:hyperlink r:id="rId13" w:history="1">
        <w:r w:rsidR="00BC4608" w:rsidRPr="00D24009">
          <w:rPr>
            <w:rStyle w:val="Hyperlink"/>
          </w:rPr>
          <w:t>http://www.itu.int/en/ITU-T/Workshops-and-Seminars/qos/201605/Pages/default.aspx</w:t>
        </w:r>
      </w:hyperlink>
      <w:r w:rsidR="00BC4608">
        <w:t xml:space="preserve"> </w:t>
      </w:r>
      <w:r w:rsidR="00AE4A6A" w:rsidRPr="00141BDB">
        <w:t>.</w:t>
      </w:r>
      <w:r w:rsidR="00310142">
        <w:t xml:space="preserve"> </w:t>
      </w:r>
      <w:r w:rsidR="009045C0">
        <w:t xml:space="preserve">The host has reserved </w:t>
      </w:r>
      <w:r w:rsidR="009045C0" w:rsidRPr="009045C0">
        <w:rPr>
          <w:b/>
          <w:bCs/>
        </w:rPr>
        <w:t>hotel rooms at a preferential rate which can be booked – no later than 6 April 2016 – via the form in Annex 1</w:t>
      </w:r>
      <w:r w:rsidR="009045C0">
        <w:t xml:space="preserve">. </w:t>
      </w:r>
    </w:p>
    <w:p w14:paraId="7E50C372" w14:textId="55A124E9" w:rsidR="0034414E" w:rsidRPr="00141BDB" w:rsidRDefault="0077372B" w:rsidP="00F23726">
      <w:r>
        <w:t>8</w:t>
      </w:r>
      <w:r w:rsidR="00A46F62" w:rsidRPr="00141BDB">
        <w:tab/>
      </w:r>
      <w:r w:rsidR="001C00E5" w:rsidRPr="00141BDB">
        <w:t xml:space="preserve">To enable </w:t>
      </w:r>
      <w:r w:rsidR="00352BCD" w:rsidRPr="00141BDB">
        <w:t xml:space="preserve">ITU </w:t>
      </w:r>
      <w:r w:rsidR="001C00E5" w:rsidRPr="00141BDB">
        <w:t xml:space="preserve">to make the necessary arrangements concerning the organization of the </w:t>
      </w:r>
      <w:r w:rsidR="00766ED7" w:rsidRPr="00141BDB">
        <w:t>Forum</w:t>
      </w:r>
      <w:r w:rsidR="001C00E5" w:rsidRPr="00141BDB">
        <w:t xml:space="preserve">, I should be grateful if you would register via the on-line form at: </w:t>
      </w:r>
      <w:hyperlink r:id="rId14" w:history="1">
        <w:r w:rsidR="00F23726">
          <w:rPr>
            <w:rStyle w:val="Hyperlink"/>
          </w:rPr>
          <w:t>http://www.itu.int/online/regsys/ITU-T/misc/edrs.registration.form?_eventid=3000866</w:t>
        </w:r>
      </w:hyperlink>
      <w:r w:rsidR="00F23726">
        <w:rPr>
          <w:color w:val="1F497D"/>
        </w:rPr>
        <w:t xml:space="preserve"> </w:t>
      </w:r>
      <w:r w:rsidR="007C2CF5">
        <w:rPr>
          <w:color w:val="1F497D"/>
        </w:rPr>
        <w:t xml:space="preserve"> as</w:t>
      </w:r>
      <w:r w:rsidR="001C00E5" w:rsidRPr="00141BDB">
        <w:t xml:space="preserve"> soon as possible, but </w:t>
      </w:r>
      <w:r w:rsidR="001C00E5" w:rsidRPr="00141BDB">
        <w:rPr>
          <w:b/>
        </w:rPr>
        <w:t xml:space="preserve">no later than </w:t>
      </w:r>
      <w:r w:rsidR="009045C0">
        <w:rPr>
          <w:b/>
        </w:rPr>
        <w:t xml:space="preserve">9 May </w:t>
      </w:r>
      <w:r w:rsidR="006139A1" w:rsidRPr="00141BDB">
        <w:rPr>
          <w:b/>
        </w:rPr>
        <w:t>2016</w:t>
      </w:r>
      <w:r w:rsidR="001C00E5" w:rsidRPr="00141BDB">
        <w:rPr>
          <w:b/>
        </w:rPr>
        <w:t>.</w:t>
      </w:r>
      <w:r w:rsidR="001C00E5" w:rsidRPr="00141BDB">
        <w:t xml:space="preserve"> </w:t>
      </w:r>
      <w:r w:rsidR="001C00E5" w:rsidRPr="00141BDB">
        <w:rPr>
          <w:b/>
          <w:bCs/>
        </w:rPr>
        <w:t>Please note that pre-registration of participants to</w:t>
      </w:r>
      <w:r w:rsidR="00766ED7" w:rsidRPr="00141BDB">
        <w:rPr>
          <w:b/>
          <w:bCs/>
        </w:rPr>
        <w:t xml:space="preserve"> our events</w:t>
      </w:r>
      <w:r w:rsidR="001C00E5" w:rsidRPr="00141BDB">
        <w:rPr>
          <w:b/>
          <w:bCs/>
        </w:rPr>
        <w:t xml:space="preserve"> is carried out exclusively </w:t>
      </w:r>
      <w:r w:rsidR="001C00E5" w:rsidRPr="00141BDB">
        <w:rPr>
          <w:b/>
          <w:bCs/>
          <w:i/>
          <w:iCs/>
        </w:rPr>
        <w:t>online</w:t>
      </w:r>
      <w:r w:rsidR="001C00E5" w:rsidRPr="00141BDB">
        <w:rPr>
          <w:b/>
          <w:bCs/>
        </w:rPr>
        <w:t xml:space="preserve">. </w:t>
      </w:r>
      <w:r w:rsidR="0059191B" w:rsidRPr="00141BDB">
        <w:t xml:space="preserve">Participants will </w:t>
      </w:r>
      <w:r w:rsidR="00964570" w:rsidRPr="00141BDB">
        <w:t xml:space="preserve">also </w:t>
      </w:r>
      <w:r w:rsidR="0059191B" w:rsidRPr="00141BDB">
        <w:t>be able to register o</w:t>
      </w:r>
      <w:r w:rsidR="00B76872" w:rsidRPr="00141BDB">
        <w:t>n</w:t>
      </w:r>
      <w:r w:rsidR="00D93C3A" w:rsidRPr="00141BDB">
        <w:t xml:space="preserve">-site </w:t>
      </w:r>
      <w:r w:rsidR="0059191B" w:rsidRPr="00141BDB">
        <w:t>on the day of the event.</w:t>
      </w:r>
      <w:r w:rsidR="0034414E" w:rsidRPr="00141BDB">
        <w:t xml:space="preserve"> </w:t>
      </w:r>
    </w:p>
    <w:p w14:paraId="4BECF366" w14:textId="2497C50B" w:rsidR="00DF79A4" w:rsidRPr="00827AEF" w:rsidRDefault="00A46F62" w:rsidP="009045C0">
      <w:pPr>
        <w:pStyle w:val="BodyText2"/>
        <w:rPr>
          <w:szCs w:val="24"/>
        </w:rPr>
      </w:pPr>
      <w:r w:rsidRPr="00141BDB">
        <w:rPr>
          <w:szCs w:val="24"/>
        </w:rPr>
        <w:t>9</w:t>
      </w:r>
      <w:r w:rsidR="001C00E5" w:rsidRPr="00141BDB">
        <w:rPr>
          <w:szCs w:val="24"/>
        </w:rPr>
        <w:tab/>
      </w:r>
      <w:r w:rsidR="001C00E5" w:rsidRPr="00141BDB">
        <w:rPr>
          <w:szCs w:val="24"/>
        </w:rPr>
        <w:tab/>
        <w:t xml:space="preserve">I would remind you that citizens of some countries are required to obtain a visa in order to enter and spend any time in </w:t>
      </w:r>
      <w:r w:rsidR="009045C0">
        <w:rPr>
          <w:szCs w:val="24"/>
        </w:rPr>
        <w:t>the Netherlands</w:t>
      </w:r>
      <w:r w:rsidR="001C00E5" w:rsidRPr="00141BDB">
        <w:rPr>
          <w:szCs w:val="24"/>
        </w:rPr>
        <w:t xml:space="preserve">. The visa must be obtained from the office (embassy or consulate) representing </w:t>
      </w:r>
      <w:r w:rsidR="009045C0">
        <w:rPr>
          <w:szCs w:val="24"/>
        </w:rPr>
        <w:t xml:space="preserve">the Netherlands </w:t>
      </w:r>
      <w:r w:rsidR="001C00E5" w:rsidRPr="00141BDB">
        <w:rPr>
          <w:szCs w:val="24"/>
        </w:rPr>
        <w:t>in your country or, if there is no such office in your country, from the one that is closest to the country of departure.</w:t>
      </w:r>
      <w:r w:rsidR="007C2CF5">
        <w:rPr>
          <w:szCs w:val="24"/>
        </w:rPr>
        <w:t xml:space="preserve"> Please be aware that visa approval might take time so kindly send your application as soon as possible.</w:t>
      </w:r>
      <w:r w:rsidR="001C00E5" w:rsidRPr="00141BDB">
        <w:rPr>
          <w:szCs w:val="24"/>
        </w:rPr>
        <w:tab/>
      </w:r>
    </w:p>
    <w:p w14:paraId="5C427641" w14:textId="3BE91325" w:rsidR="00DF79A4" w:rsidRPr="00827AEF" w:rsidRDefault="00DF79A4" w:rsidP="00DF79A4">
      <w:pPr>
        <w:pStyle w:val="BodyText2"/>
        <w:rPr>
          <w:szCs w:val="24"/>
        </w:rPr>
      </w:pPr>
      <w:r w:rsidRPr="00827AEF">
        <w:rPr>
          <w:szCs w:val="24"/>
        </w:rPr>
        <w:t>Yours faithfully,</w:t>
      </w:r>
    </w:p>
    <w:p w14:paraId="7CBF9285" w14:textId="0C7075B9" w:rsidR="00DF79A4" w:rsidRPr="00827AEF" w:rsidRDefault="007C2CF5" w:rsidP="00DF79A4">
      <w:pPr>
        <w:pStyle w:val="BodyText2"/>
        <w:rPr>
          <w:szCs w:val="24"/>
        </w:rPr>
      </w:pPr>
      <w:r>
        <w:rPr>
          <w:szCs w:val="24"/>
        </w:rPr>
        <w:br/>
      </w:r>
    </w:p>
    <w:p w14:paraId="72981B53" w14:textId="08B63241" w:rsidR="00C970CF" w:rsidRDefault="008B6B79" w:rsidP="00943793">
      <w:pPr>
        <w:spacing w:before="240"/>
        <w:ind w:right="91"/>
        <w:rPr>
          <w:b/>
          <w:szCs w:val="24"/>
          <w:lang w:val="en-US"/>
        </w:rPr>
        <w:sectPr w:rsidR="00C970CF" w:rsidSect="00AD7192">
          <w:headerReference w:type="default" r:id="rId15"/>
          <w:footerReference w:type="default" r:id="rId16"/>
          <w:footerReference w:type="first" r:id="rId17"/>
          <w:type w:val="oddPage"/>
          <w:pgSz w:w="11907" w:h="16834" w:code="9"/>
          <w:pgMar w:top="567" w:right="1089" w:bottom="567" w:left="1089" w:header="567" w:footer="567" w:gutter="0"/>
          <w:paperSrc w:first="7" w:other="7"/>
          <w:cols w:space="720"/>
          <w:titlePg/>
        </w:sectPr>
      </w:pPr>
      <w:r>
        <w:rPr>
          <w:szCs w:val="24"/>
          <w:lang w:val="en-US"/>
        </w:rPr>
        <w:br/>
      </w:r>
      <w:r w:rsidR="001C00E5" w:rsidRPr="00827AEF">
        <w:rPr>
          <w:szCs w:val="24"/>
          <w:lang w:val="en-US"/>
        </w:rPr>
        <w:t>Chaesub Lee</w:t>
      </w:r>
      <w:r w:rsidR="001C00E5" w:rsidRPr="00827AEF">
        <w:rPr>
          <w:szCs w:val="24"/>
        </w:rPr>
        <w:br/>
        <w:t>Director of the Telecommunication</w:t>
      </w:r>
      <w:r w:rsidR="001C00E5" w:rsidRPr="00827AEF">
        <w:rPr>
          <w:szCs w:val="24"/>
        </w:rPr>
        <w:br/>
        <w:t>Standardization Bureau</w:t>
      </w:r>
      <w:r>
        <w:rPr>
          <w:szCs w:val="24"/>
        </w:rPr>
        <w:br/>
      </w:r>
      <w:r w:rsidR="00762508">
        <w:rPr>
          <w:b/>
          <w:szCs w:val="24"/>
          <w:lang w:val="en-US"/>
        </w:rPr>
        <w:t xml:space="preserve"> </w:t>
      </w:r>
      <w:r w:rsidR="002E50E7">
        <w:rPr>
          <w:b/>
          <w:szCs w:val="24"/>
          <w:lang w:val="en-US"/>
        </w:rPr>
        <w:br/>
        <w:t>Annex</w:t>
      </w:r>
      <w:r w:rsidR="00637EC5">
        <w:rPr>
          <w:b/>
          <w:szCs w:val="24"/>
          <w:lang w:val="en-US"/>
        </w:rPr>
        <w:t>: 1</w:t>
      </w:r>
    </w:p>
    <w:p w14:paraId="0F45C780" w14:textId="2BE9363F" w:rsidR="000224E2" w:rsidRDefault="000224E2" w:rsidP="009045C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lang w:val="en-US"/>
        </w:rPr>
      </w:pPr>
      <w:r>
        <w:rPr>
          <w:lang w:val="en-US"/>
        </w:rPr>
        <w:lastRenderedPageBreak/>
        <w:t xml:space="preserve">ANNEX </w:t>
      </w:r>
      <w:r w:rsidR="009045C0">
        <w:rPr>
          <w:lang w:val="en-US"/>
        </w:rPr>
        <w:t>1</w:t>
      </w:r>
    </w:p>
    <w:p w14:paraId="03034063" w14:textId="45C12056" w:rsidR="000224E2" w:rsidRDefault="00395C84" w:rsidP="0077372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</w:pPr>
      <w:r>
        <w:t>(</w:t>
      </w:r>
      <w:proofErr w:type="gramStart"/>
      <w:r>
        <w:t>to</w:t>
      </w:r>
      <w:proofErr w:type="gramEnd"/>
      <w:r>
        <w:t xml:space="preserve"> TSB Circular </w:t>
      </w:r>
      <w:r w:rsidR="0077372B">
        <w:t>210</w:t>
      </w:r>
      <w:r w:rsidR="000224E2">
        <w:t>)</w:t>
      </w:r>
    </w:p>
    <w:p w14:paraId="617DA205" w14:textId="70798DCD" w:rsidR="00F97ED6" w:rsidRDefault="009045C0" w:rsidP="00F21D6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</w:rPr>
      </w:pPr>
      <w:r>
        <w:rPr>
          <w:b/>
          <w:bCs/>
        </w:rPr>
        <w:t>HOTEL RESERVATION FORM</w:t>
      </w:r>
    </w:p>
    <w:p w14:paraId="0241E504" w14:textId="12AA3E27" w:rsidR="009045C0" w:rsidRPr="009045C0" w:rsidRDefault="009045C0" w:rsidP="009045C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  <w:r w:rsidRPr="009045C0">
        <w:t>(Rooms blocked until 6 April 2016)</w:t>
      </w:r>
    </w:p>
    <w:p w14:paraId="4A25C1ED" w14:textId="5E14C63D" w:rsidR="009045C0" w:rsidRDefault="009045C0" w:rsidP="009045C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  <w:r>
        <w:object w:dxaOrig="8925" w:dyaOrig="12631" w14:anchorId="239905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627.75pt" o:ole="">
            <v:imagedata r:id="rId18" o:title=""/>
          </v:shape>
          <o:OLEObject Type="Embed" ProgID="AcroExch.Document.7" ShapeID="_x0000_i1025" DrawAspect="Content" ObjectID="_1520159170" r:id="rId19"/>
        </w:object>
      </w:r>
    </w:p>
    <w:p w14:paraId="60A7B42D" w14:textId="258D704C" w:rsidR="00EE1672" w:rsidRPr="009045C0" w:rsidRDefault="00B44217" w:rsidP="009045C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</w:rPr>
      </w:pPr>
      <w:r>
        <w:rPr>
          <w:bCs/>
          <w:szCs w:val="24"/>
          <w:lang w:val="en-US"/>
        </w:rPr>
        <w:t>_________________</w:t>
      </w:r>
    </w:p>
    <w:sectPr w:rsidR="00EE1672" w:rsidRPr="009045C0" w:rsidSect="00971955">
      <w:pgSz w:w="11907" w:h="16834" w:code="9"/>
      <w:pgMar w:top="567" w:right="1089" w:bottom="567" w:left="1089" w:header="567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03AF6" w14:textId="77777777" w:rsidR="0045172D" w:rsidRDefault="0045172D">
      <w:r>
        <w:separator/>
      </w:r>
    </w:p>
  </w:endnote>
  <w:endnote w:type="continuationSeparator" w:id="0">
    <w:p w14:paraId="534C38C8" w14:textId="77777777" w:rsidR="0045172D" w:rsidRDefault="0045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6280651F" w:rsidR="00332E9D" w:rsidRPr="001C00E5" w:rsidRDefault="009919E9" w:rsidP="0077372B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</w:t>
    </w:r>
    <w:r w:rsidR="0077372B">
      <w:rPr>
        <w:sz w:val="18"/>
        <w:szCs w:val="18"/>
        <w:lang w:val="fr-CH"/>
      </w:rPr>
      <w:t>210</w:t>
    </w:r>
    <w:r w:rsidR="00332E9D" w:rsidRPr="001C00E5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B0208" w14:textId="77777777" w:rsidR="00E00B92" w:rsidRPr="00E00B92" w:rsidRDefault="00E00B92" w:rsidP="00E00B92">
    <w:pPr>
      <w:pStyle w:val="FirstFooter"/>
      <w:ind w:left="-397" w:right="-397"/>
      <w:jc w:val="center"/>
      <w:rPr>
        <w:sz w:val="18"/>
        <w:szCs w:val="18"/>
      </w:rPr>
    </w:pPr>
    <w:r w:rsidRPr="00E00B92">
      <w:rPr>
        <w:sz w:val="18"/>
        <w:szCs w:val="18"/>
        <w:lang w:val="fr-CH"/>
      </w:rPr>
      <w:t>International Telecommunication Union • Place des Nations • CH</w:t>
    </w:r>
    <w:r w:rsidRPr="00E00B92">
      <w:rPr>
        <w:sz w:val="18"/>
        <w:szCs w:val="18"/>
        <w:lang w:val="fr-CH"/>
      </w:rPr>
      <w:noBreakHyphen/>
      <w:t xml:space="preserve">1211 Geneva 20 • Switzerland </w:t>
    </w:r>
    <w:r w:rsidRPr="00E00B92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0B92">
        <w:rPr>
          <w:rStyle w:val="Hyperlink"/>
          <w:sz w:val="18"/>
          <w:szCs w:val="18"/>
          <w:lang w:val="fr-CH"/>
        </w:rPr>
        <w:t>itumail@itu.int</w:t>
      </w:r>
    </w:hyperlink>
    <w:r w:rsidRPr="00E00B92">
      <w:rPr>
        <w:sz w:val="18"/>
        <w:szCs w:val="18"/>
        <w:lang w:val="fr-CH"/>
      </w:rPr>
      <w:t xml:space="preserve"> • </w:t>
    </w:r>
    <w:hyperlink r:id="rId2" w:history="1">
      <w:r w:rsidRPr="00E00B92">
        <w:rPr>
          <w:rStyle w:val="Hyperlink"/>
          <w:sz w:val="18"/>
          <w:szCs w:val="18"/>
          <w:lang w:val="fr-CH"/>
        </w:rPr>
        <w:t>www.itu.int</w:t>
      </w:r>
    </w:hyperlink>
    <w:r w:rsidRPr="00E00B92">
      <w:rPr>
        <w:sz w:val="18"/>
        <w:szCs w:val="18"/>
        <w:lang w:val="fr-CH"/>
      </w:rPr>
      <w:t xml:space="preserve"> •</w:t>
    </w:r>
  </w:p>
  <w:p w14:paraId="15B62CEC" w14:textId="4483C575" w:rsidR="00D2180F" w:rsidRPr="00E00B92" w:rsidRDefault="00D2180F" w:rsidP="00E00B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4604B" w14:textId="77777777" w:rsidR="0045172D" w:rsidRDefault="0045172D">
      <w:r>
        <w:t>____________________</w:t>
      </w:r>
    </w:p>
  </w:footnote>
  <w:footnote w:type="continuationSeparator" w:id="0">
    <w:p w14:paraId="018D4579" w14:textId="77777777" w:rsidR="0045172D" w:rsidRDefault="00451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77777777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007A3B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27D28"/>
    <w:multiLevelType w:val="hybridMultilevel"/>
    <w:tmpl w:val="0BE6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7B918DA"/>
    <w:multiLevelType w:val="hybridMultilevel"/>
    <w:tmpl w:val="E66E9A2C"/>
    <w:lvl w:ilvl="0" w:tplc="04090011">
      <w:start w:val="1"/>
      <w:numFmt w:val="decimal"/>
      <w:lvlText w:val="%1)"/>
      <w:lvlJc w:val="left"/>
      <w:pPr>
        <w:tabs>
          <w:tab w:val="num" w:pos="1551"/>
        </w:tabs>
        <w:ind w:left="1551" w:hanging="360"/>
      </w:pPr>
      <w:rPr>
        <w:rFonts w:hint="default"/>
      </w:rPr>
    </w:lvl>
    <w:lvl w:ilvl="1" w:tplc="8950350E" w:tentative="1">
      <w:start w:val="1"/>
      <w:numFmt w:val="bullet"/>
      <w:lvlText w:val="•"/>
      <w:lvlJc w:val="left"/>
      <w:pPr>
        <w:tabs>
          <w:tab w:val="num" w:pos="2271"/>
        </w:tabs>
        <w:ind w:left="2271" w:hanging="360"/>
      </w:pPr>
      <w:rPr>
        <w:rFonts w:ascii="Arial" w:hAnsi="Arial" w:hint="default"/>
      </w:rPr>
    </w:lvl>
    <w:lvl w:ilvl="2" w:tplc="E1DE8D82" w:tentative="1">
      <w:start w:val="1"/>
      <w:numFmt w:val="bullet"/>
      <w:lvlText w:val="•"/>
      <w:lvlJc w:val="left"/>
      <w:pPr>
        <w:tabs>
          <w:tab w:val="num" w:pos="2991"/>
        </w:tabs>
        <w:ind w:left="2991" w:hanging="360"/>
      </w:pPr>
      <w:rPr>
        <w:rFonts w:ascii="Arial" w:hAnsi="Arial" w:hint="default"/>
      </w:rPr>
    </w:lvl>
    <w:lvl w:ilvl="3" w:tplc="25FC9294" w:tentative="1">
      <w:start w:val="1"/>
      <w:numFmt w:val="bullet"/>
      <w:lvlText w:val="•"/>
      <w:lvlJc w:val="left"/>
      <w:pPr>
        <w:tabs>
          <w:tab w:val="num" w:pos="3711"/>
        </w:tabs>
        <w:ind w:left="3711" w:hanging="360"/>
      </w:pPr>
      <w:rPr>
        <w:rFonts w:ascii="Arial" w:hAnsi="Arial" w:hint="default"/>
      </w:rPr>
    </w:lvl>
    <w:lvl w:ilvl="4" w:tplc="BBAE7F4C" w:tentative="1">
      <w:start w:val="1"/>
      <w:numFmt w:val="bullet"/>
      <w:lvlText w:val="•"/>
      <w:lvlJc w:val="left"/>
      <w:pPr>
        <w:tabs>
          <w:tab w:val="num" w:pos="4431"/>
        </w:tabs>
        <w:ind w:left="4431" w:hanging="360"/>
      </w:pPr>
      <w:rPr>
        <w:rFonts w:ascii="Arial" w:hAnsi="Arial" w:hint="default"/>
      </w:rPr>
    </w:lvl>
    <w:lvl w:ilvl="5" w:tplc="FE1E5126" w:tentative="1">
      <w:start w:val="1"/>
      <w:numFmt w:val="bullet"/>
      <w:lvlText w:val="•"/>
      <w:lvlJc w:val="left"/>
      <w:pPr>
        <w:tabs>
          <w:tab w:val="num" w:pos="5151"/>
        </w:tabs>
        <w:ind w:left="5151" w:hanging="360"/>
      </w:pPr>
      <w:rPr>
        <w:rFonts w:ascii="Arial" w:hAnsi="Arial" w:hint="default"/>
      </w:rPr>
    </w:lvl>
    <w:lvl w:ilvl="6" w:tplc="AC84D762" w:tentative="1">
      <w:start w:val="1"/>
      <w:numFmt w:val="bullet"/>
      <w:lvlText w:val="•"/>
      <w:lvlJc w:val="left"/>
      <w:pPr>
        <w:tabs>
          <w:tab w:val="num" w:pos="5871"/>
        </w:tabs>
        <w:ind w:left="5871" w:hanging="360"/>
      </w:pPr>
      <w:rPr>
        <w:rFonts w:ascii="Arial" w:hAnsi="Arial" w:hint="default"/>
      </w:rPr>
    </w:lvl>
    <w:lvl w:ilvl="7" w:tplc="701444AC" w:tentative="1">
      <w:start w:val="1"/>
      <w:numFmt w:val="bullet"/>
      <w:lvlText w:val="•"/>
      <w:lvlJc w:val="left"/>
      <w:pPr>
        <w:tabs>
          <w:tab w:val="num" w:pos="6591"/>
        </w:tabs>
        <w:ind w:left="6591" w:hanging="360"/>
      </w:pPr>
      <w:rPr>
        <w:rFonts w:ascii="Arial" w:hAnsi="Arial" w:hint="default"/>
      </w:rPr>
    </w:lvl>
    <w:lvl w:ilvl="8" w:tplc="E4BEF7EE" w:tentative="1">
      <w:start w:val="1"/>
      <w:numFmt w:val="bullet"/>
      <w:lvlText w:val="•"/>
      <w:lvlJc w:val="left"/>
      <w:pPr>
        <w:tabs>
          <w:tab w:val="num" w:pos="7311"/>
        </w:tabs>
        <w:ind w:left="7311" w:hanging="360"/>
      </w:pPr>
      <w:rPr>
        <w:rFonts w:ascii="Arial" w:hAnsi="Arial" w:hint="default"/>
      </w:rPr>
    </w:lvl>
  </w:abstractNum>
  <w:abstractNum w:abstractNumId="5" w15:restartNumberingAfterBreak="0">
    <w:nsid w:val="330C08B5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07A3B"/>
    <w:rsid w:val="00011846"/>
    <w:rsid w:val="000174AD"/>
    <w:rsid w:val="000177DF"/>
    <w:rsid w:val="00017E51"/>
    <w:rsid w:val="000224E2"/>
    <w:rsid w:val="00052C09"/>
    <w:rsid w:val="00062E1B"/>
    <w:rsid w:val="00075469"/>
    <w:rsid w:val="000831C6"/>
    <w:rsid w:val="000A0C5A"/>
    <w:rsid w:val="000A7D55"/>
    <w:rsid w:val="000C2E8E"/>
    <w:rsid w:val="000D49FB"/>
    <w:rsid w:val="000E0E7C"/>
    <w:rsid w:val="000F1B4B"/>
    <w:rsid w:val="000F781A"/>
    <w:rsid w:val="00105294"/>
    <w:rsid w:val="00106D0B"/>
    <w:rsid w:val="001271F9"/>
    <w:rsid w:val="0012744F"/>
    <w:rsid w:val="0013103F"/>
    <w:rsid w:val="00136A38"/>
    <w:rsid w:val="00141BDB"/>
    <w:rsid w:val="00142498"/>
    <w:rsid w:val="001442D1"/>
    <w:rsid w:val="00156DFF"/>
    <w:rsid w:val="00156F66"/>
    <w:rsid w:val="001772FB"/>
    <w:rsid w:val="00182528"/>
    <w:rsid w:val="0018500B"/>
    <w:rsid w:val="00196A19"/>
    <w:rsid w:val="001A31D1"/>
    <w:rsid w:val="001A353E"/>
    <w:rsid w:val="001C00E5"/>
    <w:rsid w:val="001C1DD9"/>
    <w:rsid w:val="001E51BF"/>
    <w:rsid w:val="001E5B99"/>
    <w:rsid w:val="00200924"/>
    <w:rsid w:val="00202DC1"/>
    <w:rsid w:val="002116EE"/>
    <w:rsid w:val="00222D56"/>
    <w:rsid w:val="00223053"/>
    <w:rsid w:val="002309D8"/>
    <w:rsid w:val="00281D33"/>
    <w:rsid w:val="00292572"/>
    <w:rsid w:val="002945B3"/>
    <w:rsid w:val="002A60EE"/>
    <w:rsid w:val="002A7FE2"/>
    <w:rsid w:val="002C2B0C"/>
    <w:rsid w:val="002E1B4F"/>
    <w:rsid w:val="002E50E7"/>
    <w:rsid w:val="002F2E67"/>
    <w:rsid w:val="002F3948"/>
    <w:rsid w:val="00306315"/>
    <w:rsid w:val="003074C7"/>
    <w:rsid w:val="00310142"/>
    <w:rsid w:val="003131DC"/>
    <w:rsid w:val="00314C67"/>
    <w:rsid w:val="00315546"/>
    <w:rsid w:val="00330567"/>
    <w:rsid w:val="00331A31"/>
    <w:rsid w:val="00332E9D"/>
    <w:rsid w:val="00337F34"/>
    <w:rsid w:val="0034414E"/>
    <w:rsid w:val="00344BEA"/>
    <w:rsid w:val="00351DA5"/>
    <w:rsid w:val="00352BCD"/>
    <w:rsid w:val="00355D59"/>
    <w:rsid w:val="003615BC"/>
    <w:rsid w:val="00375BF5"/>
    <w:rsid w:val="00386A9D"/>
    <w:rsid w:val="003904FC"/>
    <w:rsid w:val="00391081"/>
    <w:rsid w:val="00395C84"/>
    <w:rsid w:val="00397CEA"/>
    <w:rsid w:val="003A181C"/>
    <w:rsid w:val="003B2789"/>
    <w:rsid w:val="003B51B7"/>
    <w:rsid w:val="003C13CE"/>
    <w:rsid w:val="003D0105"/>
    <w:rsid w:val="003D38E3"/>
    <w:rsid w:val="003E249A"/>
    <w:rsid w:val="003E2518"/>
    <w:rsid w:val="00414F54"/>
    <w:rsid w:val="00415E5F"/>
    <w:rsid w:val="004243B0"/>
    <w:rsid w:val="00425502"/>
    <w:rsid w:val="00443E3B"/>
    <w:rsid w:val="0045172D"/>
    <w:rsid w:val="004B1EF7"/>
    <w:rsid w:val="004B341F"/>
    <w:rsid w:val="004B3A06"/>
    <w:rsid w:val="004B3FAD"/>
    <w:rsid w:val="004F0646"/>
    <w:rsid w:val="004F2D1C"/>
    <w:rsid w:val="00501DCA"/>
    <w:rsid w:val="00503435"/>
    <w:rsid w:val="00513A47"/>
    <w:rsid w:val="005173FC"/>
    <w:rsid w:val="00521349"/>
    <w:rsid w:val="0052354B"/>
    <w:rsid w:val="00535AE4"/>
    <w:rsid w:val="005408DF"/>
    <w:rsid w:val="00573344"/>
    <w:rsid w:val="00575EA9"/>
    <w:rsid w:val="00583F9B"/>
    <w:rsid w:val="0059191B"/>
    <w:rsid w:val="005A0771"/>
    <w:rsid w:val="005D3859"/>
    <w:rsid w:val="005E1223"/>
    <w:rsid w:val="005E5C10"/>
    <w:rsid w:val="005F2C78"/>
    <w:rsid w:val="005F7384"/>
    <w:rsid w:val="006139A1"/>
    <w:rsid w:val="006144E4"/>
    <w:rsid w:val="00623CD6"/>
    <w:rsid w:val="00624B72"/>
    <w:rsid w:val="00637EC5"/>
    <w:rsid w:val="00640A88"/>
    <w:rsid w:val="00650299"/>
    <w:rsid w:val="00653396"/>
    <w:rsid w:val="00655FC5"/>
    <w:rsid w:val="00663719"/>
    <w:rsid w:val="006730C3"/>
    <w:rsid w:val="006834EF"/>
    <w:rsid w:val="006B0CB0"/>
    <w:rsid w:val="006B22FA"/>
    <w:rsid w:val="006D0EA2"/>
    <w:rsid w:val="006E1604"/>
    <w:rsid w:val="006E4519"/>
    <w:rsid w:val="006E4CCC"/>
    <w:rsid w:val="00700698"/>
    <w:rsid w:val="007145A0"/>
    <w:rsid w:val="00723D01"/>
    <w:rsid w:val="00726484"/>
    <w:rsid w:val="00762508"/>
    <w:rsid w:val="00766ED7"/>
    <w:rsid w:val="00772580"/>
    <w:rsid w:val="0077372B"/>
    <w:rsid w:val="00787A3C"/>
    <w:rsid w:val="00797F2F"/>
    <w:rsid w:val="007A44DF"/>
    <w:rsid w:val="007C2CF5"/>
    <w:rsid w:val="007C6D4C"/>
    <w:rsid w:val="007D2F64"/>
    <w:rsid w:val="007E1C26"/>
    <w:rsid w:val="007E7556"/>
    <w:rsid w:val="007F74C3"/>
    <w:rsid w:val="007F7F8B"/>
    <w:rsid w:val="00802714"/>
    <w:rsid w:val="00822581"/>
    <w:rsid w:val="00822745"/>
    <w:rsid w:val="00827AEF"/>
    <w:rsid w:val="008309DD"/>
    <w:rsid w:val="0083227A"/>
    <w:rsid w:val="008457FE"/>
    <w:rsid w:val="00866900"/>
    <w:rsid w:val="0087022B"/>
    <w:rsid w:val="00870336"/>
    <w:rsid w:val="0087300D"/>
    <w:rsid w:val="00877242"/>
    <w:rsid w:val="00881BA1"/>
    <w:rsid w:val="008820D0"/>
    <w:rsid w:val="0088403A"/>
    <w:rsid w:val="008A0A55"/>
    <w:rsid w:val="008A114F"/>
    <w:rsid w:val="008A17CC"/>
    <w:rsid w:val="008A3030"/>
    <w:rsid w:val="008B6B79"/>
    <w:rsid w:val="008C26B8"/>
    <w:rsid w:val="008F0B3A"/>
    <w:rsid w:val="00903182"/>
    <w:rsid w:val="009045C0"/>
    <w:rsid w:val="0091376E"/>
    <w:rsid w:val="00917FF3"/>
    <w:rsid w:val="009273EC"/>
    <w:rsid w:val="00932E45"/>
    <w:rsid w:val="00937F10"/>
    <w:rsid w:val="0094235B"/>
    <w:rsid w:val="00943030"/>
    <w:rsid w:val="00943793"/>
    <w:rsid w:val="00945C2C"/>
    <w:rsid w:val="00964570"/>
    <w:rsid w:val="009649BA"/>
    <w:rsid w:val="00971955"/>
    <w:rsid w:val="00982084"/>
    <w:rsid w:val="009918EA"/>
    <w:rsid w:val="009919E9"/>
    <w:rsid w:val="00991A72"/>
    <w:rsid w:val="00995963"/>
    <w:rsid w:val="009B61EB"/>
    <w:rsid w:val="009B6449"/>
    <w:rsid w:val="009B7377"/>
    <w:rsid w:val="009C2064"/>
    <w:rsid w:val="009C2DBB"/>
    <w:rsid w:val="009D1697"/>
    <w:rsid w:val="009D7D8C"/>
    <w:rsid w:val="00A014F8"/>
    <w:rsid w:val="00A11DCA"/>
    <w:rsid w:val="00A15267"/>
    <w:rsid w:val="00A24AAD"/>
    <w:rsid w:val="00A46F62"/>
    <w:rsid w:val="00A5173C"/>
    <w:rsid w:val="00A528E7"/>
    <w:rsid w:val="00A5354B"/>
    <w:rsid w:val="00A61A3B"/>
    <w:rsid w:val="00A61AEF"/>
    <w:rsid w:val="00A726ED"/>
    <w:rsid w:val="00A769D3"/>
    <w:rsid w:val="00A910C5"/>
    <w:rsid w:val="00A9176F"/>
    <w:rsid w:val="00AA4858"/>
    <w:rsid w:val="00AB0FFD"/>
    <w:rsid w:val="00AB1E09"/>
    <w:rsid w:val="00AB4601"/>
    <w:rsid w:val="00AD7113"/>
    <w:rsid w:val="00AD7192"/>
    <w:rsid w:val="00AE4A6A"/>
    <w:rsid w:val="00AF173A"/>
    <w:rsid w:val="00AF2D64"/>
    <w:rsid w:val="00B004E8"/>
    <w:rsid w:val="00B066A4"/>
    <w:rsid w:val="00B07A13"/>
    <w:rsid w:val="00B143E2"/>
    <w:rsid w:val="00B21355"/>
    <w:rsid w:val="00B34003"/>
    <w:rsid w:val="00B4279B"/>
    <w:rsid w:val="00B43741"/>
    <w:rsid w:val="00B44217"/>
    <w:rsid w:val="00B45FC9"/>
    <w:rsid w:val="00B50697"/>
    <w:rsid w:val="00B527DC"/>
    <w:rsid w:val="00B67AB7"/>
    <w:rsid w:val="00B76872"/>
    <w:rsid w:val="00B83461"/>
    <w:rsid w:val="00B94D9D"/>
    <w:rsid w:val="00BA7DC5"/>
    <w:rsid w:val="00BB22A0"/>
    <w:rsid w:val="00BC13B4"/>
    <w:rsid w:val="00BC4608"/>
    <w:rsid w:val="00BC5B97"/>
    <w:rsid w:val="00BC7CCF"/>
    <w:rsid w:val="00BD0347"/>
    <w:rsid w:val="00BE1DD2"/>
    <w:rsid w:val="00BE470B"/>
    <w:rsid w:val="00BE62F3"/>
    <w:rsid w:val="00C033CB"/>
    <w:rsid w:val="00C26C60"/>
    <w:rsid w:val="00C317D6"/>
    <w:rsid w:val="00C37BF6"/>
    <w:rsid w:val="00C57A91"/>
    <w:rsid w:val="00C80D3E"/>
    <w:rsid w:val="00C932AC"/>
    <w:rsid w:val="00C970CF"/>
    <w:rsid w:val="00CA740E"/>
    <w:rsid w:val="00CC01A2"/>
    <w:rsid w:val="00CC01C2"/>
    <w:rsid w:val="00CF21F2"/>
    <w:rsid w:val="00CF465B"/>
    <w:rsid w:val="00D02712"/>
    <w:rsid w:val="00D214D0"/>
    <w:rsid w:val="00D2180F"/>
    <w:rsid w:val="00D254DA"/>
    <w:rsid w:val="00D4380C"/>
    <w:rsid w:val="00D5541F"/>
    <w:rsid w:val="00D641F5"/>
    <w:rsid w:val="00D6546B"/>
    <w:rsid w:val="00D81EBE"/>
    <w:rsid w:val="00D93C3A"/>
    <w:rsid w:val="00D97C31"/>
    <w:rsid w:val="00DB1A50"/>
    <w:rsid w:val="00DB4D3B"/>
    <w:rsid w:val="00DD4BED"/>
    <w:rsid w:val="00DD61DF"/>
    <w:rsid w:val="00DE0D0B"/>
    <w:rsid w:val="00DE39F0"/>
    <w:rsid w:val="00DF0AF3"/>
    <w:rsid w:val="00DF0D30"/>
    <w:rsid w:val="00DF0FF7"/>
    <w:rsid w:val="00DF79A4"/>
    <w:rsid w:val="00E00B92"/>
    <w:rsid w:val="00E019ED"/>
    <w:rsid w:val="00E1290A"/>
    <w:rsid w:val="00E27D7E"/>
    <w:rsid w:val="00E34935"/>
    <w:rsid w:val="00E42811"/>
    <w:rsid w:val="00E42E13"/>
    <w:rsid w:val="00E509BF"/>
    <w:rsid w:val="00E60CA3"/>
    <w:rsid w:val="00E6257C"/>
    <w:rsid w:val="00E63C59"/>
    <w:rsid w:val="00E82392"/>
    <w:rsid w:val="00E838BA"/>
    <w:rsid w:val="00E95BDE"/>
    <w:rsid w:val="00ED1EC5"/>
    <w:rsid w:val="00ED47D7"/>
    <w:rsid w:val="00EE1672"/>
    <w:rsid w:val="00F01D97"/>
    <w:rsid w:val="00F21D68"/>
    <w:rsid w:val="00F23726"/>
    <w:rsid w:val="00F24B37"/>
    <w:rsid w:val="00F44ACF"/>
    <w:rsid w:val="00F54EF2"/>
    <w:rsid w:val="00F57836"/>
    <w:rsid w:val="00F636EC"/>
    <w:rsid w:val="00F7771A"/>
    <w:rsid w:val="00F97ED6"/>
    <w:rsid w:val="00FA124A"/>
    <w:rsid w:val="00FA635A"/>
    <w:rsid w:val="00FB414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qos/201605/Pages/default.aspx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201605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telhaarlem.nl/en/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mailto:Martin.Adolph@itu.int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online/regsys/ITU-T/misc/edrs.registration.form?_eventid=3000866" TargetMode="Externa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1CE80904DDB41BC4891F32613D4B0" ma:contentTypeVersion="1" ma:contentTypeDescription="Create a new document." ma:contentTypeScope="" ma:versionID="343dccb6ad7fd11f5aa4c971b7f33b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F0B832-4591-41A0-9C81-5A26803C7DDF}"/>
</file>

<file path=customXml/itemProps2.xml><?xml version="1.0" encoding="utf-8"?>
<ds:datastoreItem xmlns:ds="http://schemas.openxmlformats.org/officeDocument/2006/customXml" ds:itemID="{EB28F8B8-A499-47D6-8D95-E4A0EA251A6D}"/>
</file>

<file path=customXml/itemProps3.xml><?xml version="1.0" encoding="utf-8"?>
<ds:datastoreItem xmlns:ds="http://schemas.openxmlformats.org/officeDocument/2006/customXml" ds:itemID="{0622AD51-48FC-4CCA-835A-B5A2C29A7432}"/>
</file>

<file path=customXml/itemProps4.xml><?xml version="1.0" encoding="utf-8"?>
<ds:datastoreItem xmlns:ds="http://schemas.openxmlformats.org/officeDocument/2006/customXml" ds:itemID="{574FBD84-7F96-4776-80A8-5BC949768C08}"/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4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Aloran, Rakan</cp:lastModifiedBy>
  <cp:revision>5</cp:revision>
  <cp:lastPrinted>2016-03-18T08:51:00Z</cp:lastPrinted>
  <dcterms:created xsi:type="dcterms:W3CDTF">2016-03-21T08:25:00Z</dcterms:created>
  <dcterms:modified xsi:type="dcterms:W3CDTF">2016-03-22T12:40:00Z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0x010100ECD1CE80904DDB41BC4891F32613D4B0</vt:lpwstr>
  </property>
</Properties>
</file>