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4C" w:rsidRDefault="003D1E4D" w:rsidP="009C0968">
      <w:pPr>
        <w:pStyle w:val="Heading1"/>
        <w:rPr>
          <w:color w:val="FF6600"/>
        </w:rPr>
      </w:pPr>
      <w:bookmarkStart w:id="0" w:name="_Toc150943841"/>
      <w:r>
        <w:rPr>
          <w:b w:val="0"/>
          <w:bCs w:val="0"/>
          <w:noProof/>
          <w:color w:val="FF6600"/>
          <w:lang w:val="en-US" w:eastAsia="en-US"/>
        </w:rPr>
        <w:drawing>
          <wp:anchor distT="0" distB="0" distL="0" distR="0" simplePos="0" relativeHeight="251657728" behindDoc="0" locked="0" layoutInCell="1" allowOverlap="0" wp14:anchorId="095F9CAF" wp14:editId="340AA590">
            <wp:simplePos x="0" y="0"/>
            <wp:positionH relativeFrom="column">
              <wp:posOffset>876935</wp:posOffset>
            </wp:positionH>
            <wp:positionV relativeFrom="line">
              <wp:posOffset>-341630</wp:posOffset>
            </wp:positionV>
            <wp:extent cx="3188970" cy="933450"/>
            <wp:effectExtent l="19050" t="0" r="0" b="0"/>
            <wp:wrapSquare wrapText="bothSides"/>
            <wp:docPr id="2" name="Picture 3" descr="http://eaco.int/templates/themza_j15_73/images/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aco.int/templates/themza_j15_73/images/logo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7" t="16904" r="67746" b="-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84C" w:rsidRPr="00CC2705" w:rsidRDefault="00B1484C" w:rsidP="00CC2705">
      <w:pPr>
        <w:pStyle w:val="Header"/>
        <w:jc w:val="center"/>
        <w:rPr>
          <w:lang w:val="en-US"/>
        </w:rPr>
      </w:pPr>
    </w:p>
    <w:p w:rsidR="00B1484C" w:rsidRPr="00CC2705" w:rsidRDefault="00B1484C" w:rsidP="00B1484C">
      <w:pPr>
        <w:pStyle w:val="Header"/>
        <w:jc w:val="center"/>
        <w:rPr>
          <w:lang w:val="en-US"/>
        </w:rPr>
      </w:pPr>
    </w:p>
    <w:p w:rsidR="00B3586A" w:rsidRDefault="00B3586A" w:rsidP="00B3586A">
      <w:pPr>
        <w:pStyle w:val="Heading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586A" w:rsidRDefault="00B3586A" w:rsidP="00B3586A">
      <w:pPr>
        <w:pStyle w:val="Heading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0968" w:rsidRDefault="00197F68" w:rsidP="00B25A2C">
      <w:pPr>
        <w:pStyle w:val="Heading1"/>
        <w:pBdr>
          <w:bottom w:val="single" w:sz="36" w:space="1" w:color="auto"/>
        </w:pBdr>
        <w:jc w:val="center"/>
        <w:rPr>
          <w:color w:val="000000"/>
          <w:sz w:val="28"/>
          <w:szCs w:val="28"/>
        </w:rPr>
      </w:pPr>
      <w:r w:rsidRPr="00B3586A">
        <w:rPr>
          <w:color w:val="000000"/>
          <w:sz w:val="28"/>
          <w:szCs w:val="28"/>
        </w:rPr>
        <w:t xml:space="preserve">Guidelines on </w:t>
      </w:r>
      <w:r w:rsidR="009C0968" w:rsidRPr="00B3586A">
        <w:rPr>
          <w:color w:val="000000"/>
          <w:sz w:val="28"/>
          <w:szCs w:val="28"/>
        </w:rPr>
        <w:t xml:space="preserve">Complaints </w:t>
      </w:r>
      <w:r w:rsidRPr="00B3586A">
        <w:rPr>
          <w:color w:val="000000"/>
          <w:sz w:val="28"/>
          <w:szCs w:val="28"/>
        </w:rPr>
        <w:t>Handling</w:t>
      </w:r>
      <w:bookmarkEnd w:id="0"/>
    </w:p>
    <w:p w:rsidR="00B3586A" w:rsidRDefault="00B3586A" w:rsidP="00B3586A"/>
    <w:p w:rsidR="00B3586A" w:rsidRDefault="00B3586A" w:rsidP="00B3586A"/>
    <w:p w:rsidR="00B3586A" w:rsidRDefault="00B3586A" w:rsidP="00B3586A"/>
    <w:p w:rsidR="00CB6769" w:rsidRDefault="00CB6769" w:rsidP="00B3586A"/>
    <w:p w:rsidR="00CB6769" w:rsidRDefault="00CB6769" w:rsidP="00B3586A"/>
    <w:p w:rsidR="00CB6769" w:rsidRDefault="00CB6769" w:rsidP="00B3586A"/>
    <w:p w:rsidR="00054258" w:rsidRDefault="00054258" w:rsidP="00B3586A"/>
    <w:p w:rsidR="00054258" w:rsidRDefault="00054258" w:rsidP="00B3586A"/>
    <w:tbl>
      <w:tblPr>
        <w:tblW w:w="0" w:type="auto"/>
        <w:jc w:val="center"/>
        <w:tblBorders>
          <w:top w:val="thinThickSmallGap" w:sz="12" w:space="0" w:color="0B2056"/>
          <w:left w:val="thinThickSmallGap" w:sz="12" w:space="0" w:color="0B2056"/>
          <w:bottom w:val="thickThinSmallGap" w:sz="12" w:space="0" w:color="0B2056"/>
          <w:right w:val="thickThinSmallGap" w:sz="12" w:space="0" w:color="0B2056"/>
          <w:insideH w:val="single" w:sz="6" w:space="0" w:color="0B2056"/>
          <w:insideV w:val="single" w:sz="6" w:space="0" w:color="0B2056"/>
        </w:tblBorders>
        <w:tblLook w:val="04A0" w:firstRow="1" w:lastRow="0" w:firstColumn="1" w:lastColumn="0" w:noHBand="0" w:noVBand="1"/>
      </w:tblPr>
      <w:tblGrid>
        <w:gridCol w:w="4361"/>
        <w:gridCol w:w="4675"/>
      </w:tblGrid>
      <w:tr w:rsidR="00054258" w:rsidRPr="00DB3DF8" w:rsidTr="00F5196B">
        <w:trPr>
          <w:trHeight w:val="669"/>
          <w:jc w:val="center"/>
        </w:trPr>
        <w:tc>
          <w:tcPr>
            <w:tcW w:w="9232" w:type="dxa"/>
            <w:gridSpan w:val="2"/>
          </w:tcPr>
          <w:p w:rsidR="00054258" w:rsidRPr="00DB3DF8" w:rsidRDefault="00054258" w:rsidP="0025116B">
            <w:pPr>
              <w:spacing w:before="240"/>
              <w:jc w:val="center"/>
              <w:rPr>
                <w:b/>
              </w:rPr>
            </w:pPr>
            <w:r w:rsidRPr="00DB3DF8">
              <w:rPr>
                <w:b/>
              </w:rPr>
              <w:t>DOCUMENT CONTROL</w:t>
            </w:r>
          </w:p>
        </w:tc>
      </w:tr>
      <w:tr w:rsidR="00054258" w:rsidRPr="00DB3DF8" w:rsidTr="0025116B">
        <w:trPr>
          <w:jc w:val="center"/>
        </w:trPr>
        <w:tc>
          <w:tcPr>
            <w:tcW w:w="4472" w:type="dxa"/>
          </w:tcPr>
          <w:p w:rsidR="00054258" w:rsidRPr="00DB3DF8" w:rsidRDefault="00054258" w:rsidP="0025116B">
            <w:pPr>
              <w:tabs>
                <w:tab w:val="left" w:pos="3420"/>
              </w:tabs>
              <w:spacing w:before="240"/>
              <w:rPr>
                <w:b/>
              </w:rPr>
            </w:pPr>
            <w:r w:rsidRPr="00DB3DF8">
              <w:rPr>
                <w:b/>
              </w:rPr>
              <w:t>Reference Number</w:t>
            </w:r>
            <w:r w:rsidRPr="00DB3DF8">
              <w:rPr>
                <w:b/>
              </w:rPr>
              <w:tab/>
            </w:r>
          </w:p>
        </w:tc>
        <w:tc>
          <w:tcPr>
            <w:tcW w:w="4760" w:type="dxa"/>
          </w:tcPr>
          <w:p w:rsidR="00054258" w:rsidRPr="00DB3DF8" w:rsidRDefault="00054258" w:rsidP="00054258">
            <w:pPr>
              <w:spacing w:before="240"/>
              <w:rPr>
                <w:b/>
              </w:rPr>
            </w:pPr>
            <w:r w:rsidRPr="00DB3DF8">
              <w:rPr>
                <w:bCs/>
              </w:rPr>
              <w:t>00.............../</w:t>
            </w:r>
            <w:r>
              <w:rPr>
                <w:bCs/>
              </w:rPr>
              <w:t>EACO</w:t>
            </w:r>
            <w:r w:rsidRPr="00DB3DF8">
              <w:rPr>
                <w:bCs/>
              </w:rPr>
              <w:t>/201</w:t>
            </w:r>
            <w:r>
              <w:rPr>
                <w:bCs/>
              </w:rPr>
              <w:t>5</w:t>
            </w:r>
          </w:p>
        </w:tc>
      </w:tr>
      <w:tr w:rsidR="00054258" w:rsidRPr="00DB3DF8" w:rsidTr="0025116B">
        <w:trPr>
          <w:jc w:val="center"/>
        </w:trPr>
        <w:tc>
          <w:tcPr>
            <w:tcW w:w="4472" w:type="dxa"/>
          </w:tcPr>
          <w:p w:rsidR="00054258" w:rsidRPr="00DB3DF8" w:rsidRDefault="00054258" w:rsidP="0025116B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Date of Issue </w:t>
            </w:r>
          </w:p>
        </w:tc>
        <w:tc>
          <w:tcPr>
            <w:tcW w:w="4760" w:type="dxa"/>
          </w:tcPr>
          <w:p w:rsidR="00054258" w:rsidRPr="00DB3DF8" w:rsidRDefault="00D20180" w:rsidP="00054258">
            <w:pPr>
              <w:spacing w:before="240"/>
            </w:pPr>
            <w:r>
              <w:t>April,</w:t>
            </w:r>
            <w:r w:rsidR="00054258" w:rsidRPr="00DB3DF8">
              <w:t xml:space="preserve"> 201</w:t>
            </w:r>
            <w:r w:rsidR="00054258">
              <w:t>5</w:t>
            </w:r>
          </w:p>
        </w:tc>
      </w:tr>
    </w:tbl>
    <w:p w:rsidR="00B3586A" w:rsidRDefault="00B3586A" w:rsidP="00B3586A"/>
    <w:p w:rsidR="00B3586A" w:rsidRDefault="00B3586A" w:rsidP="00B3586A"/>
    <w:p w:rsidR="00B3586A" w:rsidRDefault="00B3586A" w:rsidP="00B3586A"/>
    <w:p w:rsidR="00B3586A" w:rsidRDefault="00B3586A" w:rsidP="00B3586A"/>
    <w:p w:rsidR="00B3586A" w:rsidRDefault="00B3586A" w:rsidP="00B3586A"/>
    <w:p w:rsidR="00B3586A" w:rsidRDefault="00B3586A" w:rsidP="00B3586A"/>
    <w:p w:rsidR="00B3586A" w:rsidRDefault="00B3586A" w:rsidP="00B3586A"/>
    <w:p w:rsidR="00B3586A" w:rsidRDefault="00B3586A" w:rsidP="00B3586A"/>
    <w:p w:rsidR="00403786" w:rsidRPr="00DB3DF8" w:rsidRDefault="00403786" w:rsidP="00403786">
      <w:pPr>
        <w:spacing w:before="240"/>
      </w:pPr>
    </w:p>
    <w:p w:rsidR="00403786" w:rsidRPr="00DB3DF8" w:rsidRDefault="001D3CFB" w:rsidP="001D3CFB">
      <w:pPr>
        <w:pStyle w:val="Heading2"/>
      </w:pPr>
      <w:r>
        <w:t xml:space="preserve">                       </w:t>
      </w:r>
      <w:r w:rsidR="00403786" w:rsidRPr="00DB3DF8">
        <w:t xml:space="preserve">Website: </w:t>
      </w:r>
      <w:r w:rsidR="00403786" w:rsidRPr="00016B9E">
        <w:t>http:/</w:t>
      </w:r>
      <w:r w:rsidR="00016B9E">
        <w:t>/</w:t>
      </w:r>
      <w:r w:rsidR="004D4B48">
        <w:t>www.eaco.int</w:t>
      </w:r>
    </w:p>
    <w:p w:rsidR="0029530E" w:rsidRPr="00D20180" w:rsidRDefault="001D3CFB" w:rsidP="00A26263">
      <w:pPr>
        <w:pStyle w:val="Heading2"/>
        <w:rPr>
          <w:lang w:val="en-US"/>
        </w:rPr>
      </w:pPr>
      <w:r>
        <w:t xml:space="preserve">                       </w:t>
      </w:r>
      <w:r w:rsidR="00A26263" w:rsidRPr="00D20180">
        <w:rPr>
          <w:lang w:val="en-US"/>
        </w:rPr>
        <w:t>Phone (250</w:t>
      </w:r>
      <w:r w:rsidR="00403786" w:rsidRPr="00D20180">
        <w:rPr>
          <w:lang w:val="en-US"/>
        </w:rPr>
        <w:t>)</w:t>
      </w:r>
      <w:r w:rsidR="00A26263" w:rsidRPr="00D20180">
        <w:rPr>
          <w:lang w:val="en-US"/>
        </w:rPr>
        <w:t>788155100</w:t>
      </w:r>
      <w:r w:rsidR="00403786" w:rsidRPr="00D20180">
        <w:rPr>
          <w:lang w:val="en-US"/>
        </w:rPr>
        <w:t xml:space="preserve"> </w:t>
      </w:r>
    </w:p>
    <w:p w:rsidR="00403786" w:rsidRPr="00F814F1" w:rsidRDefault="0029530E" w:rsidP="001D3CFB">
      <w:pPr>
        <w:pStyle w:val="Heading2"/>
        <w:rPr>
          <w:lang w:val="en-US"/>
        </w:rPr>
      </w:pPr>
      <w:r w:rsidRPr="00D20180">
        <w:rPr>
          <w:lang w:val="en-US"/>
        </w:rPr>
        <w:t xml:space="preserve">                      </w:t>
      </w:r>
      <w:r w:rsidR="004D4B48" w:rsidRPr="00341B3D">
        <w:rPr>
          <w:lang w:val="en-US"/>
        </w:rPr>
        <w:t>E-mail: info@eaco.int</w:t>
      </w:r>
    </w:p>
    <w:p w:rsidR="00403786" w:rsidRPr="00F814F1" w:rsidRDefault="00241E5E" w:rsidP="001D3CFB">
      <w:pPr>
        <w:pStyle w:val="Heading2"/>
        <w:rPr>
          <w:lang w:val="en-US"/>
        </w:rPr>
      </w:pPr>
      <w:r w:rsidRPr="00F814F1">
        <w:rPr>
          <w:lang w:val="en-US"/>
        </w:rPr>
        <w:t xml:space="preserve">         </w:t>
      </w:r>
      <w:r w:rsidR="004D4B48" w:rsidRPr="00341B3D">
        <w:rPr>
          <w:lang w:val="en-US"/>
        </w:rPr>
        <w:t xml:space="preserve">             </w:t>
      </w:r>
      <w:r w:rsidR="001A72AF">
        <w:rPr>
          <w:lang w:val="en-US"/>
        </w:rPr>
        <w:t>P.O Box: 6309</w:t>
      </w:r>
      <w:r w:rsidR="004D4B48" w:rsidRPr="001A72AF">
        <w:rPr>
          <w:lang w:val="en-US"/>
        </w:rPr>
        <w:t xml:space="preserve"> </w:t>
      </w:r>
      <w:r w:rsidRPr="00F814F1">
        <w:rPr>
          <w:lang w:val="en-US"/>
        </w:rPr>
        <w:t>Kigali – Rwanda</w:t>
      </w:r>
    </w:p>
    <w:p w:rsidR="00B3586A" w:rsidRPr="00F814F1" w:rsidRDefault="00B3586A" w:rsidP="00B3586A">
      <w:pPr>
        <w:rPr>
          <w:lang w:val="en-US"/>
        </w:rPr>
      </w:pPr>
    </w:p>
    <w:p w:rsidR="00B3586A" w:rsidRPr="00F814F1" w:rsidRDefault="00B3586A" w:rsidP="00B3586A">
      <w:pPr>
        <w:rPr>
          <w:lang w:val="en-US"/>
        </w:rPr>
      </w:pPr>
    </w:p>
    <w:p w:rsidR="00B3586A" w:rsidRPr="00F814F1" w:rsidRDefault="00B3586A" w:rsidP="00B3586A">
      <w:pPr>
        <w:rPr>
          <w:lang w:val="en-US"/>
        </w:rPr>
      </w:pPr>
    </w:p>
    <w:p w:rsidR="00B3586A" w:rsidRPr="00F814F1" w:rsidRDefault="00B3586A" w:rsidP="00B3586A">
      <w:pPr>
        <w:rPr>
          <w:lang w:val="en-US"/>
        </w:rPr>
      </w:pPr>
    </w:p>
    <w:p w:rsidR="00B3586A" w:rsidRPr="00F814F1" w:rsidRDefault="00B3586A" w:rsidP="00B3586A">
      <w:pPr>
        <w:rPr>
          <w:lang w:val="en-US"/>
        </w:rPr>
      </w:pPr>
    </w:p>
    <w:p w:rsidR="00B3586A" w:rsidRPr="00F814F1" w:rsidRDefault="00B3586A" w:rsidP="00B3586A">
      <w:pPr>
        <w:rPr>
          <w:lang w:val="en-US"/>
        </w:rPr>
      </w:pPr>
    </w:p>
    <w:p w:rsidR="0053434C" w:rsidRPr="001A72AF" w:rsidRDefault="0053434C" w:rsidP="0053434C">
      <w:pPr>
        <w:rPr>
          <w:lang w:val="en-US"/>
        </w:rPr>
      </w:pPr>
    </w:p>
    <w:p w:rsidR="0053434C" w:rsidRPr="004D4B48" w:rsidRDefault="0053434C" w:rsidP="0053434C">
      <w:pPr>
        <w:rPr>
          <w:b/>
          <w:iCs/>
        </w:rPr>
      </w:pPr>
      <w:bookmarkStart w:id="1" w:name="_Toc150943842"/>
      <w:r w:rsidRPr="001A72AF">
        <w:rPr>
          <w:b/>
          <w:iCs/>
          <w:lang w:val="en-US"/>
        </w:rPr>
        <w:t>A</w:t>
      </w:r>
      <w:r w:rsidRPr="00A26263">
        <w:rPr>
          <w:b/>
          <w:iCs/>
          <w:lang w:val="en-US"/>
        </w:rPr>
        <w:t>c</w:t>
      </w:r>
      <w:proofErr w:type="spellStart"/>
      <w:r w:rsidRPr="004D4B48">
        <w:rPr>
          <w:b/>
          <w:iCs/>
        </w:rPr>
        <w:t>ron</w:t>
      </w:r>
      <w:r w:rsidR="008F2CDC">
        <w:rPr>
          <w:b/>
          <w:iCs/>
        </w:rPr>
        <w:t>y</w:t>
      </w:r>
      <w:r w:rsidRPr="004D4B48">
        <w:rPr>
          <w:b/>
          <w:iCs/>
        </w:rPr>
        <w:t>ms</w:t>
      </w:r>
      <w:proofErr w:type="spellEnd"/>
      <w:r w:rsidRPr="004D4B48">
        <w:rPr>
          <w:b/>
          <w:iCs/>
        </w:rPr>
        <w:t xml:space="preserve"> </w:t>
      </w:r>
    </w:p>
    <w:p w:rsidR="0053434C" w:rsidRPr="004D4B48" w:rsidRDefault="0053434C" w:rsidP="0053434C"/>
    <w:p w:rsidR="0053434C" w:rsidRPr="004D4B48" w:rsidRDefault="0053434C" w:rsidP="008F2CDC">
      <w:pPr>
        <w:spacing w:line="360" w:lineRule="auto"/>
      </w:pPr>
      <w:r w:rsidRPr="008F2CDC">
        <w:rPr>
          <w:b/>
        </w:rPr>
        <w:t>NRA:</w:t>
      </w:r>
      <w:r w:rsidRPr="004D4B48">
        <w:t xml:space="preserve"> National Regulatory Authority</w:t>
      </w:r>
    </w:p>
    <w:p w:rsidR="0053434C" w:rsidRPr="004D4B48" w:rsidRDefault="0053434C" w:rsidP="008F2CDC">
      <w:pPr>
        <w:spacing w:line="360" w:lineRule="auto"/>
      </w:pPr>
      <w:r w:rsidRPr="008F2CDC">
        <w:rPr>
          <w:b/>
        </w:rPr>
        <w:t xml:space="preserve">EACO: </w:t>
      </w:r>
      <w:r w:rsidRPr="004D4B48">
        <w:t>East African Communication Organization</w:t>
      </w:r>
    </w:p>
    <w:p w:rsidR="0053434C" w:rsidRPr="004D4B48" w:rsidRDefault="0053434C" w:rsidP="008F2CDC">
      <w:pPr>
        <w:spacing w:line="360" w:lineRule="auto"/>
      </w:pPr>
      <w:r w:rsidRPr="008F2CDC">
        <w:rPr>
          <w:b/>
        </w:rPr>
        <w:t>ICT:</w:t>
      </w:r>
      <w:r w:rsidRPr="004D4B48">
        <w:t xml:space="preserve"> Information and Communication Technology</w:t>
      </w:r>
    </w:p>
    <w:p w:rsidR="0053434C" w:rsidRPr="004D4B48" w:rsidRDefault="005C7F0E" w:rsidP="009C0968">
      <w:pPr>
        <w:pStyle w:val="Heading2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D4B48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I. </w:t>
      </w:r>
      <w:r w:rsidR="008F2CDC">
        <w:rPr>
          <w:rFonts w:ascii="Times New Roman" w:hAnsi="Times New Roman" w:cs="Times New Roman"/>
          <w:bCs w:val="0"/>
          <w:i w:val="0"/>
          <w:sz w:val="24"/>
          <w:szCs w:val="24"/>
        </w:rPr>
        <w:t>0 Introduction</w:t>
      </w:r>
    </w:p>
    <w:p w:rsidR="009C0968" w:rsidRPr="004D4B48" w:rsidRDefault="005C7F0E" w:rsidP="009C0968">
      <w:pPr>
        <w:pStyle w:val="Heading2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D4B48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I.</w:t>
      </w:r>
      <w:r w:rsidR="007509DB" w:rsidRPr="004D4B48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1. </w:t>
      </w:r>
      <w:bookmarkEnd w:id="1"/>
      <w:r w:rsidR="008F2CDC">
        <w:rPr>
          <w:rFonts w:ascii="Times New Roman" w:hAnsi="Times New Roman" w:cs="Times New Roman"/>
          <w:bCs w:val="0"/>
          <w:i w:val="0"/>
          <w:sz w:val="24"/>
          <w:szCs w:val="24"/>
        </w:rPr>
        <w:t>Background</w:t>
      </w:r>
    </w:p>
    <w:p w:rsidR="00354FB9" w:rsidRPr="004D4B48" w:rsidRDefault="00354FB9" w:rsidP="007D3931">
      <w:pPr>
        <w:spacing w:line="360" w:lineRule="auto"/>
        <w:jc w:val="both"/>
      </w:pPr>
    </w:p>
    <w:p w:rsidR="00354FB9" w:rsidRDefault="00354FB9" w:rsidP="007D3931">
      <w:pPr>
        <w:spacing w:line="360" w:lineRule="auto"/>
        <w:jc w:val="both"/>
      </w:pPr>
      <w:r w:rsidRPr="004D4B48">
        <w:t>Regulators and policy makers in the EACO member states recognise that ICTs in the region have grown in the last 20 year</w:t>
      </w:r>
      <w:r w:rsidR="00341B3D">
        <w:t>s</w:t>
      </w:r>
      <w:r w:rsidRPr="004D4B48">
        <w:t xml:space="preserve"> in size and complexity. In addition the ICT services in the region have entered a convergence environment. The above scenario</w:t>
      </w:r>
      <w:r w:rsidR="00BF7E59">
        <w:t>,</w:t>
      </w:r>
      <w:r w:rsidRPr="004D4B48">
        <w:t xml:space="preserve"> amongst other </w:t>
      </w:r>
      <w:r w:rsidR="00BF7E59">
        <w:t xml:space="preserve">dynamic </w:t>
      </w:r>
      <w:r w:rsidRPr="004D4B48">
        <w:t>develo</w:t>
      </w:r>
      <w:r w:rsidR="00341B3D">
        <w:t>pments</w:t>
      </w:r>
      <w:r w:rsidR="00BF7E59">
        <w:t xml:space="preserve">, has </w:t>
      </w:r>
      <w:r w:rsidR="00341B3D">
        <w:t>led to</w:t>
      </w:r>
      <w:r w:rsidRPr="004D4B48">
        <w:t xml:space="preserve"> increased consumer complaints. While the EACO member states have developed the necessary mechanisms for complaints handling, it is imperative to harmonise the complaints procedures in the region. </w:t>
      </w:r>
    </w:p>
    <w:p w:rsidR="00BF7E59" w:rsidRPr="004D4B48" w:rsidRDefault="00BF7E59" w:rsidP="007D3931">
      <w:pPr>
        <w:spacing w:line="360" w:lineRule="auto"/>
        <w:jc w:val="both"/>
      </w:pPr>
    </w:p>
    <w:p w:rsidR="00947B68" w:rsidRPr="004D4B48" w:rsidRDefault="00335517" w:rsidP="00947B68">
      <w:pPr>
        <w:spacing w:line="360" w:lineRule="auto"/>
        <w:jc w:val="both"/>
      </w:pPr>
      <w:r w:rsidRPr="004D4B48">
        <w:t>Th</w:t>
      </w:r>
      <w:r w:rsidR="00354FB9" w:rsidRPr="004D4B48">
        <w:t xml:space="preserve">e EACO Complaints handling </w:t>
      </w:r>
      <w:r w:rsidRPr="004D4B48">
        <w:t xml:space="preserve">guidelines </w:t>
      </w:r>
      <w:r w:rsidR="00354FB9" w:rsidRPr="004D4B48">
        <w:t>outline minimum require</w:t>
      </w:r>
      <w:r w:rsidR="00341B3D">
        <w:t>ments</w:t>
      </w:r>
      <w:r w:rsidR="00354FB9" w:rsidRPr="004D4B48">
        <w:t xml:space="preserve"> and procedures</w:t>
      </w:r>
      <w:r w:rsidR="00BF7E59">
        <w:t xml:space="preserve"> in the region.</w:t>
      </w:r>
    </w:p>
    <w:p w:rsidR="00133800" w:rsidRPr="004D4B48" w:rsidRDefault="00133800" w:rsidP="009C0968"/>
    <w:p w:rsidR="00133800" w:rsidRPr="004D4B48" w:rsidRDefault="005C7F0E" w:rsidP="009C0968">
      <w:pPr>
        <w:rPr>
          <w:b/>
          <w:iCs/>
        </w:rPr>
      </w:pPr>
      <w:r w:rsidRPr="004D4B48">
        <w:rPr>
          <w:b/>
          <w:iCs/>
        </w:rPr>
        <w:t>I.</w:t>
      </w:r>
      <w:r w:rsidR="00725494" w:rsidRPr="004D4B48">
        <w:rPr>
          <w:b/>
          <w:iCs/>
        </w:rPr>
        <w:t xml:space="preserve">2. </w:t>
      </w:r>
      <w:r w:rsidR="00133800" w:rsidRPr="004D4B48">
        <w:rPr>
          <w:b/>
          <w:iCs/>
        </w:rPr>
        <w:t>Definitions</w:t>
      </w:r>
      <w:r w:rsidR="00583A6F" w:rsidRPr="004D4B48">
        <w:rPr>
          <w:b/>
          <w:iCs/>
        </w:rPr>
        <w:t xml:space="preserve"> of Terms</w:t>
      </w:r>
    </w:p>
    <w:p w:rsidR="00B84838" w:rsidRPr="004D4B48" w:rsidRDefault="00B84838" w:rsidP="009C0968">
      <w:pPr>
        <w:rPr>
          <w:b/>
          <w:iCs/>
        </w:rPr>
      </w:pPr>
    </w:p>
    <w:p w:rsidR="00B84838" w:rsidRPr="004D4B48" w:rsidRDefault="005D1DD5" w:rsidP="009C0968">
      <w:pPr>
        <w:rPr>
          <w:iCs/>
        </w:rPr>
      </w:pPr>
      <w:r w:rsidRPr="004D4B48">
        <w:t>For the purpose of these guidelines,</w:t>
      </w:r>
      <w:r w:rsidRPr="004D4B48">
        <w:rPr>
          <w:iCs/>
        </w:rPr>
        <w:t xml:space="preserve"> </w:t>
      </w:r>
      <w:r w:rsidR="00B84838" w:rsidRPr="004D4B48">
        <w:rPr>
          <w:iCs/>
        </w:rPr>
        <w:t>the terms below shall be interpreted as follows:-</w:t>
      </w:r>
    </w:p>
    <w:p w:rsidR="007303DE" w:rsidRPr="004D4B48" w:rsidRDefault="007303DE" w:rsidP="009C0968">
      <w:pPr>
        <w:rPr>
          <w:b/>
          <w:iCs/>
        </w:rPr>
      </w:pPr>
    </w:p>
    <w:p w:rsidR="00133800" w:rsidRPr="004D4B48" w:rsidRDefault="007303DE" w:rsidP="00F5177C">
      <w:pPr>
        <w:spacing w:line="360" w:lineRule="auto"/>
        <w:jc w:val="both"/>
      </w:pPr>
      <w:r w:rsidRPr="004D4B48">
        <w:rPr>
          <w:b/>
        </w:rPr>
        <w:t>“</w:t>
      </w:r>
      <w:r w:rsidR="00583A6F" w:rsidRPr="004D4B48">
        <w:rPr>
          <w:b/>
        </w:rPr>
        <w:t>Consumer</w:t>
      </w:r>
      <w:r w:rsidRPr="004D4B48">
        <w:t>”</w:t>
      </w:r>
      <w:r w:rsidR="00C03454" w:rsidRPr="004D4B48">
        <w:rPr>
          <w:shd w:val="clear" w:color="auto" w:fill="FFFFFF"/>
        </w:rPr>
        <w:t xml:space="preserve"> </w:t>
      </w:r>
      <w:r w:rsidR="00B84838" w:rsidRPr="004D4B48">
        <w:t>a</w:t>
      </w:r>
      <w:r w:rsidR="005D1DD5" w:rsidRPr="004D4B48">
        <w:t>ny</w:t>
      </w:r>
      <w:r w:rsidR="00B84838" w:rsidRPr="004D4B48">
        <w:t xml:space="preserve"> person or entity </w:t>
      </w:r>
      <w:r w:rsidR="005D1DD5" w:rsidRPr="004D4B48">
        <w:t>that acquires</w:t>
      </w:r>
      <w:r w:rsidR="00C03454" w:rsidRPr="004D4B48">
        <w:t> </w:t>
      </w:r>
      <w:r w:rsidR="00177062" w:rsidRPr="004D4B48">
        <w:t xml:space="preserve">ICT </w:t>
      </w:r>
      <w:r w:rsidR="00C03454" w:rsidRPr="004D4B48">
        <w:t>goods and services for </w:t>
      </w:r>
      <w:r w:rsidR="005D1DD5" w:rsidRPr="004D4B48">
        <w:t>final use</w:t>
      </w:r>
    </w:p>
    <w:p w:rsidR="00583A6F" w:rsidRPr="004D4B48" w:rsidRDefault="007303DE" w:rsidP="00F5177C">
      <w:pPr>
        <w:spacing w:line="360" w:lineRule="auto"/>
        <w:jc w:val="both"/>
      </w:pPr>
      <w:r w:rsidRPr="004D4B48">
        <w:rPr>
          <w:b/>
        </w:rPr>
        <w:t>“</w:t>
      </w:r>
      <w:r w:rsidR="00583A6F" w:rsidRPr="004D4B48">
        <w:rPr>
          <w:b/>
        </w:rPr>
        <w:t>Complaint</w:t>
      </w:r>
      <w:r w:rsidRPr="004D4B48">
        <w:t>”</w:t>
      </w:r>
      <w:r w:rsidR="00C03454" w:rsidRPr="004D4B48">
        <w:t xml:space="preserve"> </w:t>
      </w:r>
      <w:r w:rsidR="00C12145" w:rsidRPr="004D4B48">
        <w:t>a formal allegation against a party</w:t>
      </w:r>
    </w:p>
    <w:p w:rsidR="00583A6F" w:rsidRPr="004D4B48" w:rsidRDefault="007303DE" w:rsidP="00F5177C">
      <w:pPr>
        <w:spacing w:line="360" w:lineRule="auto"/>
        <w:jc w:val="both"/>
      </w:pPr>
      <w:r w:rsidRPr="004D4B48">
        <w:rPr>
          <w:b/>
        </w:rPr>
        <w:t>“</w:t>
      </w:r>
      <w:r w:rsidR="00113779" w:rsidRPr="004D4B48">
        <w:rPr>
          <w:b/>
        </w:rPr>
        <w:t>Service provider</w:t>
      </w:r>
      <w:r w:rsidRPr="004D4B48">
        <w:t xml:space="preserve">” </w:t>
      </w:r>
      <w:r w:rsidR="00583A6F" w:rsidRPr="004D4B48">
        <w:t xml:space="preserve">all </w:t>
      </w:r>
      <w:r w:rsidR="00CC18B7" w:rsidRPr="004D4B48">
        <w:t>Service provider</w:t>
      </w:r>
      <w:r w:rsidR="00583A6F" w:rsidRPr="004D4B48">
        <w:t xml:space="preserve">s </w:t>
      </w:r>
      <w:r w:rsidR="00AF2952" w:rsidRPr="004D4B48">
        <w:t xml:space="preserve">under the regulation of </w:t>
      </w:r>
      <w:r w:rsidR="00F40ACD" w:rsidRPr="004D4B48">
        <w:t>a</w:t>
      </w:r>
      <w:r w:rsidR="00AF2952" w:rsidRPr="004D4B48">
        <w:t xml:space="preserve"> </w:t>
      </w:r>
      <w:r w:rsidR="00F40ACD" w:rsidRPr="004D4B48">
        <w:t>N</w:t>
      </w:r>
      <w:r w:rsidR="00113779" w:rsidRPr="004D4B48">
        <w:t xml:space="preserve">ational </w:t>
      </w:r>
      <w:r w:rsidR="00583A6F" w:rsidRPr="004D4B48">
        <w:t xml:space="preserve">Regulatory Authority in EAC Countries </w:t>
      </w:r>
    </w:p>
    <w:p w:rsidR="00583A6F" w:rsidRPr="004D4B48" w:rsidRDefault="007303DE" w:rsidP="00F5177C">
      <w:pPr>
        <w:spacing w:line="360" w:lineRule="auto"/>
        <w:jc w:val="both"/>
      </w:pPr>
      <w:r w:rsidRPr="004D4B48">
        <w:rPr>
          <w:b/>
        </w:rPr>
        <w:t>“</w:t>
      </w:r>
      <w:r w:rsidR="00CC18B7" w:rsidRPr="004D4B48">
        <w:rPr>
          <w:b/>
        </w:rPr>
        <w:t>Service provider</w:t>
      </w:r>
      <w:r w:rsidRPr="004D4B48">
        <w:rPr>
          <w:b/>
        </w:rPr>
        <w:t>”</w:t>
      </w:r>
      <w:r w:rsidRPr="004D4B48">
        <w:t xml:space="preserve"> </w:t>
      </w:r>
      <w:r w:rsidR="00583A6F" w:rsidRPr="004D4B48">
        <w:t xml:space="preserve">any </w:t>
      </w:r>
      <w:r w:rsidR="00F40ACD" w:rsidRPr="004D4B48">
        <w:t xml:space="preserve">entity or person that </w:t>
      </w:r>
      <w:r w:rsidR="00583A6F" w:rsidRPr="004D4B48">
        <w:t>holds an opera</w:t>
      </w:r>
      <w:r w:rsidR="00F40ACD" w:rsidRPr="004D4B48">
        <w:t xml:space="preserve">ting license issued by a </w:t>
      </w:r>
      <w:r w:rsidR="00F24CC4" w:rsidRPr="004D4B48">
        <w:t xml:space="preserve">National </w:t>
      </w:r>
      <w:r w:rsidR="00583A6F" w:rsidRPr="004D4B48">
        <w:t>Regulatory Authority</w:t>
      </w:r>
      <w:r w:rsidR="00CC18B7" w:rsidRPr="004D4B48">
        <w:rPr>
          <w:rStyle w:val="FootnoteReference"/>
        </w:rPr>
        <w:footnoteReference w:id="1"/>
      </w:r>
    </w:p>
    <w:p w:rsidR="00133800" w:rsidRPr="004D4B48" w:rsidRDefault="007303DE" w:rsidP="00F5177C">
      <w:pPr>
        <w:spacing w:line="360" w:lineRule="auto"/>
        <w:jc w:val="both"/>
      </w:pPr>
      <w:proofErr w:type="gramStart"/>
      <w:r w:rsidRPr="004D4B48">
        <w:rPr>
          <w:b/>
        </w:rPr>
        <w:t>“</w:t>
      </w:r>
      <w:r w:rsidR="00583A6F" w:rsidRPr="004D4B48">
        <w:rPr>
          <w:b/>
        </w:rPr>
        <w:t>Relevant laws</w:t>
      </w:r>
      <w:r w:rsidRPr="004D4B48">
        <w:rPr>
          <w:b/>
        </w:rPr>
        <w:t>”</w:t>
      </w:r>
      <w:r w:rsidRPr="004D4B48">
        <w:t xml:space="preserve"> </w:t>
      </w:r>
      <w:r w:rsidR="00583A6F" w:rsidRPr="004D4B48">
        <w:t>any applicable law or regulation</w:t>
      </w:r>
      <w:r w:rsidR="001A3837" w:rsidRPr="004D4B48">
        <w:t>s which a service provider</w:t>
      </w:r>
      <w:r w:rsidR="00583A6F" w:rsidRPr="004D4B48">
        <w:t xml:space="preserve"> must comply </w:t>
      </w:r>
      <w:r w:rsidR="001A3837" w:rsidRPr="004D4B48">
        <w:t>with</w:t>
      </w:r>
      <w:r w:rsidR="008F2CDC">
        <w:t>.</w:t>
      </w:r>
      <w:proofErr w:type="gramEnd"/>
    </w:p>
    <w:p w:rsidR="00133800" w:rsidRPr="004D4B48" w:rsidRDefault="00133800" w:rsidP="009C0968"/>
    <w:p w:rsidR="007509DB" w:rsidRPr="00C45657" w:rsidRDefault="005C7F0E" w:rsidP="00C45657">
      <w:pPr>
        <w:rPr>
          <w:b/>
          <w:bCs/>
          <w:i/>
        </w:rPr>
      </w:pPr>
      <w:bookmarkStart w:id="2" w:name="_Toc150943843"/>
      <w:r w:rsidRPr="00C45657">
        <w:rPr>
          <w:b/>
        </w:rPr>
        <w:t xml:space="preserve">I. </w:t>
      </w:r>
      <w:r w:rsidR="00725494" w:rsidRPr="00C45657">
        <w:rPr>
          <w:b/>
        </w:rPr>
        <w:t>3</w:t>
      </w:r>
      <w:r w:rsidR="007509DB" w:rsidRPr="00C45657">
        <w:rPr>
          <w:b/>
        </w:rPr>
        <w:t>. Scope</w:t>
      </w:r>
      <w:r w:rsidR="00725494" w:rsidRPr="00C45657">
        <w:rPr>
          <w:b/>
        </w:rPr>
        <w:t xml:space="preserve"> and Objectives</w:t>
      </w:r>
    </w:p>
    <w:p w:rsidR="004B163B" w:rsidRPr="004D4B48" w:rsidRDefault="005903A0" w:rsidP="00725494">
      <w:pPr>
        <w:pStyle w:val="Heading2"/>
        <w:numPr>
          <w:ilvl w:val="0"/>
          <w:numId w:val="6"/>
        </w:numPr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D4B48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Scope </w:t>
      </w:r>
    </w:p>
    <w:p w:rsidR="007509DB" w:rsidRPr="004D4B48" w:rsidRDefault="007509DB" w:rsidP="005903A0">
      <w:pPr>
        <w:pStyle w:val="Heading2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4D4B48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These </w:t>
      </w:r>
      <w:r w:rsidR="007303DE" w:rsidRPr="004D4B48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guidelines apply</w:t>
      </w:r>
      <w:r w:rsidRPr="004D4B48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to </w:t>
      </w:r>
      <w:r w:rsidR="00725494" w:rsidRPr="004D4B48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all </w:t>
      </w:r>
      <w:r w:rsidRPr="004D4B48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complaints </w:t>
      </w:r>
      <w:r w:rsidR="00E71835" w:rsidRPr="004D4B48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with regards to </w:t>
      </w:r>
      <w:r w:rsidR="005D0DA2" w:rsidRPr="004D4B48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ICT</w:t>
      </w:r>
      <w:r w:rsidR="009A7DAC" w:rsidRPr="004D4B48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Pr="004D4B48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goods and services in the EACO member states.</w:t>
      </w:r>
    </w:p>
    <w:p w:rsidR="005903A0" w:rsidRPr="004D4B48" w:rsidRDefault="005903A0" w:rsidP="005903A0"/>
    <w:p w:rsidR="00725494" w:rsidRDefault="00725494" w:rsidP="004B163B">
      <w:pPr>
        <w:numPr>
          <w:ilvl w:val="0"/>
          <w:numId w:val="6"/>
        </w:numPr>
        <w:rPr>
          <w:b/>
        </w:rPr>
      </w:pPr>
      <w:r w:rsidRPr="004D4B48">
        <w:rPr>
          <w:b/>
        </w:rPr>
        <w:t>Objectives</w:t>
      </w:r>
    </w:p>
    <w:p w:rsidR="008F2CDC" w:rsidRPr="004D4B48" w:rsidRDefault="008F2CDC" w:rsidP="008F2CDC">
      <w:pPr>
        <w:ind w:left="540"/>
        <w:rPr>
          <w:b/>
        </w:rPr>
      </w:pPr>
    </w:p>
    <w:p w:rsidR="007509DB" w:rsidRDefault="008F2CDC" w:rsidP="007509DB">
      <w:r>
        <w:t>The objectives of these guidelines are</w:t>
      </w:r>
      <w:r w:rsidR="00435B45" w:rsidRPr="008F2CDC">
        <w:t>:-</w:t>
      </w:r>
    </w:p>
    <w:p w:rsidR="008F2CDC" w:rsidRPr="008F2CDC" w:rsidRDefault="008F2CDC" w:rsidP="007509DB"/>
    <w:p w:rsidR="0068184E" w:rsidRPr="004D4B48" w:rsidRDefault="008F2CDC" w:rsidP="00E03B15">
      <w:pPr>
        <w:numPr>
          <w:ilvl w:val="0"/>
          <w:numId w:val="7"/>
        </w:numPr>
      </w:pPr>
      <w:r>
        <w:t>To d</w:t>
      </w:r>
      <w:r w:rsidR="00E03B15" w:rsidRPr="004D4B48">
        <w:t xml:space="preserve">efine </w:t>
      </w:r>
      <w:r w:rsidR="0068184E" w:rsidRPr="004D4B48">
        <w:t>minimum requirement</w:t>
      </w:r>
      <w:r w:rsidR="00E03B15" w:rsidRPr="004D4B48">
        <w:t>s</w:t>
      </w:r>
      <w:r w:rsidR="0068184E" w:rsidRPr="004D4B48">
        <w:t xml:space="preserve"> </w:t>
      </w:r>
      <w:r w:rsidR="00E03B15" w:rsidRPr="004D4B48">
        <w:t xml:space="preserve">and acceptable standards </w:t>
      </w:r>
      <w:r w:rsidR="0068184E" w:rsidRPr="004D4B48">
        <w:t xml:space="preserve">for complaints handling in the EACO member states </w:t>
      </w:r>
    </w:p>
    <w:p w:rsidR="004904F8" w:rsidRPr="004D4B48" w:rsidRDefault="008F2CDC" w:rsidP="00D84A9C">
      <w:pPr>
        <w:numPr>
          <w:ilvl w:val="0"/>
          <w:numId w:val="7"/>
        </w:numPr>
      </w:pPr>
      <w:r>
        <w:t>To p</w:t>
      </w:r>
      <w:r w:rsidR="004904F8" w:rsidRPr="004D4B48">
        <w:t>rotec</w:t>
      </w:r>
      <w:r w:rsidR="00B67363" w:rsidRPr="004D4B48">
        <w:t>t and promote consumer rights and interests in the region</w:t>
      </w:r>
    </w:p>
    <w:p w:rsidR="007509DB" w:rsidRPr="004D4B48" w:rsidRDefault="00ED0E05" w:rsidP="00D84A9C">
      <w:pPr>
        <w:numPr>
          <w:ilvl w:val="0"/>
          <w:numId w:val="7"/>
        </w:numPr>
      </w:pPr>
      <w:r w:rsidRPr="004D4B48">
        <w:t xml:space="preserve"> </w:t>
      </w:r>
      <w:r w:rsidR="008F2CDC">
        <w:t>To f</w:t>
      </w:r>
      <w:r w:rsidR="00B67363" w:rsidRPr="004D4B48">
        <w:t>acilitate</w:t>
      </w:r>
      <w:r w:rsidRPr="004D4B48">
        <w:t xml:space="preserve"> the sharing of best practice in the EACO region.</w:t>
      </w:r>
    </w:p>
    <w:p w:rsidR="00ED0E05" w:rsidRPr="004D4B48" w:rsidRDefault="008F2CDC" w:rsidP="00D84A9C">
      <w:pPr>
        <w:numPr>
          <w:ilvl w:val="0"/>
          <w:numId w:val="7"/>
        </w:numPr>
      </w:pPr>
      <w:r>
        <w:t>To f</w:t>
      </w:r>
      <w:r w:rsidR="00B67363" w:rsidRPr="004D4B48">
        <w:t>acilitate</w:t>
      </w:r>
      <w:r w:rsidR="00ED0E05" w:rsidRPr="004D4B48">
        <w:t xml:space="preserve"> the management of cross border complaints.</w:t>
      </w:r>
    </w:p>
    <w:p w:rsidR="00F24CC4" w:rsidRPr="004D4B48" w:rsidRDefault="00F24CC4" w:rsidP="00F24CC4">
      <w:pPr>
        <w:ind w:left="720"/>
        <w:rPr>
          <w:b/>
        </w:rPr>
      </w:pPr>
    </w:p>
    <w:bookmarkEnd w:id="2"/>
    <w:p w:rsidR="009C0968" w:rsidRPr="004D4B48" w:rsidRDefault="00C45657" w:rsidP="00C45657">
      <w:pPr>
        <w:pStyle w:val="Heading2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2.0 </w:t>
      </w:r>
      <w:r w:rsidR="00F24CC4" w:rsidRPr="004D4B48">
        <w:rPr>
          <w:rFonts w:ascii="Times New Roman" w:hAnsi="Times New Roman" w:cs="Times New Roman"/>
          <w:bCs w:val="0"/>
          <w:i w:val="0"/>
          <w:sz w:val="24"/>
          <w:szCs w:val="24"/>
        </w:rPr>
        <w:t>Complaints</w:t>
      </w:r>
      <w:r w:rsidR="00ED0E05" w:rsidRPr="004D4B48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Handling</w:t>
      </w:r>
      <w:r w:rsidR="00AA283E" w:rsidRPr="004D4B48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Elements</w:t>
      </w:r>
    </w:p>
    <w:p w:rsidR="009C0968" w:rsidRPr="004D4B48" w:rsidRDefault="00B67363" w:rsidP="009C0968">
      <w:r w:rsidRPr="004D4B48">
        <w:t>Complaints handling procedures in the EACO member countries shall entail the following elements:-</w:t>
      </w:r>
    </w:p>
    <w:p w:rsidR="00ED0E05" w:rsidRPr="004D4B48" w:rsidRDefault="00ED0E05" w:rsidP="009C0968"/>
    <w:p w:rsidR="00ED0E05" w:rsidRPr="004D4B48" w:rsidRDefault="00F45B31" w:rsidP="00F5177C">
      <w:pPr>
        <w:rPr>
          <w:b/>
        </w:rPr>
      </w:pPr>
      <w:r w:rsidRPr="004D4B48">
        <w:rPr>
          <w:b/>
        </w:rPr>
        <w:t xml:space="preserve">     </w:t>
      </w:r>
      <w:r w:rsidR="00F5177C">
        <w:rPr>
          <w:b/>
        </w:rPr>
        <w:t>2</w:t>
      </w:r>
      <w:r w:rsidRPr="004D4B48">
        <w:rPr>
          <w:b/>
        </w:rPr>
        <w:t>.1</w:t>
      </w:r>
      <w:r w:rsidR="00ED0E05" w:rsidRPr="004D4B48">
        <w:rPr>
          <w:b/>
        </w:rPr>
        <w:t>Complaints Lodging</w:t>
      </w:r>
    </w:p>
    <w:p w:rsidR="00AA283E" w:rsidRPr="004D4B48" w:rsidRDefault="00AA283E" w:rsidP="00AA283E">
      <w:pPr>
        <w:ind w:left="1080"/>
      </w:pPr>
    </w:p>
    <w:p w:rsidR="00F172B3" w:rsidRPr="004D4B48" w:rsidRDefault="005A18B5" w:rsidP="00F5177C">
      <w:pPr>
        <w:jc w:val="both"/>
      </w:pPr>
      <w:r w:rsidRPr="004D4B48">
        <w:t>C</w:t>
      </w:r>
      <w:r w:rsidR="00F172B3" w:rsidRPr="004D4B48">
        <w:t xml:space="preserve">onsumers shall lodge </w:t>
      </w:r>
      <w:r w:rsidRPr="004D4B48">
        <w:t xml:space="preserve">their </w:t>
      </w:r>
      <w:r w:rsidR="00F172B3" w:rsidRPr="004D4B48">
        <w:t>complaints with their service providers as a first port of call. Upon failure to get satisfactory redress they shall then lodge their complaint</w:t>
      </w:r>
      <w:r w:rsidRPr="004D4B48">
        <w:t>s</w:t>
      </w:r>
      <w:r w:rsidR="00F172B3" w:rsidRPr="004D4B48">
        <w:t xml:space="preserve"> with the NRA.</w:t>
      </w:r>
    </w:p>
    <w:p w:rsidR="0006401A" w:rsidRPr="004D4B48" w:rsidRDefault="0006401A" w:rsidP="00F5177C">
      <w:pPr>
        <w:ind w:left="720"/>
        <w:jc w:val="both"/>
      </w:pPr>
    </w:p>
    <w:p w:rsidR="0006401A" w:rsidRPr="004D4B48" w:rsidRDefault="0006401A" w:rsidP="00F5177C">
      <w:pPr>
        <w:jc w:val="both"/>
      </w:pPr>
      <w:r w:rsidRPr="004D4B48">
        <w:t xml:space="preserve">The NRA may however, intervene in any complaint at any time when it is judged necessary. </w:t>
      </w:r>
    </w:p>
    <w:p w:rsidR="00F172B3" w:rsidRPr="004D4B48" w:rsidRDefault="00F172B3" w:rsidP="00F172B3">
      <w:pPr>
        <w:ind w:left="720"/>
      </w:pPr>
    </w:p>
    <w:p w:rsidR="00ED0E05" w:rsidRPr="004D4B48" w:rsidRDefault="00F5177C" w:rsidP="00F5177C">
      <w:r>
        <w:rPr>
          <w:b/>
        </w:rPr>
        <w:t xml:space="preserve">     2</w:t>
      </w:r>
      <w:r w:rsidR="00F45B31" w:rsidRPr="004D4B48">
        <w:rPr>
          <w:b/>
        </w:rPr>
        <w:t xml:space="preserve">.2 </w:t>
      </w:r>
      <w:r w:rsidR="00ED0E05" w:rsidRPr="004D4B48">
        <w:rPr>
          <w:b/>
        </w:rPr>
        <w:t>Complaints acknowledgemen</w:t>
      </w:r>
      <w:r w:rsidR="00ED0E05" w:rsidRPr="004D4B48">
        <w:t>t</w:t>
      </w:r>
    </w:p>
    <w:p w:rsidR="00AA283E" w:rsidRPr="004D4B48" w:rsidRDefault="00AA283E" w:rsidP="00AA283E">
      <w:pPr>
        <w:ind w:left="1211"/>
      </w:pPr>
    </w:p>
    <w:p w:rsidR="00F172B3" w:rsidRPr="004D4B48" w:rsidRDefault="00F172B3" w:rsidP="00F5177C">
      <w:pPr>
        <w:jc w:val="both"/>
      </w:pPr>
      <w:r w:rsidRPr="004D4B48">
        <w:t>NRA shall acknowledge receipt of the complaint</w:t>
      </w:r>
      <w:r w:rsidR="00FB68F8" w:rsidRPr="004D4B48">
        <w:t>.</w:t>
      </w:r>
    </w:p>
    <w:p w:rsidR="00FB68F8" w:rsidRPr="004D4B48" w:rsidRDefault="00FB68F8" w:rsidP="00F5177C"/>
    <w:p w:rsidR="00ED0E05" w:rsidRPr="004D4B48" w:rsidRDefault="00F5177C" w:rsidP="00F45B31">
      <w:pPr>
        <w:rPr>
          <w:b/>
        </w:rPr>
      </w:pPr>
      <w:r>
        <w:rPr>
          <w:b/>
        </w:rPr>
        <w:t xml:space="preserve">    2</w:t>
      </w:r>
      <w:r w:rsidR="00F45B31" w:rsidRPr="004D4B48">
        <w:rPr>
          <w:b/>
        </w:rPr>
        <w:t xml:space="preserve">.3 </w:t>
      </w:r>
      <w:r w:rsidR="00ED0E05" w:rsidRPr="004D4B48">
        <w:rPr>
          <w:b/>
        </w:rPr>
        <w:t>Complaints Resolution</w:t>
      </w:r>
    </w:p>
    <w:p w:rsidR="00441968" w:rsidRPr="004D4B48" w:rsidRDefault="00441968" w:rsidP="00CA7A3C"/>
    <w:p w:rsidR="001B09C0" w:rsidRPr="004D4B48" w:rsidRDefault="00CA7A3C" w:rsidP="00F5177C">
      <w:pPr>
        <w:jc w:val="both"/>
      </w:pPr>
      <w:r w:rsidRPr="004D4B48">
        <w:t xml:space="preserve">A complaint shall be resolved </w:t>
      </w:r>
      <w:r w:rsidRPr="00F5177C">
        <w:t>within a prescribed timeframe</w:t>
      </w:r>
      <w:r w:rsidRPr="004D4B48">
        <w:t xml:space="preserve"> and the complainant shall be promptly notified</w:t>
      </w:r>
      <w:r w:rsidR="008360C0" w:rsidRPr="004D4B48">
        <w:t>.</w:t>
      </w:r>
    </w:p>
    <w:p w:rsidR="00FB68F8" w:rsidRPr="004D4B48" w:rsidRDefault="00FB68F8" w:rsidP="00F5177C"/>
    <w:p w:rsidR="00ED0E05" w:rsidRDefault="004153CF" w:rsidP="00F45B31">
      <w:pPr>
        <w:rPr>
          <w:b/>
        </w:rPr>
      </w:pPr>
      <w:r w:rsidRPr="004D4B48">
        <w:rPr>
          <w:b/>
        </w:rPr>
        <w:t xml:space="preserve">  </w:t>
      </w:r>
      <w:r w:rsidR="00F5177C">
        <w:rPr>
          <w:b/>
        </w:rPr>
        <w:t>2</w:t>
      </w:r>
      <w:r w:rsidR="00F45B31" w:rsidRPr="004D4B48">
        <w:rPr>
          <w:b/>
        </w:rPr>
        <w:t xml:space="preserve">.4 </w:t>
      </w:r>
      <w:r w:rsidR="00ED0E05" w:rsidRPr="004D4B48">
        <w:rPr>
          <w:b/>
        </w:rPr>
        <w:t>Cross border Complaints</w:t>
      </w:r>
    </w:p>
    <w:p w:rsidR="00F5177C" w:rsidRPr="004D4B48" w:rsidRDefault="00F5177C" w:rsidP="00F45B31">
      <w:pPr>
        <w:rPr>
          <w:b/>
        </w:rPr>
      </w:pPr>
    </w:p>
    <w:p w:rsidR="00F172B3" w:rsidRPr="004D4B48" w:rsidRDefault="00F172B3" w:rsidP="00F5177C">
      <w:r w:rsidRPr="004D4B48">
        <w:t>NRA</w:t>
      </w:r>
      <w:r w:rsidR="009E4139" w:rsidRPr="004D4B48">
        <w:t>s</w:t>
      </w:r>
      <w:r w:rsidRPr="004D4B48">
        <w:t xml:space="preserve"> shall maintain</w:t>
      </w:r>
      <w:r w:rsidR="0075500C" w:rsidRPr="004D4B48">
        <w:t xml:space="preserve"> contacts of other communications regulators in the region</w:t>
      </w:r>
      <w:r w:rsidRPr="004D4B48">
        <w:t xml:space="preserve"> </w:t>
      </w:r>
      <w:r w:rsidR="00075D45" w:rsidRPr="004D4B48">
        <w:t>to facilitate the handling of cross border complaints</w:t>
      </w:r>
    </w:p>
    <w:p w:rsidR="009C0968" w:rsidRPr="004D4B48" w:rsidRDefault="004153CF" w:rsidP="009C0968">
      <w:pPr>
        <w:pStyle w:val="Heading2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D4B48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 </w:t>
      </w:r>
      <w:r w:rsidR="00F5177C">
        <w:rPr>
          <w:rFonts w:ascii="Times New Roman" w:hAnsi="Times New Roman" w:cs="Times New Roman"/>
          <w:bCs w:val="0"/>
          <w:i w:val="0"/>
          <w:sz w:val="24"/>
          <w:szCs w:val="24"/>
        </w:rPr>
        <w:t>2.</w:t>
      </w:r>
      <w:r w:rsidR="00AA283E" w:rsidRPr="004D4B48">
        <w:rPr>
          <w:rFonts w:ascii="Times New Roman" w:hAnsi="Times New Roman" w:cs="Times New Roman"/>
          <w:bCs w:val="0"/>
          <w:i w:val="0"/>
          <w:sz w:val="24"/>
          <w:szCs w:val="24"/>
        </w:rPr>
        <w:t>5. Information Required</w:t>
      </w:r>
    </w:p>
    <w:p w:rsidR="009C0968" w:rsidRPr="004D4B48" w:rsidRDefault="009C0968" w:rsidP="009C0968">
      <w:pPr>
        <w:ind w:left="360"/>
        <w:jc w:val="both"/>
      </w:pPr>
    </w:p>
    <w:p w:rsidR="009C0968" w:rsidRPr="004D4B48" w:rsidRDefault="009C0968" w:rsidP="00F5177C">
      <w:pPr>
        <w:jc w:val="both"/>
      </w:pPr>
      <w:r w:rsidRPr="004D4B48">
        <w:t xml:space="preserve">A complaint lodged with the </w:t>
      </w:r>
      <w:r w:rsidR="001008E5" w:rsidRPr="004D4B48">
        <w:t>NRA</w:t>
      </w:r>
      <w:r w:rsidR="0075500C" w:rsidRPr="004D4B48">
        <w:t xml:space="preserve"> shall provide the following of information:-</w:t>
      </w:r>
    </w:p>
    <w:p w:rsidR="009C0968" w:rsidRPr="004D4B48" w:rsidRDefault="009C0968" w:rsidP="00F5177C">
      <w:pPr>
        <w:ind w:left="360"/>
        <w:jc w:val="both"/>
      </w:pPr>
    </w:p>
    <w:p w:rsidR="009C0968" w:rsidRPr="004D4B48" w:rsidRDefault="009C0968" w:rsidP="00F5177C">
      <w:pPr>
        <w:numPr>
          <w:ilvl w:val="0"/>
          <w:numId w:val="2"/>
        </w:numPr>
        <w:jc w:val="both"/>
      </w:pPr>
      <w:r w:rsidRPr="004D4B48">
        <w:t>The full name, contact address of the complain</w:t>
      </w:r>
      <w:r w:rsidR="001008E5" w:rsidRPr="004D4B48">
        <w:t>an</w:t>
      </w:r>
      <w:r w:rsidRPr="004D4B48">
        <w:t>t.</w:t>
      </w:r>
    </w:p>
    <w:p w:rsidR="009C0968" w:rsidRPr="004D4B48" w:rsidRDefault="009C0968" w:rsidP="00F5177C">
      <w:pPr>
        <w:ind w:left="360"/>
        <w:jc w:val="both"/>
      </w:pPr>
    </w:p>
    <w:p w:rsidR="009C0968" w:rsidRPr="004D4B48" w:rsidRDefault="009C0968" w:rsidP="00F5177C">
      <w:pPr>
        <w:numPr>
          <w:ilvl w:val="0"/>
          <w:numId w:val="2"/>
        </w:numPr>
        <w:jc w:val="both"/>
      </w:pPr>
      <w:r w:rsidRPr="004D4B48">
        <w:t xml:space="preserve">The </w:t>
      </w:r>
      <w:r w:rsidR="001008E5" w:rsidRPr="004D4B48">
        <w:t xml:space="preserve">party </w:t>
      </w:r>
      <w:r w:rsidRPr="004D4B48">
        <w:t>against whom the complaint is made.</w:t>
      </w:r>
    </w:p>
    <w:p w:rsidR="009C0968" w:rsidRPr="004D4B48" w:rsidRDefault="009C0968" w:rsidP="00F5177C">
      <w:pPr>
        <w:jc w:val="both"/>
      </w:pPr>
    </w:p>
    <w:p w:rsidR="009C0968" w:rsidRPr="004D4B48" w:rsidRDefault="009C0968" w:rsidP="00F5177C">
      <w:pPr>
        <w:numPr>
          <w:ilvl w:val="0"/>
          <w:numId w:val="2"/>
        </w:numPr>
        <w:jc w:val="both"/>
      </w:pPr>
      <w:r w:rsidRPr="004D4B48">
        <w:t>Particulars of the nature of the complaint together with copies of any document in support of or in relation to the complaint.</w:t>
      </w:r>
    </w:p>
    <w:p w:rsidR="009C0968" w:rsidRPr="004D4B48" w:rsidRDefault="009C0968" w:rsidP="00F5177C">
      <w:pPr>
        <w:jc w:val="both"/>
      </w:pPr>
    </w:p>
    <w:p w:rsidR="009C0968" w:rsidRPr="004D4B48" w:rsidRDefault="009C0968" w:rsidP="00F5177C">
      <w:pPr>
        <w:numPr>
          <w:ilvl w:val="0"/>
          <w:numId w:val="2"/>
        </w:numPr>
        <w:jc w:val="both"/>
      </w:pPr>
      <w:r w:rsidRPr="004D4B48">
        <w:t>The nature of the dissatisfaction, or the alleged harm that the complainant has suffered as a result of the action, inaction or omission of the person or utility against whom the complaint is made.</w:t>
      </w:r>
    </w:p>
    <w:p w:rsidR="009C0968" w:rsidRPr="004D4B48" w:rsidRDefault="009C0968" w:rsidP="00F5177C">
      <w:pPr>
        <w:jc w:val="both"/>
      </w:pPr>
    </w:p>
    <w:p w:rsidR="009C0968" w:rsidRPr="004D4B48" w:rsidRDefault="009C0968" w:rsidP="00F5177C">
      <w:pPr>
        <w:numPr>
          <w:ilvl w:val="0"/>
          <w:numId w:val="2"/>
        </w:numPr>
        <w:jc w:val="both"/>
      </w:pPr>
      <w:r w:rsidRPr="004D4B48">
        <w:t>The relief sought by the complainant.</w:t>
      </w:r>
    </w:p>
    <w:p w:rsidR="009C0968" w:rsidRPr="004D4B48" w:rsidRDefault="009C0968" w:rsidP="00F5177C">
      <w:pPr>
        <w:jc w:val="both"/>
      </w:pPr>
    </w:p>
    <w:p w:rsidR="009C0968" w:rsidRPr="004D4B48" w:rsidRDefault="0099112E" w:rsidP="00F5177C">
      <w:pPr>
        <w:numPr>
          <w:ilvl w:val="0"/>
          <w:numId w:val="2"/>
        </w:numPr>
        <w:jc w:val="both"/>
      </w:pPr>
      <w:r w:rsidRPr="004D4B48">
        <w:t xml:space="preserve">Any other </w:t>
      </w:r>
      <w:r w:rsidR="00F5177C" w:rsidRPr="004D4B48">
        <w:t>information relevant</w:t>
      </w:r>
      <w:r w:rsidR="009C0968" w:rsidRPr="004D4B48">
        <w:t xml:space="preserve"> to the complaint.</w:t>
      </w:r>
    </w:p>
    <w:p w:rsidR="00E6575A" w:rsidRPr="004D4B48" w:rsidRDefault="00E6575A" w:rsidP="00F5177C">
      <w:pPr>
        <w:pStyle w:val="ListParagraph"/>
        <w:jc w:val="both"/>
      </w:pPr>
    </w:p>
    <w:p w:rsidR="00E6575A" w:rsidRPr="004D4B48" w:rsidRDefault="00E6575A" w:rsidP="008360C0">
      <w:pPr>
        <w:jc w:val="both"/>
      </w:pPr>
    </w:p>
    <w:p w:rsidR="00E6575A" w:rsidRPr="004D4B48" w:rsidRDefault="00E6575A" w:rsidP="00F5177C">
      <w:pPr>
        <w:pStyle w:val="Heading2"/>
        <w:numPr>
          <w:ilvl w:val="1"/>
          <w:numId w:val="12"/>
        </w:numPr>
        <w:rPr>
          <w:rFonts w:ascii="Times New Roman" w:eastAsia="Arial Unicode MS" w:hAnsi="Times New Roman" w:cs="Times New Roman"/>
          <w:i w:val="0"/>
          <w:sz w:val="24"/>
          <w:szCs w:val="24"/>
        </w:rPr>
      </w:pPr>
      <w:r w:rsidRPr="004D4B48">
        <w:rPr>
          <w:rFonts w:ascii="Times New Roman" w:eastAsia="Arial Unicode MS" w:hAnsi="Times New Roman" w:cs="Times New Roman"/>
          <w:i w:val="0"/>
          <w:sz w:val="24"/>
          <w:szCs w:val="24"/>
        </w:rPr>
        <w:t>Channels to lodge a complaint</w:t>
      </w:r>
    </w:p>
    <w:p w:rsidR="005D7BAB" w:rsidRPr="004D4B48" w:rsidRDefault="005D7BAB" w:rsidP="005D7BAB">
      <w:pPr>
        <w:rPr>
          <w:rFonts w:eastAsia="Arial Unicode MS"/>
        </w:rPr>
      </w:pPr>
    </w:p>
    <w:p w:rsidR="00E6575A" w:rsidRPr="004D4B48" w:rsidRDefault="008360C0" w:rsidP="00F5177C">
      <w:pPr>
        <w:jc w:val="both"/>
        <w:rPr>
          <w:rFonts w:eastAsia="Arial Unicode MS"/>
        </w:rPr>
      </w:pPr>
      <w:proofErr w:type="gramStart"/>
      <w:r w:rsidRPr="004D4B48">
        <w:rPr>
          <w:rFonts w:eastAsia="Arial Unicode MS"/>
          <w:bCs/>
        </w:rPr>
        <w:t>NRA’ s</w:t>
      </w:r>
      <w:proofErr w:type="gramEnd"/>
      <w:r w:rsidRPr="004D4B48">
        <w:rPr>
          <w:rFonts w:eastAsia="Arial Unicode MS"/>
          <w:bCs/>
        </w:rPr>
        <w:t xml:space="preserve"> shall provide channels to consumers to lodge complain</w:t>
      </w:r>
      <w:r w:rsidR="006C692F" w:rsidRPr="004D4B48">
        <w:rPr>
          <w:rFonts w:eastAsia="Arial Unicode MS"/>
          <w:bCs/>
        </w:rPr>
        <w:t>t</w:t>
      </w:r>
      <w:r w:rsidRPr="004D4B48">
        <w:rPr>
          <w:rFonts w:eastAsia="Arial Unicode MS"/>
          <w:bCs/>
        </w:rPr>
        <w:t>s</w:t>
      </w:r>
      <w:r w:rsidR="006C692F" w:rsidRPr="004D4B48">
        <w:rPr>
          <w:rFonts w:eastAsia="Arial Unicode MS"/>
          <w:bCs/>
        </w:rPr>
        <w:t>.</w:t>
      </w:r>
    </w:p>
    <w:p w:rsidR="009C0968" w:rsidRPr="004D4B48" w:rsidRDefault="009C0968" w:rsidP="00F5177C">
      <w:pPr>
        <w:jc w:val="both"/>
      </w:pPr>
    </w:p>
    <w:p w:rsidR="009C0968" w:rsidRPr="004D4B48" w:rsidRDefault="00CD4123" w:rsidP="00F5177C">
      <w:pPr>
        <w:pStyle w:val="Heading2"/>
        <w:numPr>
          <w:ilvl w:val="1"/>
          <w:numId w:val="12"/>
        </w:numPr>
        <w:rPr>
          <w:rFonts w:ascii="Times New Roman" w:eastAsia="Arial Unicode MS" w:hAnsi="Times New Roman" w:cs="Times New Roman"/>
          <w:i w:val="0"/>
          <w:sz w:val="24"/>
          <w:szCs w:val="24"/>
        </w:rPr>
      </w:pPr>
      <w:r w:rsidRPr="004D4B48">
        <w:rPr>
          <w:rFonts w:ascii="Times New Roman" w:eastAsia="Arial Unicode MS" w:hAnsi="Times New Roman" w:cs="Times New Roman"/>
          <w:i w:val="0"/>
          <w:sz w:val="24"/>
          <w:szCs w:val="24"/>
        </w:rPr>
        <w:t>Confidentiality of information</w:t>
      </w:r>
    </w:p>
    <w:p w:rsidR="00CD4123" w:rsidRDefault="00CD4123" w:rsidP="00F5177C">
      <w:pPr>
        <w:widowControl w:val="0"/>
        <w:autoSpaceDE w:val="0"/>
        <w:autoSpaceDN w:val="0"/>
        <w:adjustRightInd w:val="0"/>
        <w:spacing w:before="240"/>
        <w:rPr>
          <w:rFonts w:eastAsia="Arial Unicode MS"/>
          <w:spacing w:val="-1"/>
        </w:rPr>
      </w:pPr>
      <w:r w:rsidRPr="004D4B48">
        <w:rPr>
          <w:rFonts w:eastAsia="Arial Unicode MS"/>
          <w:spacing w:val="-1"/>
        </w:rPr>
        <w:t xml:space="preserve">The information submitted to the Regulatory Authority shall be treated as </w:t>
      </w:r>
      <w:r w:rsidR="00674C75" w:rsidRPr="004D4B48">
        <w:rPr>
          <w:rFonts w:eastAsia="Arial Unicode MS"/>
          <w:spacing w:val="-1"/>
        </w:rPr>
        <w:t>confidential</w:t>
      </w:r>
      <w:r w:rsidRPr="004D4B48">
        <w:rPr>
          <w:rFonts w:eastAsia="Arial Unicode MS"/>
          <w:spacing w:val="-1"/>
        </w:rPr>
        <w:t xml:space="preserve">, unless the party marks such information as public. </w:t>
      </w:r>
    </w:p>
    <w:p w:rsidR="00F5177C" w:rsidRPr="004D4B48" w:rsidRDefault="00F5177C" w:rsidP="00F5177C">
      <w:pPr>
        <w:widowControl w:val="0"/>
        <w:autoSpaceDE w:val="0"/>
        <w:autoSpaceDN w:val="0"/>
        <w:adjustRightInd w:val="0"/>
        <w:spacing w:before="240"/>
        <w:rPr>
          <w:rFonts w:eastAsia="Arial Unicode MS"/>
          <w:i/>
        </w:rPr>
      </w:pPr>
    </w:p>
    <w:p w:rsidR="009C0968" w:rsidRPr="004D4B48" w:rsidRDefault="00F5177C" w:rsidP="00F5177C">
      <w:pPr>
        <w:pStyle w:val="Heading2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3" w:name="_Toc150943846"/>
      <w:r>
        <w:rPr>
          <w:rFonts w:ascii="Times New Roman" w:hAnsi="Times New Roman" w:cs="Times New Roman"/>
          <w:bCs w:val="0"/>
          <w:i w:val="0"/>
          <w:sz w:val="24"/>
          <w:szCs w:val="24"/>
        </w:rPr>
        <w:t>3.0 Review</w:t>
      </w:r>
      <w:r w:rsidR="009E4139" w:rsidRPr="004D4B48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of </w:t>
      </w:r>
      <w:r w:rsidR="00AA283E" w:rsidRPr="004D4B48">
        <w:rPr>
          <w:rFonts w:ascii="Times New Roman" w:hAnsi="Times New Roman" w:cs="Times New Roman"/>
          <w:bCs w:val="0"/>
          <w:i w:val="0"/>
          <w:sz w:val="24"/>
          <w:szCs w:val="24"/>
        </w:rPr>
        <w:t>the</w:t>
      </w:r>
      <w:r w:rsidR="009E4139" w:rsidRPr="004D4B48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Guidelines</w:t>
      </w:r>
      <w:bookmarkEnd w:id="3"/>
    </w:p>
    <w:p w:rsidR="009C0968" w:rsidRPr="004D4B48" w:rsidRDefault="009C0968" w:rsidP="009C0968">
      <w:pPr>
        <w:jc w:val="both"/>
        <w:rPr>
          <w:b/>
          <w:u w:val="single"/>
        </w:rPr>
      </w:pPr>
    </w:p>
    <w:p w:rsidR="000370E6" w:rsidRPr="004D4B48" w:rsidRDefault="009C0968" w:rsidP="00AA283E">
      <w:pPr>
        <w:ind w:left="-720"/>
        <w:jc w:val="both"/>
      </w:pPr>
      <w:r w:rsidRPr="004D4B48">
        <w:tab/>
      </w:r>
      <w:r w:rsidR="00AA283E" w:rsidRPr="004D4B48">
        <w:t>These guidelines shall be reviewed from time to time as shall be agreed by member states</w:t>
      </w:r>
      <w:r w:rsidR="00674C75" w:rsidRPr="004D4B48">
        <w:t>.</w:t>
      </w:r>
    </w:p>
    <w:p w:rsidR="009C0968" w:rsidRPr="004D4B48" w:rsidRDefault="00674C75" w:rsidP="00AA283E">
      <w:pPr>
        <w:ind w:left="-720"/>
        <w:jc w:val="both"/>
      </w:pPr>
      <w:r w:rsidRPr="004D4B48">
        <w:t xml:space="preserve">   </w:t>
      </w:r>
    </w:p>
    <w:p w:rsidR="009C0968" w:rsidRPr="004D4B48" w:rsidRDefault="009C0968" w:rsidP="009C0968">
      <w:pPr>
        <w:spacing w:line="360" w:lineRule="auto"/>
        <w:jc w:val="both"/>
        <w:rPr>
          <w:b/>
          <w:bCs/>
          <w:iCs/>
        </w:rPr>
      </w:pPr>
    </w:p>
    <w:p w:rsidR="009C0968" w:rsidRPr="004D4B48" w:rsidRDefault="009C0968" w:rsidP="009C0968">
      <w:pPr>
        <w:spacing w:line="360" w:lineRule="auto"/>
        <w:jc w:val="both"/>
        <w:rPr>
          <w:b/>
          <w:bCs/>
          <w:iCs/>
        </w:rPr>
      </w:pPr>
    </w:p>
    <w:p w:rsidR="00F037CD" w:rsidRPr="004D4B48" w:rsidRDefault="00F037CD" w:rsidP="009C0968"/>
    <w:p w:rsidR="00F037CD" w:rsidRPr="004D4B48" w:rsidRDefault="00F037CD" w:rsidP="009C0968"/>
    <w:p w:rsidR="00F037CD" w:rsidRPr="004D4B48" w:rsidRDefault="00F037CD" w:rsidP="009C0968"/>
    <w:p w:rsidR="009C0968" w:rsidRPr="004D4B48" w:rsidRDefault="009C0968" w:rsidP="009C0968"/>
    <w:p w:rsidR="001D4137" w:rsidRPr="004D4B48" w:rsidRDefault="001D4137" w:rsidP="009C0968"/>
    <w:sectPr w:rsidR="001D4137" w:rsidRPr="004D4B48" w:rsidSect="00D01393">
      <w:footerReference w:type="default" r:id="rId9"/>
      <w:pgSz w:w="12240" w:h="15840"/>
      <w:pgMar w:top="540" w:right="1800" w:bottom="1620" w:left="16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46108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11" w:rsidRDefault="00E14D11" w:rsidP="00107BDE">
      <w:r>
        <w:separator/>
      </w:r>
    </w:p>
  </w:endnote>
  <w:endnote w:type="continuationSeparator" w:id="0">
    <w:p w:rsidR="00E14D11" w:rsidRDefault="00E14D11" w:rsidP="0010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DE" w:rsidRPr="00107BDE" w:rsidRDefault="00107BDE" w:rsidP="00107BDE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820"/>
      </w:tabs>
      <w:rPr>
        <w:rFonts w:ascii="Arial" w:hAnsi="Arial" w:cs="Arial"/>
        <w:color w:val="E36C0A"/>
      </w:rPr>
    </w:pPr>
    <w:r w:rsidRPr="00107BDE">
      <w:rPr>
        <w:rFonts w:ascii="Arial" w:hAnsi="Arial" w:cs="Arial"/>
        <w:color w:val="E36C0A"/>
      </w:rPr>
      <w:t>Guidelines on Complaint Handling</w:t>
    </w:r>
    <w:r w:rsidRPr="00107BDE">
      <w:rPr>
        <w:rFonts w:ascii="Arial" w:hAnsi="Arial" w:cs="Arial"/>
        <w:color w:val="E36C0A"/>
      </w:rPr>
      <w:tab/>
      <w:t xml:space="preserve">Page </w:t>
    </w:r>
    <w:r w:rsidR="00241E5E" w:rsidRPr="00107BDE">
      <w:rPr>
        <w:rFonts w:ascii="Arial" w:hAnsi="Arial" w:cs="Arial"/>
        <w:color w:val="E36C0A"/>
      </w:rPr>
      <w:fldChar w:fldCharType="begin"/>
    </w:r>
    <w:r w:rsidRPr="00107BDE">
      <w:rPr>
        <w:rFonts w:ascii="Arial" w:hAnsi="Arial" w:cs="Arial"/>
        <w:color w:val="E36C0A"/>
      </w:rPr>
      <w:instrText xml:space="preserve"> PAGE   \* MERGEFORMAT </w:instrText>
    </w:r>
    <w:r w:rsidR="00241E5E" w:rsidRPr="00107BDE">
      <w:rPr>
        <w:rFonts w:ascii="Arial" w:hAnsi="Arial" w:cs="Arial"/>
        <w:color w:val="E36C0A"/>
      </w:rPr>
      <w:fldChar w:fldCharType="separate"/>
    </w:r>
    <w:r w:rsidR="00F814F1">
      <w:rPr>
        <w:rFonts w:ascii="Arial" w:hAnsi="Arial" w:cs="Arial"/>
        <w:noProof/>
        <w:color w:val="E36C0A"/>
      </w:rPr>
      <w:t>1</w:t>
    </w:r>
    <w:r w:rsidR="00241E5E" w:rsidRPr="00107BDE">
      <w:rPr>
        <w:rFonts w:ascii="Arial" w:hAnsi="Arial" w:cs="Arial"/>
        <w:color w:val="E36C0A"/>
      </w:rPr>
      <w:fldChar w:fldCharType="end"/>
    </w:r>
  </w:p>
  <w:p w:rsidR="00107BDE" w:rsidRPr="00107BDE" w:rsidRDefault="00107BDE">
    <w:pPr>
      <w:pStyle w:val="Footer"/>
      <w:rPr>
        <w:rFonts w:ascii="Arial" w:hAnsi="Arial" w:cs="Arial"/>
        <w:color w:val="E36C0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11" w:rsidRDefault="00E14D11" w:rsidP="00107BDE">
      <w:r>
        <w:separator/>
      </w:r>
    </w:p>
  </w:footnote>
  <w:footnote w:type="continuationSeparator" w:id="0">
    <w:p w:rsidR="00E14D11" w:rsidRDefault="00E14D11" w:rsidP="00107BDE">
      <w:r>
        <w:continuationSeparator/>
      </w:r>
    </w:p>
  </w:footnote>
  <w:footnote w:id="1">
    <w:p w:rsidR="00CC18B7" w:rsidRPr="00CC18B7" w:rsidRDefault="00CC18B7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482"/>
    <w:multiLevelType w:val="hybridMultilevel"/>
    <w:tmpl w:val="6526CEDC"/>
    <w:lvl w:ilvl="0" w:tplc="7F823B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74754D1"/>
    <w:multiLevelType w:val="hybridMultilevel"/>
    <w:tmpl w:val="44643B84"/>
    <w:lvl w:ilvl="0" w:tplc="6A8E23D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637C66"/>
    <w:multiLevelType w:val="hybridMultilevel"/>
    <w:tmpl w:val="66C64CD4"/>
    <w:lvl w:ilvl="0" w:tplc="E49A7426">
      <w:start w:val="1"/>
      <w:numFmt w:val="lowerRoman"/>
      <w:lvlText w:val="%1."/>
      <w:lvlJc w:val="righ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0C53"/>
    <w:multiLevelType w:val="multilevel"/>
    <w:tmpl w:val="FE14DC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D7594B"/>
    <w:multiLevelType w:val="hybridMultilevel"/>
    <w:tmpl w:val="3DD80614"/>
    <w:lvl w:ilvl="0" w:tplc="3E162198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950539"/>
    <w:multiLevelType w:val="hybridMultilevel"/>
    <w:tmpl w:val="A9E67E10"/>
    <w:lvl w:ilvl="0" w:tplc="BC00ED7C">
      <w:start w:val="1"/>
      <w:numFmt w:val="lowerLetter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B2527"/>
    <w:multiLevelType w:val="hybridMultilevel"/>
    <w:tmpl w:val="5A0019A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20265F"/>
    <w:multiLevelType w:val="multilevel"/>
    <w:tmpl w:val="67ACAB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1A37324"/>
    <w:multiLevelType w:val="hybridMultilevel"/>
    <w:tmpl w:val="1F00A7DA"/>
    <w:lvl w:ilvl="0" w:tplc="D5A2593E">
      <w:start w:val="1"/>
      <w:numFmt w:val="lowerLetter"/>
      <w:lvlText w:val="%1)"/>
      <w:lvlJc w:val="left"/>
      <w:pPr>
        <w:ind w:left="5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71576"/>
    <w:multiLevelType w:val="hybridMultilevel"/>
    <w:tmpl w:val="0044B366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93F1097"/>
    <w:multiLevelType w:val="hybridMultilevel"/>
    <w:tmpl w:val="1E88D2F4"/>
    <w:lvl w:ilvl="0" w:tplc="E59885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5C52AD"/>
    <w:multiLevelType w:val="hybridMultilevel"/>
    <w:tmpl w:val="DEB43CF0"/>
    <w:lvl w:ilvl="0" w:tplc="047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1440" w:hanging="360"/>
      </w:pPr>
    </w:lvl>
    <w:lvl w:ilvl="2" w:tplc="047E001B" w:tentative="1">
      <w:start w:val="1"/>
      <w:numFmt w:val="lowerRoman"/>
      <w:lvlText w:val="%3."/>
      <w:lvlJc w:val="right"/>
      <w:pPr>
        <w:ind w:left="2160" w:hanging="180"/>
      </w:pPr>
    </w:lvl>
    <w:lvl w:ilvl="3" w:tplc="047E000F" w:tentative="1">
      <w:start w:val="1"/>
      <w:numFmt w:val="decimal"/>
      <w:lvlText w:val="%4."/>
      <w:lvlJc w:val="left"/>
      <w:pPr>
        <w:ind w:left="2880" w:hanging="360"/>
      </w:pPr>
    </w:lvl>
    <w:lvl w:ilvl="4" w:tplc="047E0019" w:tentative="1">
      <w:start w:val="1"/>
      <w:numFmt w:val="lowerLetter"/>
      <w:lvlText w:val="%5."/>
      <w:lvlJc w:val="left"/>
      <w:pPr>
        <w:ind w:left="3600" w:hanging="360"/>
      </w:pPr>
    </w:lvl>
    <w:lvl w:ilvl="5" w:tplc="047E001B" w:tentative="1">
      <w:start w:val="1"/>
      <w:numFmt w:val="lowerRoman"/>
      <w:lvlText w:val="%6."/>
      <w:lvlJc w:val="right"/>
      <w:pPr>
        <w:ind w:left="4320" w:hanging="180"/>
      </w:pPr>
    </w:lvl>
    <w:lvl w:ilvl="6" w:tplc="047E000F" w:tentative="1">
      <w:start w:val="1"/>
      <w:numFmt w:val="decimal"/>
      <w:lvlText w:val="%7."/>
      <w:lvlJc w:val="left"/>
      <w:pPr>
        <w:ind w:left="5040" w:hanging="360"/>
      </w:pPr>
    </w:lvl>
    <w:lvl w:ilvl="7" w:tplc="047E0019" w:tentative="1">
      <w:start w:val="1"/>
      <w:numFmt w:val="lowerLetter"/>
      <w:lvlText w:val="%8."/>
      <w:lvlJc w:val="left"/>
      <w:pPr>
        <w:ind w:left="5760" w:hanging="360"/>
      </w:pPr>
    </w:lvl>
    <w:lvl w:ilvl="8" w:tplc="047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68"/>
    <w:rsid w:val="00016B9E"/>
    <w:rsid w:val="000370E6"/>
    <w:rsid w:val="00054258"/>
    <w:rsid w:val="0006401A"/>
    <w:rsid w:val="00075D45"/>
    <w:rsid w:val="000B76AE"/>
    <w:rsid w:val="000E65F0"/>
    <w:rsid w:val="000E77D0"/>
    <w:rsid w:val="000F2EF0"/>
    <w:rsid w:val="001008E5"/>
    <w:rsid w:val="00107BDE"/>
    <w:rsid w:val="00113779"/>
    <w:rsid w:val="00133800"/>
    <w:rsid w:val="0013793D"/>
    <w:rsid w:val="00177062"/>
    <w:rsid w:val="00197F68"/>
    <w:rsid w:val="001A3837"/>
    <w:rsid w:val="001A72AF"/>
    <w:rsid w:val="001B09C0"/>
    <w:rsid w:val="001D3CFB"/>
    <w:rsid w:val="001D4137"/>
    <w:rsid w:val="001F3D53"/>
    <w:rsid w:val="002213CC"/>
    <w:rsid w:val="00225F78"/>
    <w:rsid w:val="00241E5E"/>
    <w:rsid w:val="0025116B"/>
    <w:rsid w:val="002573FB"/>
    <w:rsid w:val="00292DCA"/>
    <w:rsid w:val="0029530E"/>
    <w:rsid w:val="00305224"/>
    <w:rsid w:val="00323F4F"/>
    <w:rsid w:val="00335517"/>
    <w:rsid w:val="00341B3D"/>
    <w:rsid w:val="00354FB9"/>
    <w:rsid w:val="00356D7B"/>
    <w:rsid w:val="003B2338"/>
    <w:rsid w:val="003D1E4D"/>
    <w:rsid w:val="00403786"/>
    <w:rsid w:val="004153CF"/>
    <w:rsid w:val="00435B45"/>
    <w:rsid w:val="00441968"/>
    <w:rsid w:val="00464AF0"/>
    <w:rsid w:val="004904F8"/>
    <w:rsid w:val="004A5C34"/>
    <w:rsid w:val="004B163B"/>
    <w:rsid w:val="004D05DB"/>
    <w:rsid w:val="004D17E7"/>
    <w:rsid w:val="004D4B48"/>
    <w:rsid w:val="0053434C"/>
    <w:rsid w:val="00547DD9"/>
    <w:rsid w:val="00583A6F"/>
    <w:rsid w:val="005842CE"/>
    <w:rsid w:val="005903A0"/>
    <w:rsid w:val="005A18B5"/>
    <w:rsid w:val="005C7F0E"/>
    <w:rsid w:val="005D0DA2"/>
    <w:rsid w:val="005D1DD5"/>
    <w:rsid w:val="005D7BAB"/>
    <w:rsid w:val="005E15DF"/>
    <w:rsid w:val="005F3D2F"/>
    <w:rsid w:val="00613AD4"/>
    <w:rsid w:val="00654975"/>
    <w:rsid w:val="00663359"/>
    <w:rsid w:val="006702E6"/>
    <w:rsid w:val="00674C75"/>
    <w:rsid w:val="0068184E"/>
    <w:rsid w:val="00682535"/>
    <w:rsid w:val="006A3B3B"/>
    <w:rsid w:val="006C692F"/>
    <w:rsid w:val="00725494"/>
    <w:rsid w:val="007303DE"/>
    <w:rsid w:val="007509DB"/>
    <w:rsid w:val="0075500C"/>
    <w:rsid w:val="00755D05"/>
    <w:rsid w:val="00757011"/>
    <w:rsid w:val="0075754A"/>
    <w:rsid w:val="00766BEF"/>
    <w:rsid w:val="007A080A"/>
    <w:rsid w:val="007C0825"/>
    <w:rsid w:val="007C0E87"/>
    <w:rsid w:val="007D3931"/>
    <w:rsid w:val="008360C0"/>
    <w:rsid w:val="00876792"/>
    <w:rsid w:val="008F2CDC"/>
    <w:rsid w:val="00914322"/>
    <w:rsid w:val="009165A1"/>
    <w:rsid w:val="00924690"/>
    <w:rsid w:val="0093680C"/>
    <w:rsid w:val="00947B68"/>
    <w:rsid w:val="0099112E"/>
    <w:rsid w:val="009A7DAC"/>
    <w:rsid w:val="009C0968"/>
    <w:rsid w:val="009E4139"/>
    <w:rsid w:val="009F0046"/>
    <w:rsid w:val="00A26263"/>
    <w:rsid w:val="00A47EC9"/>
    <w:rsid w:val="00A50222"/>
    <w:rsid w:val="00AA1209"/>
    <w:rsid w:val="00AA283E"/>
    <w:rsid w:val="00AC3036"/>
    <w:rsid w:val="00AD273F"/>
    <w:rsid w:val="00AE3F71"/>
    <w:rsid w:val="00AF2952"/>
    <w:rsid w:val="00B11BC0"/>
    <w:rsid w:val="00B1484C"/>
    <w:rsid w:val="00B256CB"/>
    <w:rsid w:val="00B25A2C"/>
    <w:rsid w:val="00B3586A"/>
    <w:rsid w:val="00B67363"/>
    <w:rsid w:val="00B83BB0"/>
    <w:rsid w:val="00B84838"/>
    <w:rsid w:val="00BF427D"/>
    <w:rsid w:val="00BF7E59"/>
    <w:rsid w:val="00C03454"/>
    <w:rsid w:val="00C12145"/>
    <w:rsid w:val="00C45657"/>
    <w:rsid w:val="00C51411"/>
    <w:rsid w:val="00CA7A3C"/>
    <w:rsid w:val="00CB6769"/>
    <w:rsid w:val="00CC18B7"/>
    <w:rsid w:val="00CC2705"/>
    <w:rsid w:val="00CD4123"/>
    <w:rsid w:val="00CE02F8"/>
    <w:rsid w:val="00D01393"/>
    <w:rsid w:val="00D0615D"/>
    <w:rsid w:val="00D14A73"/>
    <w:rsid w:val="00D20180"/>
    <w:rsid w:val="00D22F3B"/>
    <w:rsid w:val="00D4381A"/>
    <w:rsid w:val="00D84A9C"/>
    <w:rsid w:val="00DA4BE1"/>
    <w:rsid w:val="00DB7660"/>
    <w:rsid w:val="00DB7D87"/>
    <w:rsid w:val="00DD6F0B"/>
    <w:rsid w:val="00E008B1"/>
    <w:rsid w:val="00E03B15"/>
    <w:rsid w:val="00E11140"/>
    <w:rsid w:val="00E120C9"/>
    <w:rsid w:val="00E14D11"/>
    <w:rsid w:val="00E6575A"/>
    <w:rsid w:val="00E71835"/>
    <w:rsid w:val="00EA29E0"/>
    <w:rsid w:val="00EC23DF"/>
    <w:rsid w:val="00ED0E05"/>
    <w:rsid w:val="00ED7399"/>
    <w:rsid w:val="00EF43C2"/>
    <w:rsid w:val="00F037CD"/>
    <w:rsid w:val="00F172B3"/>
    <w:rsid w:val="00F24CC4"/>
    <w:rsid w:val="00F26AE6"/>
    <w:rsid w:val="00F40ACD"/>
    <w:rsid w:val="00F45B31"/>
    <w:rsid w:val="00F466BC"/>
    <w:rsid w:val="00F47F26"/>
    <w:rsid w:val="00F5177C"/>
    <w:rsid w:val="00F5196B"/>
    <w:rsid w:val="00F814F1"/>
    <w:rsid w:val="00FA554D"/>
    <w:rsid w:val="00FB68F8"/>
    <w:rsid w:val="00FC76C6"/>
    <w:rsid w:val="00FE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68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9C09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 Char"/>
    <w:basedOn w:val="Normal"/>
    <w:next w:val="Normal"/>
    <w:link w:val="Heading2Char"/>
    <w:qFormat/>
    <w:rsid w:val="009C09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B148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C0968"/>
    <w:pPr>
      <w:spacing w:before="100" w:beforeAutospacing="1" w:after="100" w:afterAutospacing="1"/>
    </w:pPr>
  </w:style>
  <w:style w:type="character" w:customStyle="1" w:styleId="Heading2Char">
    <w:name w:val="Heading 2 Char"/>
    <w:aliases w:val=" Char Char"/>
    <w:link w:val="Heading2"/>
    <w:rsid w:val="009C0968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paragraph" w:styleId="Header">
    <w:name w:val="header"/>
    <w:basedOn w:val="Normal"/>
    <w:rsid w:val="00B1484C"/>
    <w:pPr>
      <w:tabs>
        <w:tab w:val="center" w:pos="4703"/>
        <w:tab w:val="right" w:pos="9406"/>
      </w:tabs>
    </w:pPr>
    <w:rPr>
      <w:lang w:val="fr-FR" w:eastAsia="fr-FR"/>
    </w:rPr>
  </w:style>
  <w:style w:type="paragraph" w:styleId="BalloonText">
    <w:name w:val="Balloon Text"/>
    <w:basedOn w:val="Normal"/>
    <w:semiHidden/>
    <w:rsid w:val="00D01393"/>
    <w:rPr>
      <w:rFonts w:ascii="Tahoma" w:hAnsi="Tahoma" w:cs="Tahoma"/>
      <w:sz w:val="16"/>
      <w:szCs w:val="16"/>
    </w:rPr>
  </w:style>
  <w:style w:type="character" w:customStyle="1" w:styleId="oneclick-link">
    <w:name w:val="oneclick-link"/>
    <w:basedOn w:val="DefaultParagraphFont"/>
    <w:rsid w:val="00C03454"/>
  </w:style>
  <w:style w:type="character" w:customStyle="1" w:styleId="apple-converted-space">
    <w:name w:val="apple-converted-space"/>
    <w:basedOn w:val="DefaultParagraphFont"/>
    <w:rsid w:val="00C03454"/>
  </w:style>
  <w:style w:type="character" w:styleId="CommentReference">
    <w:name w:val="annotation reference"/>
    <w:rsid w:val="0025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73FB"/>
    <w:rPr>
      <w:sz w:val="20"/>
      <w:szCs w:val="20"/>
    </w:rPr>
  </w:style>
  <w:style w:type="character" w:customStyle="1" w:styleId="CommentTextChar">
    <w:name w:val="Comment Text Char"/>
    <w:link w:val="CommentText"/>
    <w:rsid w:val="002573FB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2573FB"/>
    <w:rPr>
      <w:b/>
      <w:bCs/>
    </w:rPr>
  </w:style>
  <w:style w:type="character" w:customStyle="1" w:styleId="CommentSubjectChar">
    <w:name w:val="Comment Subject Char"/>
    <w:link w:val="CommentSubject"/>
    <w:rsid w:val="002573FB"/>
    <w:rPr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E6575A"/>
    <w:pPr>
      <w:ind w:left="720"/>
    </w:pPr>
  </w:style>
  <w:style w:type="character" w:styleId="Hyperlink">
    <w:name w:val="Hyperlink"/>
    <w:uiPriority w:val="99"/>
    <w:unhideWhenUsed/>
    <w:rsid w:val="0040378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07B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7BDE"/>
    <w:rPr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63359"/>
    <w:rPr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CC18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18B7"/>
    <w:rPr>
      <w:lang w:val="en-GB" w:eastAsia="en-GB"/>
    </w:rPr>
  </w:style>
  <w:style w:type="character" w:styleId="FootnoteReference">
    <w:name w:val="footnote reference"/>
    <w:basedOn w:val="DefaultParagraphFont"/>
    <w:rsid w:val="00CC18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68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9C09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 Char"/>
    <w:basedOn w:val="Normal"/>
    <w:next w:val="Normal"/>
    <w:link w:val="Heading2Char"/>
    <w:qFormat/>
    <w:rsid w:val="009C09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B148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C0968"/>
    <w:pPr>
      <w:spacing w:before="100" w:beforeAutospacing="1" w:after="100" w:afterAutospacing="1"/>
    </w:pPr>
  </w:style>
  <w:style w:type="character" w:customStyle="1" w:styleId="Heading2Char">
    <w:name w:val="Heading 2 Char"/>
    <w:aliases w:val=" Char Char"/>
    <w:link w:val="Heading2"/>
    <w:rsid w:val="009C0968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paragraph" w:styleId="Header">
    <w:name w:val="header"/>
    <w:basedOn w:val="Normal"/>
    <w:rsid w:val="00B1484C"/>
    <w:pPr>
      <w:tabs>
        <w:tab w:val="center" w:pos="4703"/>
        <w:tab w:val="right" w:pos="9406"/>
      </w:tabs>
    </w:pPr>
    <w:rPr>
      <w:lang w:val="fr-FR" w:eastAsia="fr-FR"/>
    </w:rPr>
  </w:style>
  <w:style w:type="paragraph" w:styleId="BalloonText">
    <w:name w:val="Balloon Text"/>
    <w:basedOn w:val="Normal"/>
    <w:semiHidden/>
    <w:rsid w:val="00D01393"/>
    <w:rPr>
      <w:rFonts w:ascii="Tahoma" w:hAnsi="Tahoma" w:cs="Tahoma"/>
      <w:sz w:val="16"/>
      <w:szCs w:val="16"/>
    </w:rPr>
  </w:style>
  <w:style w:type="character" w:customStyle="1" w:styleId="oneclick-link">
    <w:name w:val="oneclick-link"/>
    <w:basedOn w:val="DefaultParagraphFont"/>
    <w:rsid w:val="00C03454"/>
  </w:style>
  <w:style w:type="character" w:customStyle="1" w:styleId="apple-converted-space">
    <w:name w:val="apple-converted-space"/>
    <w:basedOn w:val="DefaultParagraphFont"/>
    <w:rsid w:val="00C03454"/>
  </w:style>
  <w:style w:type="character" w:styleId="CommentReference">
    <w:name w:val="annotation reference"/>
    <w:rsid w:val="0025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73FB"/>
    <w:rPr>
      <w:sz w:val="20"/>
      <w:szCs w:val="20"/>
    </w:rPr>
  </w:style>
  <w:style w:type="character" w:customStyle="1" w:styleId="CommentTextChar">
    <w:name w:val="Comment Text Char"/>
    <w:link w:val="CommentText"/>
    <w:rsid w:val="002573FB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2573FB"/>
    <w:rPr>
      <w:b/>
      <w:bCs/>
    </w:rPr>
  </w:style>
  <w:style w:type="character" w:customStyle="1" w:styleId="CommentSubjectChar">
    <w:name w:val="Comment Subject Char"/>
    <w:link w:val="CommentSubject"/>
    <w:rsid w:val="002573FB"/>
    <w:rPr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E6575A"/>
    <w:pPr>
      <w:ind w:left="720"/>
    </w:pPr>
  </w:style>
  <w:style w:type="character" w:styleId="Hyperlink">
    <w:name w:val="Hyperlink"/>
    <w:uiPriority w:val="99"/>
    <w:unhideWhenUsed/>
    <w:rsid w:val="0040378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07B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7BDE"/>
    <w:rPr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63359"/>
    <w:rPr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CC18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18B7"/>
    <w:rPr>
      <w:lang w:val="en-GB" w:eastAsia="en-GB"/>
    </w:rPr>
  </w:style>
  <w:style w:type="character" w:styleId="FootnoteReference">
    <w:name w:val="footnote reference"/>
    <w:basedOn w:val="DefaultParagraphFont"/>
    <w:rsid w:val="00CC18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28BC23BD5344CBCA7430E2D39B155" ma:contentTypeVersion="1" ma:contentTypeDescription="Create a new document." ma:contentTypeScope="" ma:versionID="f8170835b184bb5c2c2f7b577ac7d1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9A671-A43E-472C-80D6-C6332D7E277A}"/>
</file>

<file path=customXml/itemProps2.xml><?xml version="1.0" encoding="utf-8"?>
<ds:datastoreItem xmlns:ds="http://schemas.openxmlformats.org/officeDocument/2006/customXml" ds:itemID="{868E0E83-BEAB-4162-B998-92E4C04B60D5}"/>
</file>

<file path=customXml/itemProps3.xml><?xml version="1.0" encoding="utf-8"?>
<ds:datastoreItem xmlns:ds="http://schemas.openxmlformats.org/officeDocument/2006/customXml" ds:itemID="{F235E542-5542-4406-861D-D497A647A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Complaints Procedure</vt:lpstr>
      <vt:lpstr>Complaints Procedure</vt:lpstr>
    </vt:vector>
  </TitlesOfParts>
  <Company>rura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Procedure</dc:title>
  <dc:creator>v.mukamurera</dc:creator>
  <cp:lastModifiedBy>umutoni-pc</cp:lastModifiedBy>
  <cp:revision>1</cp:revision>
  <cp:lastPrinted>2008-05-12T06:11:00Z</cp:lastPrinted>
  <dcterms:created xsi:type="dcterms:W3CDTF">2015-11-18T13:50:00Z</dcterms:created>
  <dcterms:modified xsi:type="dcterms:W3CDTF">2015-11-18T13:50:00Z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0x0101001B328BC23BD5344CBCA7430E2D39B155</vt:lpwstr>
  </property>
</Properties>
</file>