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33" w:rsidRPr="00927833" w:rsidRDefault="00927833" w:rsidP="00927833">
      <w:pPr>
        <w:pStyle w:val="NormalWeb"/>
        <w:shd w:val="clear" w:color="auto" w:fill="FFFFFF"/>
        <w:spacing w:line="360" w:lineRule="auto"/>
        <w:jc w:val="center"/>
        <w:rPr>
          <w:rStyle w:val="Strong"/>
          <w:rFonts w:ascii="Trebuchet MS" w:hAnsi="Trebuchet MS"/>
          <w:color w:val="000000"/>
          <w:sz w:val="22"/>
          <w:szCs w:val="22"/>
          <w:lang w:eastAsia="en-US"/>
        </w:rPr>
      </w:pPr>
      <w:bookmarkStart w:id="0" w:name="_GoBack"/>
      <w:bookmarkEnd w:id="0"/>
      <w:r w:rsidRPr="00927833">
        <w:rPr>
          <w:rStyle w:val="Strong"/>
          <w:rFonts w:ascii="Trebuchet MS" w:hAnsi="Trebuchet MS"/>
          <w:color w:val="000000"/>
          <w:sz w:val="22"/>
          <w:szCs w:val="22"/>
          <w:lang w:eastAsia="en-US"/>
        </w:rPr>
        <w:t>Forum on Internet of Things: Empowering the New Urban Agenda</w:t>
      </w:r>
      <w:r w:rsidRPr="00927833">
        <w:rPr>
          <w:rFonts w:ascii="Trebuchet MS" w:hAnsi="Trebuchet MS"/>
          <w:b/>
          <w:bCs/>
          <w:color w:val="000000"/>
          <w:sz w:val="22"/>
          <w:szCs w:val="22"/>
          <w:lang w:eastAsia="en-US"/>
        </w:rPr>
        <w:br/>
      </w:r>
      <w:r w:rsidRPr="00927833">
        <w:rPr>
          <w:rStyle w:val="Strong"/>
          <w:rFonts w:ascii="Trebuchet MS" w:hAnsi="Trebuchet MS"/>
          <w:color w:val="000000"/>
          <w:sz w:val="22"/>
          <w:szCs w:val="22"/>
          <w:lang w:eastAsia="en-US"/>
        </w:rPr>
        <w:t xml:space="preserve">Geneva, Switzerland </w:t>
      </w:r>
    </w:p>
    <w:p w:rsidR="00927833" w:rsidRPr="00927833" w:rsidRDefault="00927833" w:rsidP="00927833">
      <w:pPr>
        <w:pStyle w:val="NormalWeb"/>
        <w:shd w:val="clear" w:color="auto" w:fill="FFFFFF"/>
        <w:spacing w:line="360" w:lineRule="auto"/>
        <w:jc w:val="center"/>
        <w:rPr>
          <w:rStyle w:val="Strong"/>
          <w:rFonts w:ascii="Trebuchet MS" w:hAnsi="Trebuchet MS"/>
          <w:color w:val="000000"/>
          <w:sz w:val="22"/>
          <w:szCs w:val="22"/>
          <w:lang w:eastAsia="en-US"/>
        </w:rPr>
      </w:pPr>
      <w:r w:rsidRPr="00927833">
        <w:rPr>
          <w:rStyle w:val="Strong"/>
          <w:rFonts w:ascii="Trebuchet MS" w:hAnsi="Trebuchet MS"/>
          <w:color w:val="000000"/>
          <w:sz w:val="22"/>
          <w:szCs w:val="22"/>
          <w:lang w:eastAsia="en-US"/>
        </w:rPr>
        <w:t>19 October 2015</w:t>
      </w:r>
    </w:p>
    <w:p w:rsidR="00927833" w:rsidRPr="00927833" w:rsidRDefault="00927833" w:rsidP="00927833">
      <w:pPr>
        <w:pStyle w:val="NormalWeb"/>
        <w:shd w:val="clear" w:color="auto" w:fill="FFFFFF"/>
        <w:spacing w:line="360" w:lineRule="auto"/>
        <w:jc w:val="center"/>
        <w:rPr>
          <w:rStyle w:val="Strong"/>
          <w:rFonts w:ascii="Trebuchet MS" w:hAnsi="Trebuchet MS"/>
          <w:color w:val="000000"/>
          <w:sz w:val="22"/>
          <w:szCs w:val="22"/>
          <w:lang w:eastAsia="en-US"/>
        </w:rPr>
      </w:pPr>
    </w:p>
    <w:p w:rsidR="00927833" w:rsidRPr="00927833" w:rsidRDefault="00927833" w:rsidP="00927833">
      <w:pPr>
        <w:pStyle w:val="NormalWeb"/>
        <w:shd w:val="clear" w:color="auto" w:fill="FFFFFF"/>
        <w:spacing w:line="360" w:lineRule="auto"/>
        <w:jc w:val="center"/>
        <w:rPr>
          <w:rStyle w:val="Strong"/>
          <w:rFonts w:ascii="Trebuchet MS" w:hAnsi="Trebuchet MS"/>
          <w:color w:val="000000"/>
          <w:sz w:val="20"/>
          <w:szCs w:val="20"/>
          <w:lang w:eastAsia="en-US"/>
        </w:rPr>
      </w:pPr>
      <w:r w:rsidRPr="00927833">
        <w:rPr>
          <w:rStyle w:val="Strong"/>
          <w:rFonts w:ascii="Trebuchet MS" w:hAnsi="Trebuchet MS"/>
          <w:color w:val="000000"/>
          <w:sz w:val="20"/>
          <w:szCs w:val="20"/>
          <w:lang w:eastAsia="en-US"/>
        </w:rPr>
        <w:t xml:space="preserve">Abstract by: </w:t>
      </w:r>
      <w:r w:rsidRPr="00927833">
        <w:rPr>
          <w:rFonts w:ascii="Trebuchet MS" w:hAnsi="Trebuchet MS"/>
          <w:b/>
          <w:bCs/>
          <w:color w:val="000000"/>
          <w:sz w:val="20"/>
          <w:szCs w:val="20"/>
          <w:lang w:eastAsia="en-US"/>
        </w:rPr>
        <w:br/>
      </w:r>
      <w:r w:rsidRPr="00927833">
        <w:rPr>
          <w:rFonts w:ascii="Trebuchet MS" w:hAnsi="Trebuchet MS"/>
          <w:b/>
          <w:bCs/>
          <w:color w:val="000000"/>
          <w:sz w:val="20"/>
          <w:szCs w:val="20"/>
        </w:rPr>
        <w:t>Gulnara Roll</w:t>
      </w:r>
      <w:r w:rsidR="008D52E6">
        <w:rPr>
          <w:rFonts w:ascii="Trebuchet MS" w:hAnsi="Trebuchet MS"/>
          <w:b/>
          <w:bCs/>
          <w:color w:val="000000"/>
          <w:sz w:val="20"/>
          <w:szCs w:val="20"/>
        </w:rPr>
        <w:t xml:space="preserve">, Head, UNECE Housing and Land Management Unit </w:t>
      </w:r>
    </w:p>
    <w:p w:rsidR="00927833" w:rsidRPr="008D52E6" w:rsidRDefault="00927833" w:rsidP="00F31ECA">
      <w:pPr>
        <w:rPr>
          <w:rFonts w:ascii="Trebuchet MS" w:hAnsi="Trebuchet MS"/>
          <w:b/>
          <w:sz w:val="20"/>
          <w:szCs w:val="20"/>
          <w:lang w:val="en-US"/>
        </w:rPr>
      </w:pPr>
    </w:p>
    <w:p w:rsidR="0095536E" w:rsidRPr="00927833" w:rsidRDefault="00811587" w:rsidP="00F31ECA">
      <w:pPr>
        <w:rPr>
          <w:rFonts w:ascii="Trebuchet MS" w:hAnsi="Trebuchet MS"/>
          <w:b/>
          <w:sz w:val="20"/>
          <w:szCs w:val="20"/>
        </w:rPr>
      </w:pPr>
      <w:r w:rsidRPr="00927833">
        <w:rPr>
          <w:rFonts w:ascii="Trebuchet MS" w:hAnsi="Trebuchet MS"/>
          <w:b/>
          <w:sz w:val="20"/>
          <w:szCs w:val="20"/>
        </w:rPr>
        <w:t xml:space="preserve">Promoting sustainable urban development through the </w:t>
      </w:r>
      <w:r w:rsidR="00927833">
        <w:rPr>
          <w:rFonts w:ascii="Trebuchet MS" w:hAnsi="Trebuchet MS"/>
          <w:b/>
          <w:sz w:val="20"/>
          <w:szCs w:val="20"/>
        </w:rPr>
        <w:t xml:space="preserve">UNECE/ITU </w:t>
      </w:r>
      <w:r w:rsidR="0095536E" w:rsidRPr="00927833">
        <w:rPr>
          <w:rFonts w:ascii="Trebuchet MS" w:hAnsi="Trebuchet MS"/>
          <w:b/>
          <w:sz w:val="20"/>
          <w:szCs w:val="20"/>
        </w:rPr>
        <w:t xml:space="preserve">Smart </w:t>
      </w:r>
      <w:r w:rsidRPr="00927833">
        <w:rPr>
          <w:rFonts w:ascii="Trebuchet MS" w:hAnsi="Trebuchet MS"/>
          <w:b/>
          <w:sz w:val="20"/>
          <w:szCs w:val="20"/>
        </w:rPr>
        <w:t xml:space="preserve">Sustainable </w:t>
      </w:r>
      <w:r w:rsidR="0095536E" w:rsidRPr="00927833">
        <w:rPr>
          <w:rFonts w:ascii="Trebuchet MS" w:hAnsi="Trebuchet MS"/>
          <w:b/>
          <w:sz w:val="20"/>
          <w:szCs w:val="20"/>
        </w:rPr>
        <w:t>City Indicators</w:t>
      </w:r>
      <w:r w:rsidRPr="00927833">
        <w:rPr>
          <w:rFonts w:ascii="Trebuchet MS" w:hAnsi="Trebuchet MS"/>
          <w:b/>
          <w:sz w:val="20"/>
          <w:szCs w:val="20"/>
        </w:rPr>
        <w:t xml:space="preserve"> </w:t>
      </w:r>
    </w:p>
    <w:p w:rsidR="00DD5FFA" w:rsidRDefault="00F31ECA" w:rsidP="00811587">
      <w:pPr>
        <w:jc w:val="both"/>
        <w:rPr>
          <w:rFonts w:ascii="Trebuchet MS" w:hAnsi="Trebuchet MS"/>
          <w:sz w:val="20"/>
          <w:szCs w:val="20"/>
        </w:rPr>
      </w:pPr>
      <w:r w:rsidRPr="00927833">
        <w:rPr>
          <w:rFonts w:ascii="Trebuchet MS" w:hAnsi="Trebuchet MS"/>
          <w:sz w:val="20"/>
          <w:szCs w:val="20"/>
        </w:rPr>
        <w:t xml:space="preserve">Housing </w:t>
      </w:r>
      <w:r w:rsidR="00811587" w:rsidRPr="00927833">
        <w:rPr>
          <w:rFonts w:ascii="Trebuchet MS" w:hAnsi="Trebuchet MS"/>
          <w:sz w:val="20"/>
          <w:szCs w:val="20"/>
        </w:rPr>
        <w:t xml:space="preserve">and urban environment </w:t>
      </w:r>
      <w:r w:rsidRPr="00927833">
        <w:rPr>
          <w:rFonts w:ascii="Trebuchet MS" w:hAnsi="Trebuchet MS"/>
          <w:sz w:val="20"/>
          <w:szCs w:val="20"/>
        </w:rPr>
        <w:t xml:space="preserve">conditions have a direct effect on the physical and mental health of the population. Poor housing and indoor environments cause, or contribute to, many preventable diseases. A degraded urban environment, with air and noise pollution and a lack of green and public spaces and mobility options, poses health risks. </w:t>
      </w:r>
    </w:p>
    <w:p w:rsidR="00610748" w:rsidRPr="00927833" w:rsidRDefault="00F31ECA" w:rsidP="00811587">
      <w:pPr>
        <w:jc w:val="both"/>
        <w:rPr>
          <w:rFonts w:ascii="Trebuchet MS" w:hAnsi="Trebuchet MS"/>
          <w:sz w:val="20"/>
          <w:szCs w:val="20"/>
        </w:rPr>
      </w:pPr>
      <w:r w:rsidRPr="00927833">
        <w:rPr>
          <w:rFonts w:ascii="Trebuchet MS" w:hAnsi="Trebuchet MS"/>
          <w:sz w:val="20"/>
          <w:szCs w:val="20"/>
        </w:rPr>
        <w:t xml:space="preserve">Building smart homes and smart cities therefore should </w:t>
      </w:r>
      <w:r w:rsidR="008D52E6">
        <w:rPr>
          <w:rFonts w:ascii="Trebuchet MS" w:hAnsi="Trebuchet MS"/>
          <w:sz w:val="20"/>
          <w:szCs w:val="20"/>
        </w:rPr>
        <w:t xml:space="preserve">aim </w:t>
      </w:r>
      <w:r w:rsidR="00181CF9">
        <w:rPr>
          <w:rFonts w:ascii="Trebuchet MS" w:hAnsi="Trebuchet MS"/>
          <w:sz w:val="20"/>
          <w:szCs w:val="20"/>
        </w:rPr>
        <w:t xml:space="preserve">most importantly </w:t>
      </w:r>
      <w:r w:rsidR="008D52E6">
        <w:rPr>
          <w:rFonts w:ascii="Trebuchet MS" w:hAnsi="Trebuchet MS"/>
          <w:sz w:val="20"/>
          <w:szCs w:val="20"/>
        </w:rPr>
        <w:t xml:space="preserve">at </w:t>
      </w:r>
      <w:r w:rsidR="00181CF9">
        <w:rPr>
          <w:rFonts w:ascii="Trebuchet MS" w:hAnsi="Trebuchet MS"/>
          <w:sz w:val="20"/>
          <w:szCs w:val="20"/>
        </w:rPr>
        <w:t>support</w:t>
      </w:r>
      <w:r w:rsidR="008D52E6">
        <w:rPr>
          <w:rFonts w:ascii="Trebuchet MS" w:hAnsi="Trebuchet MS"/>
          <w:sz w:val="20"/>
          <w:szCs w:val="20"/>
        </w:rPr>
        <w:t>ing</w:t>
      </w:r>
      <w:r w:rsidR="00181CF9">
        <w:rPr>
          <w:rFonts w:ascii="Trebuchet MS" w:hAnsi="Trebuchet MS"/>
          <w:sz w:val="20"/>
          <w:szCs w:val="20"/>
        </w:rPr>
        <w:t xml:space="preserve"> </w:t>
      </w:r>
      <w:r w:rsidRPr="00927833">
        <w:rPr>
          <w:rFonts w:ascii="Trebuchet MS" w:hAnsi="Trebuchet MS"/>
          <w:sz w:val="20"/>
          <w:szCs w:val="20"/>
        </w:rPr>
        <w:t xml:space="preserve">the improvement of the quality of human life. </w:t>
      </w:r>
      <w:r w:rsidR="00667F4E" w:rsidRPr="00927833">
        <w:rPr>
          <w:rFonts w:ascii="Trebuchet MS" w:hAnsi="Trebuchet MS"/>
          <w:sz w:val="20"/>
          <w:szCs w:val="20"/>
        </w:rPr>
        <w:t xml:space="preserve">To ensure the quality of life </w:t>
      </w:r>
      <w:r w:rsidR="00181CF9">
        <w:rPr>
          <w:rFonts w:ascii="Trebuchet MS" w:hAnsi="Trebuchet MS"/>
          <w:sz w:val="20"/>
          <w:szCs w:val="20"/>
        </w:rPr>
        <w:t xml:space="preserve">of the population </w:t>
      </w:r>
      <w:r w:rsidR="00667F4E" w:rsidRPr="00927833">
        <w:rPr>
          <w:rFonts w:ascii="Trebuchet MS" w:hAnsi="Trebuchet MS"/>
          <w:sz w:val="20"/>
          <w:szCs w:val="20"/>
        </w:rPr>
        <w:t xml:space="preserve">and </w:t>
      </w:r>
      <w:r w:rsidR="003D4255">
        <w:rPr>
          <w:rFonts w:ascii="Trebuchet MS" w:hAnsi="Trebuchet MS"/>
          <w:sz w:val="20"/>
          <w:szCs w:val="20"/>
        </w:rPr>
        <w:t xml:space="preserve">to </w:t>
      </w:r>
      <w:r w:rsidR="00667F4E" w:rsidRPr="00927833">
        <w:rPr>
          <w:rFonts w:ascii="Trebuchet MS" w:hAnsi="Trebuchet MS"/>
          <w:sz w:val="20"/>
          <w:szCs w:val="20"/>
        </w:rPr>
        <w:t xml:space="preserve">promote long-term sustainability of cities, </w:t>
      </w:r>
      <w:r w:rsidR="00610748" w:rsidRPr="00927833">
        <w:rPr>
          <w:rFonts w:ascii="Trebuchet MS" w:hAnsi="Trebuchet MS"/>
          <w:sz w:val="20"/>
          <w:szCs w:val="20"/>
        </w:rPr>
        <w:t>governments and stakeholders should make every effort to apply an integrated approach</w:t>
      </w:r>
      <w:r w:rsidR="008D52E6">
        <w:rPr>
          <w:rFonts w:ascii="Trebuchet MS" w:hAnsi="Trebuchet MS"/>
          <w:sz w:val="20"/>
          <w:szCs w:val="20"/>
        </w:rPr>
        <w:t xml:space="preserve"> in planning smart cities</w:t>
      </w:r>
      <w:r w:rsidR="00610748" w:rsidRPr="00927833">
        <w:rPr>
          <w:rFonts w:ascii="Trebuchet MS" w:hAnsi="Trebuchet MS"/>
          <w:sz w:val="20"/>
          <w:szCs w:val="20"/>
        </w:rPr>
        <w:t xml:space="preserve">, taking into account </w:t>
      </w:r>
      <w:r w:rsidRPr="00927833">
        <w:rPr>
          <w:rFonts w:ascii="Trebuchet MS" w:hAnsi="Trebuchet MS"/>
          <w:sz w:val="20"/>
          <w:szCs w:val="20"/>
        </w:rPr>
        <w:t xml:space="preserve">principles of: </w:t>
      </w:r>
      <w:r w:rsidR="00610748" w:rsidRPr="00927833">
        <w:rPr>
          <w:rFonts w:ascii="Trebuchet MS" w:hAnsi="Trebuchet MS"/>
          <w:sz w:val="20"/>
          <w:szCs w:val="20"/>
        </w:rPr>
        <w:t>e</w:t>
      </w:r>
      <w:r w:rsidRPr="00927833">
        <w:rPr>
          <w:rFonts w:ascii="Trebuchet MS" w:hAnsi="Trebuchet MS"/>
          <w:sz w:val="20"/>
          <w:szCs w:val="20"/>
        </w:rPr>
        <w:t>nvironmental protection; economic effectiveness; social inclusion and participation; and cultural adequacy</w:t>
      </w:r>
      <w:r w:rsidR="00DD5FFA">
        <w:rPr>
          <w:rFonts w:ascii="Trebuchet MS" w:hAnsi="Trebuchet MS"/>
          <w:sz w:val="20"/>
          <w:szCs w:val="20"/>
        </w:rPr>
        <w:t xml:space="preserve"> (</w:t>
      </w:r>
      <w:r w:rsidR="003D4255">
        <w:rPr>
          <w:rFonts w:ascii="Trebuchet MS" w:hAnsi="Trebuchet MS"/>
          <w:sz w:val="20"/>
          <w:szCs w:val="20"/>
        </w:rPr>
        <w:t xml:space="preserve">see more on the principles in </w:t>
      </w:r>
      <w:hyperlink r:id="rId5" w:history="1">
        <w:r w:rsidR="00DD5FFA" w:rsidRPr="00DD5FFA">
          <w:rPr>
            <w:rStyle w:val="Hyperlink"/>
            <w:rFonts w:ascii="Trebuchet MS" w:hAnsi="Trebuchet MS"/>
            <w:sz w:val="20"/>
            <w:szCs w:val="20"/>
          </w:rPr>
          <w:t>Geneva UN Charter on Sustainable Housing</w:t>
        </w:r>
      </w:hyperlink>
      <w:r w:rsidR="00DD5FFA">
        <w:rPr>
          <w:rFonts w:ascii="Trebuchet MS" w:hAnsi="Trebuchet MS"/>
          <w:sz w:val="20"/>
          <w:szCs w:val="20"/>
        </w:rPr>
        <w:t>, 2015)</w:t>
      </w:r>
      <w:r w:rsidR="00610748" w:rsidRPr="00927833">
        <w:rPr>
          <w:rFonts w:ascii="Trebuchet MS" w:hAnsi="Trebuchet MS"/>
          <w:sz w:val="20"/>
          <w:szCs w:val="20"/>
        </w:rPr>
        <w:t xml:space="preserve">. </w:t>
      </w:r>
    </w:p>
    <w:p w:rsidR="00667F4E" w:rsidRPr="00927833" w:rsidRDefault="00610748" w:rsidP="00811587">
      <w:pPr>
        <w:jc w:val="both"/>
        <w:rPr>
          <w:rFonts w:ascii="Trebuchet MS" w:hAnsi="Trebuchet MS"/>
          <w:sz w:val="20"/>
          <w:szCs w:val="20"/>
        </w:rPr>
      </w:pPr>
      <w:r w:rsidRPr="00927833">
        <w:rPr>
          <w:rFonts w:ascii="Trebuchet MS" w:hAnsi="Trebuchet MS"/>
          <w:sz w:val="20"/>
          <w:szCs w:val="20"/>
        </w:rPr>
        <w:t xml:space="preserve">The United Nations Economic Commission for Europe </w:t>
      </w:r>
      <w:r w:rsidR="00811587" w:rsidRPr="00927833">
        <w:rPr>
          <w:rFonts w:ascii="Trebuchet MS" w:hAnsi="Trebuchet MS"/>
          <w:sz w:val="20"/>
          <w:szCs w:val="20"/>
        </w:rPr>
        <w:t xml:space="preserve">and </w:t>
      </w:r>
      <w:r w:rsidRPr="00927833">
        <w:rPr>
          <w:rFonts w:ascii="Trebuchet MS" w:hAnsi="Trebuchet MS"/>
          <w:sz w:val="20"/>
          <w:szCs w:val="20"/>
        </w:rPr>
        <w:t>the International Telecommunication Union</w:t>
      </w:r>
      <w:r w:rsidR="00811587" w:rsidRPr="00927833">
        <w:rPr>
          <w:rFonts w:ascii="Trebuchet MS" w:hAnsi="Trebuchet MS"/>
          <w:sz w:val="20"/>
          <w:szCs w:val="20"/>
        </w:rPr>
        <w:t xml:space="preserve"> in cooperation with the Environment Agency Austria and other organisations</w:t>
      </w:r>
      <w:r w:rsidRPr="00927833">
        <w:rPr>
          <w:rFonts w:ascii="Trebuchet MS" w:hAnsi="Trebuchet MS"/>
          <w:sz w:val="20"/>
          <w:szCs w:val="20"/>
        </w:rPr>
        <w:t xml:space="preserve"> </w:t>
      </w:r>
      <w:r w:rsidR="00811587" w:rsidRPr="00927833">
        <w:rPr>
          <w:rFonts w:ascii="Trebuchet MS" w:hAnsi="Trebuchet MS"/>
          <w:sz w:val="20"/>
          <w:szCs w:val="20"/>
        </w:rPr>
        <w:t xml:space="preserve">elaborated </w:t>
      </w:r>
      <w:proofErr w:type="gramStart"/>
      <w:r w:rsidRPr="00927833">
        <w:rPr>
          <w:rFonts w:ascii="Trebuchet MS" w:hAnsi="Trebuchet MS"/>
          <w:b/>
          <w:sz w:val="20"/>
          <w:szCs w:val="20"/>
        </w:rPr>
        <w:t>Smart Sustainable Cities</w:t>
      </w:r>
      <w:proofErr w:type="gramEnd"/>
      <w:r w:rsidRPr="00927833">
        <w:rPr>
          <w:rFonts w:ascii="Trebuchet MS" w:hAnsi="Trebuchet MS"/>
          <w:b/>
          <w:sz w:val="20"/>
          <w:szCs w:val="20"/>
        </w:rPr>
        <w:t xml:space="preserve"> indicators</w:t>
      </w:r>
      <w:r w:rsidRPr="00927833">
        <w:rPr>
          <w:rFonts w:ascii="Trebuchet MS" w:hAnsi="Trebuchet MS"/>
          <w:sz w:val="20"/>
          <w:szCs w:val="20"/>
        </w:rPr>
        <w:t>, which are based on</w:t>
      </w:r>
      <w:r w:rsidR="00181CF9">
        <w:rPr>
          <w:rFonts w:ascii="Trebuchet MS" w:hAnsi="Trebuchet MS"/>
          <w:sz w:val="20"/>
          <w:szCs w:val="20"/>
        </w:rPr>
        <w:t xml:space="preserve"> the integrated approach</w:t>
      </w:r>
      <w:r w:rsidRPr="00927833">
        <w:rPr>
          <w:rFonts w:ascii="Trebuchet MS" w:hAnsi="Trebuchet MS"/>
          <w:sz w:val="20"/>
          <w:szCs w:val="20"/>
        </w:rPr>
        <w:t xml:space="preserve">. </w:t>
      </w:r>
    </w:p>
    <w:p w:rsidR="00DD5FFA" w:rsidRDefault="00667F4E" w:rsidP="00DD5FFA">
      <w:pPr>
        <w:pStyle w:val="SingleTxtG"/>
        <w:ind w:left="0" w:right="0"/>
        <w:rPr>
          <w:rFonts w:ascii="Trebuchet MS" w:hAnsi="Trebuchet MS"/>
          <w:lang w:val="en-US"/>
        </w:rPr>
      </w:pPr>
      <w:r w:rsidRPr="00927833">
        <w:rPr>
          <w:rFonts w:ascii="Trebuchet MS" w:hAnsi="Trebuchet MS"/>
        </w:rPr>
        <w:t xml:space="preserve">The indicators were developed as a tool to evaluate </w:t>
      </w:r>
      <w:r w:rsidR="003D4255">
        <w:rPr>
          <w:rFonts w:ascii="Trebuchet MS" w:hAnsi="Trebuchet MS"/>
        </w:rPr>
        <w:t xml:space="preserve">in a comprehensive manner </w:t>
      </w:r>
      <w:r w:rsidR="00927833">
        <w:rPr>
          <w:rFonts w:ascii="Trebuchet MS" w:hAnsi="Trebuchet MS"/>
        </w:rPr>
        <w:t xml:space="preserve">the status of </w:t>
      </w:r>
      <w:r w:rsidRPr="00927833">
        <w:rPr>
          <w:rFonts w:ascii="Trebuchet MS" w:hAnsi="Trebuchet MS"/>
        </w:rPr>
        <w:t>a city</w:t>
      </w:r>
      <w:r w:rsidR="00181CF9">
        <w:rPr>
          <w:rFonts w:ascii="Trebuchet MS" w:hAnsi="Trebuchet MS"/>
        </w:rPr>
        <w:t xml:space="preserve">, </w:t>
      </w:r>
      <w:r w:rsidR="00811587" w:rsidRPr="00927833">
        <w:rPr>
          <w:rFonts w:ascii="Trebuchet MS" w:hAnsi="Trebuchet MS"/>
          <w:lang w:val="en-US"/>
        </w:rPr>
        <w:t xml:space="preserve">assess </w:t>
      </w:r>
      <w:r w:rsidR="00181CF9">
        <w:rPr>
          <w:rFonts w:ascii="Trebuchet MS" w:hAnsi="Trebuchet MS"/>
          <w:lang w:val="en-US"/>
        </w:rPr>
        <w:t xml:space="preserve">its </w:t>
      </w:r>
      <w:r w:rsidR="00811587" w:rsidRPr="00927833">
        <w:rPr>
          <w:rFonts w:ascii="Trebuchet MS" w:hAnsi="Trebuchet MS"/>
          <w:lang w:val="en-US"/>
        </w:rPr>
        <w:t xml:space="preserve">strengths and </w:t>
      </w:r>
      <w:r w:rsidR="00811587" w:rsidRPr="00927833">
        <w:rPr>
          <w:rFonts w:ascii="Trebuchet MS" w:hAnsi="Trebuchet MS"/>
        </w:rPr>
        <w:t>weaknesses</w:t>
      </w:r>
      <w:r w:rsidR="00181CF9">
        <w:rPr>
          <w:rFonts w:ascii="Trebuchet MS" w:hAnsi="Trebuchet MS"/>
          <w:lang w:val="en-US"/>
        </w:rPr>
        <w:t>, set priorities for actions</w:t>
      </w:r>
      <w:r w:rsidR="00811587" w:rsidRPr="00927833">
        <w:rPr>
          <w:rFonts w:ascii="Trebuchet MS" w:hAnsi="Trebuchet MS"/>
          <w:lang w:val="en-US"/>
        </w:rPr>
        <w:t xml:space="preserve"> and define measures to address them. </w:t>
      </w:r>
      <w:r w:rsidR="00181CF9">
        <w:rPr>
          <w:rFonts w:ascii="Trebuchet MS" w:hAnsi="Trebuchet MS"/>
          <w:lang w:val="en-US"/>
        </w:rPr>
        <w:t xml:space="preserve">The </w:t>
      </w:r>
      <w:r w:rsidR="00811587" w:rsidRPr="00927833">
        <w:rPr>
          <w:rFonts w:ascii="Trebuchet MS" w:hAnsi="Trebuchet MS"/>
          <w:lang w:val="en-US"/>
        </w:rPr>
        <w:t xml:space="preserve">indicators can also be seen as a good monitoring tool to evaluate the changes in the city’s performance over a certain period of time and after several actions have been implemented. </w:t>
      </w:r>
    </w:p>
    <w:p w:rsidR="00181CF9" w:rsidRPr="00927833" w:rsidRDefault="00181CF9" w:rsidP="00181CF9">
      <w:pPr>
        <w:pStyle w:val="SingleTxtG"/>
        <w:ind w:left="0" w:right="0"/>
        <w:rPr>
          <w:rFonts w:ascii="Trebuchet MS" w:hAnsi="Trebuchet MS"/>
          <w:lang w:val="en-US"/>
        </w:rPr>
      </w:pPr>
      <w:r w:rsidRPr="00927833">
        <w:rPr>
          <w:rFonts w:ascii="Trebuchet MS" w:hAnsi="Trebuchet MS"/>
        </w:rPr>
        <w:t xml:space="preserve">These </w:t>
      </w:r>
      <w:r>
        <w:rPr>
          <w:rFonts w:ascii="Trebuchet MS" w:hAnsi="Trebuchet MS"/>
        </w:rPr>
        <w:t>Smart Sustainable City I</w:t>
      </w:r>
      <w:r w:rsidRPr="00927833">
        <w:rPr>
          <w:rFonts w:ascii="Trebuchet MS" w:hAnsi="Trebuchet MS"/>
        </w:rPr>
        <w:t>ndicators have already reflected the content of the Sustainable Development Goals (SDGs), which were approved in September 2015 by the United Nations General Assembly. Therefore, the UNECE</w:t>
      </w:r>
      <w:r>
        <w:rPr>
          <w:rFonts w:ascii="Trebuchet MS" w:hAnsi="Trebuchet MS"/>
        </w:rPr>
        <w:t>/I</w:t>
      </w:r>
      <w:r w:rsidRPr="00927833">
        <w:rPr>
          <w:rFonts w:ascii="Trebuchet MS" w:hAnsi="Trebuchet MS"/>
        </w:rPr>
        <w:t xml:space="preserve">TU Smart Sustainable Cities Indicators will help cities to evaluate their performance against the SDGs. </w:t>
      </w:r>
      <w:r w:rsidRPr="00927833">
        <w:rPr>
          <w:rFonts w:ascii="Trebuchet MS" w:hAnsi="Trebuchet MS"/>
          <w:lang w:val="en-US"/>
        </w:rPr>
        <w:t xml:space="preserve">These indicators are expected to be used to </w:t>
      </w:r>
      <w:r>
        <w:rPr>
          <w:rFonts w:ascii="Trebuchet MS" w:hAnsi="Trebuchet MS"/>
          <w:lang w:val="en-US"/>
        </w:rPr>
        <w:t xml:space="preserve">develop </w:t>
      </w:r>
      <w:r w:rsidRPr="00927833">
        <w:rPr>
          <w:rFonts w:ascii="Trebuchet MS" w:hAnsi="Trebuchet MS"/>
          <w:lang w:val="en-US"/>
        </w:rPr>
        <w:t xml:space="preserve">cities’ profiles and support cities in improving their sustainable development. </w:t>
      </w:r>
    </w:p>
    <w:p w:rsidR="00676101" w:rsidRPr="003D4255" w:rsidRDefault="00064006" w:rsidP="00DD5FFA">
      <w:pPr>
        <w:pStyle w:val="SingleTxtG"/>
        <w:ind w:left="0" w:right="0"/>
        <w:rPr>
          <w:rFonts w:ascii="Trebuchet MS" w:hAnsi="Trebuchet MS"/>
        </w:rPr>
      </w:pPr>
      <w:r w:rsidRPr="003D4255">
        <w:rPr>
          <w:rFonts w:ascii="Trebuchet MS" w:hAnsi="Trebuchet MS"/>
          <w:lang w:val="en-US"/>
        </w:rPr>
        <w:t>The</w:t>
      </w:r>
      <w:r w:rsidR="00181CF9">
        <w:rPr>
          <w:rFonts w:ascii="Trebuchet MS" w:hAnsi="Trebuchet MS"/>
          <w:lang w:val="en-US"/>
        </w:rPr>
        <w:t xml:space="preserve"> future </w:t>
      </w:r>
      <w:r w:rsidRPr="003D4255">
        <w:rPr>
          <w:rFonts w:ascii="Trebuchet MS" w:hAnsi="Trebuchet MS"/>
          <w:lang w:val="en-US"/>
        </w:rPr>
        <w:t xml:space="preserve">application of the </w:t>
      </w:r>
      <w:r w:rsidR="00DD5FFA" w:rsidRPr="003D4255">
        <w:rPr>
          <w:rFonts w:ascii="Trebuchet MS" w:hAnsi="Trebuchet MS"/>
          <w:lang w:val="en-US"/>
        </w:rPr>
        <w:t xml:space="preserve">UNECE/ITU </w:t>
      </w:r>
      <w:r w:rsidRPr="003D4255">
        <w:rPr>
          <w:rFonts w:ascii="Trebuchet MS" w:hAnsi="Trebuchet MS"/>
          <w:lang w:val="en-US"/>
        </w:rPr>
        <w:t xml:space="preserve">Smart Sustainable City indicators will </w:t>
      </w:r>
      <w:r w:rsidR="00DD5FFA" w:rsidRPr="003D4255">
        <w:rPr>
          <w:rFonts w:ascii="Trebuchet MS" w:hAnsi="Trebuchet MS"/>
        </w:rPr>
        <w:t>promote the implementation of important UN policy documents, including the Geneva UN Charter on Sustainable Housing</w:t>
      </w:r>
      <w:r w:rsidR="008D52E6">
        <w:rPr>
          <w:rFonts w:ascii="Trebuchet MS" w:hAnsi="Trebuchet MS"/>
        </w:rPr>
        <w:t>. It will also</w:t>
      </w:r>
      <w:r w:rsidR="00DD5FFA" w:rsidRPr="003D4255">
        <w:rPr>
          <w:rFonts w:ascii="Trebuchet MS" w:hAnsi="Trebuchet MS"/>
        </w:rPr>
        <w:t xml:space="preserve"> provide an important input into the development the New Urban Agenda to be adopted by the </w:t>
      </w:r>
      <w:hyperlink r:id="rId6" w:history="1">
        <w:r w:rsidR="003D4255" w:rsidRPr="003D4255">
          <w:rPr>
            <w:rStyle w:val="Hyperlink"/>
            <w:rFonts w:ascii="Trebuchet MS" w:hAnsi="Trebuchet MS"/>
          </w:rPr>
          <w:t>United Nations Conference on Housing and Sustainable Urban Development – HABITAT III</w:t>
        </w:r>
      </w:hyperlink>
      <w:r w:rsidR="003D4255" w:rsidRPr="003D4255">
        <w:rPr>
          <w:rFonts w:ascii="Trebuchet MS" w:hAnsi="Trebuchet MS"/>
        </w:rPr>
        <w:t xml:space="preserve"> in 2016.</w:t>
      </w:r>
    </w:p>
    <w:p w:rsidR="00064006" w:rsidRPr="00064006" w:rsidRDefault="00064006" w:rsidP="00811587">
      <w:pPr>
        <w:pStyle w:val="SingleTxtG"/>
        <w:ind w:left="0" w:right="0"/>
        <w:rPr>
          <w:rFonts w:ascii="Trebuchet MS" w:hAnsi="Trebuchet MS"/>
        </w:rPr>
      </w:pPr>
    </w:p>
    <w:p w:rsidR="00811587" w:rsidRPr="00927833" w:rsidRDefault="00811587" w:rsidP="00811587">
      <w:pPr>
        <w:jc w:val="both"/>
        <w:rPr>
          <w:rFonts w:ascii="Trebuchet MS" w:hAnsi="Trebuchet MS"/>
          <w:sz w:val="20"/>
          <w:szCs w:val="20"/>
        </w:rPr>
      </w:pPr>
    </w:p>
    <w:sectPr w:rsidR="00811587" w:rsidRPr="0092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F7CC6"/>
    <w:multiLevelType w:val="hybridMultilevel"/>
    <w:tmpl w:val="161221F6"/>
    <w:lvl w:ilvl="0" w:tplc="36829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21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A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2C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08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06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6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45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E2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CA"/>
    <w:rsid w:val="00064006"/>
    <w:rsid w:val="00181CF9"/>
    <w:rsid w:val="003D4255"/>
    <w:rsid w:val="00610748"/>
    <w:rsid w:val="00667F4E"/>
    <w:rsid w:val="00676101"/>
    <w:rsid w:val="00716982"/>
    <w:rsid w:val="00811587"/>
    <w:rsid w:val="008D52E6"/>
    <w:rsid w:val="00927833"/>
    <w:rsid w:val="0095536E"/>
    <w:rsid w:val="00A055B9"/>
    <w:rsid w:val="00D91114"/>
    <w:rsid w:val="00DD5FFA"/>
    <w:rsid w:val="00F3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40204-A45F-4D8E-BB07-E8B9008B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1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"/>
    <w:rsid w:val="00667F4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78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927833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bitat3.org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unece.org/housing/charter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F1E685EE094C8ABF5641C76FEB7B" ma:contentTypeVersion="1" ma:contentTypeDescription="Create a new document." ma:contentTypeScope="" ma:versionID="23fff60fa714abf5c9a0db84f8fdb0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6E44E-E354-473C-AC6A-2D33CC9BFB75}"/>
</file>

<file path=customXml/itemProps2.xml><?xml version="1.0" encoding="utf-8"?>
<ds:datastoreItem xmlns:ds="http://schemas.openxmlformats.org/officeDocument/2006/customXml" ds:itemID="{EAA81D75-D09A-4CD7-9029-267843F14A92}"/>
</file>

<file path=customXml/itemProps3.xml><?xml version="1.0" encoding="utf-8"?>
<ds:datastoreItem xmlns:ds="http://schemas.openxmlformats.org/officeDocument/2006/customXml" ds:itemID="{B84E7DBE-D7B7-4EF4-9082-186316185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Roll</dc:creator>
  <cp:lastModifiedBy>Aloran, Rakan</cp:lastModifiedBy>
  <cp:revision>2</cp:revision>
  <dcterms:created xsi:type="dcterms:W3CDTF">2015-10-19T07:12:00Z</dcterms:created>
  <dcterms:modified xsi:type="dcterms:W3CDTF">2015-10-19T07:12:00Z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0x0101009042F1E685EE094C8ABF5641C76FEB7B</vt:lpwstr>
  </property>
</Properties>
</file>