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A1" w:rsidRDefault="003D78A1" w:rsidP="006713A6">
      <w:pPr>
        <w:jc w:val="center"/>
        <w:rPr>
          <w:rFonts w:ascii="Segoe UI" w:hAnsi="Segoe UI" w:cs="Segoe UI"/>
          <w:b/>
          <w:bCs/>
        </w:rPr>
      </w:pPr>
      <w:r w:rsidRPr="003D78A1">
        <w:rPr>
          <w:rFonts w:ascii="Segoe UI" w:hAnsi="Segoe UI" w:cs="Segoe UI"/>
          <w:b/>
          <w:bCs/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41796EB1" wp14:editId="6A9846A1">
            <wp:simplePos x="0" y="0"/>
            <wp:positionH relativeFrom="column">
              <wp:posOffset>-196215</wp:posOffset>
            </wp:positionH>
            <wp:positionV relativeFrom="paragraph">
              <wp:posOffset>-420370</wp:posOffset>
            </wp:positionV>
            <wp:extent cx="6600190" cy="2838875"/>
            <wp:effectExtent l="0" t="0" r="0" b="0"/>
            <wp:wrapNone/>
            <wp:docPr id="1" name="Picture 1" descr="D:\EVENTS\2016\GSW 2016\banner\Banner_Web_Green Standard_S_383458-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S\2016\GSW 2016\banner\Banner_Web_Green Standard_S_383458-resiz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90" cy="28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8A1" w:rsidRDefault="003D78A1" w:rsidP="006713A6">
      <w:pPr>
        <w:jc w:val="center"/>
        <w:rPr>
          <w:rFonts w:ascii="Segoe UI" w:hAnsi="Segoe UI" w:cs="Segoe UI"/>
          <w:b/>
          <w:bCs/>
        </w:rPr>
      </w:pPr>
    </w:p>
    <w:p w:rsidR="003D78A1" w:rsidRDefault="003D78A1" w:rsidP="006713A6">
      <w:pPr>
        <w:jc w:val="center"/>
        <w:rPr>
          <w:rFonts w:ascii="Segoe UI" w:hAnsi="Segoe UI" w:cs="Segoe UI"/>
          <w:b/>
          <w:bCs/>
        </w:rPr>
      </w:pPr>
    </w:p>
    <w:p w:rsidR="003D78A1" w:rsidRDefault="003D78A1" w:rsidP="006713A6">
      <w:pPr>
        <w:jc w:val="center"/>
        <w:rPr>
          <w:rFonts w:ascii="Segoe UI" w:hAnsi="Segoe UI" w:cs="Segoe UI"/>
          <w:b/>
          <w:bCs/>
        </w:rPr>
      </w:pPr>
    </w:p>
    <w:p w:rsidR="003D78A1" w:rsidRDefault="003D78A1" w:rsidP="006713A6">
      <w:pPr>
        <w:jc w:val="center"/>
        <w:rPr>
          <w:rFonts w:ascii="Segoe UI" w:hAnsi="Segoe UI" w:cs="Segoe UI"/>
          <w:b/>
          <w:bCs/>
        </w:rPr>
      </w:pPr>
    </w:p>
    <w:p w:rsidR="003D78A1" w:rsidRDefault="003D78A1" w:rsidP="006713A6">
      <w:pPr>
        <w:jc w:val="center"/>
        <w:rPr>
          <w:rFonts w:ascii="Segoe UI" w:hAnsi="Segoe UI" w:cs="Segoe UI"/>
          <w:b/>
          <w:bCs/>
        </w:rPr>
      </w:pPr>
    </w:p>
    <w:p w:rsidR="003D78A1" w:rsidRDefault="003D78A1" w:rsidP="006713A6">
      <w:pPr>
        <w:jc w:val="center"/>
        <w:rPr>
          <w:rFonts w:ascii="Segoe UI" w:hAnsi="Segoe UI" w:cs="Segoe UI"/>
          <w:b/>
          <w:bCs/>
        </w:rPr>
      </w:pPr>
    </w:p>
    <w:p w:rsidR="003D78A1" w:rsidRDefault="003D78A1" w:rsidP="006713A6">
      <w:pPr>
        <w:jc w:val="center"/>
        <w:rPr>
          <w:rFonts w:ascii="Segoe UI" w:hAnsi="Segoe UI" w:cs="Segoe UI"/>
          <w:b/>
          <w:bCs/>
        </w:rPr>
      </w:pPr>
    </w:p>
    <w:p w:rsidR="003D78A1" w:rsidRDefault="003D78A1" w:rsidP="006713A6">
      <w:pPr>
        <w:jc w:val="center"/>
        <w:rPr>
          <w:rFonts w:ascii="Segoe UI" w:hAnsi="Segoe UI" w:cs="Segoe UI"/>
          <w:b/>
          <w:bCs/>
        </w:rPr>
      </w:pPr>
    </w:p>
    <w:p w:rsidR="00467B32" w:rsidRDefault="00467B32" w:rsidP="003D78A1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DF19DF" w:rsidRPr="00F34FFC" w:rsidRDefault="00DF19DF" w:rsidP="003D78A1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6F3E0A">
        <w:rPr>
          <w:rFonts w:ascii="Segoe UI" w:hAnsi="Segoe UI" w:cs="Segoe UI"/>
          <w:b/>
          <w:bCs/>
          <w:sz w:val="28"/>
          <w:szCs w:val="28"/>
        </w:rPr>
        <w:t>Declaración de Montevideo</w:t>
      </w:r>
      <w:r w:rsidR="006713A6" w:rsidRPr="006F3E0A">
        <w:rPr>
          <w:rFonts w:ascii="Segoe UI" w:hAnsi="Segoe UI" w:cs="Segoe UI"/>
          <w:b/>
          <w:bCs/>
          <w:sz w:val="28"/>
          <w:szCs w:val="28"/>
        </w:rPr>
        <w:br/>
      </w:r>
      <w:r w:rsidR="00C632EB" w:rsidRPr="00F34FFC">
        <w:rPr>
          <w:rFonts w:ascii="Segoe UI" w:hAnsi="Segoe UI" w:cs="Segoe UI"/>
          <w:b/>
          <w:bCs/>
          <w:sz w:val="22"/>
          <w:szCs w:val="22"/>
        </w:rPr>
        <w:t>9</w:t>
      </w:r>
      <w:r w:rsidRPr="00F34FFC">
        <w:rPr>
          <w:rFonts w:ascii="Segoe UI" w:hAnsi="Segoe UI" w:cs="Segoe UI"/>
          <w:b/>
          <w:bCs/>
          <w:sz w:val="22"/>
          <w:szCs w:val="22"/>
        </w:rPr>
        <w:t xml:space="preserve"> de </w:t>
      </w:r>
      <w:r w:rsidR="003D78A1" w:rsidRPr="00F34FFC">
        <w:rPr>
          <w:rFonts w:ascii="Segoe UI" w:hAnsi="Segoe UI" w:cs="Segoe UI"/>
          <w:b/>
          <w:bCs/>
          <w:sz w:val="22"/>
          <w:szCs w:val="22"/>
        </w:rPr>
        <w:t>septiembre</w:t>
      </w:r>
      <w:r w:rsidRPr="00F34FFC">
        <w:rPr>
          <w:rFonts w:ascii="Segoe UI" w:hAnsi="Segoe UI" w:cs="Segoe UI"/>
          <w:b/>
          <w:bCs/>
          <w:sz w:val="22"/>
          <w:szCs w:val="22"/>
        </w:rPr>
        <w:t xml:space="preserve"> de 2016</w:t>
      </w:r>
    </w:p>
    <w:p w:rsidR="00DF19DF" w:rsidRPr="003D78A1" w:rsidRDefault="00DF19DF" w:rsidP="00F34FFC">
      <w:pPr>
        <w:pStyle w:val="Normalaftertitle"/>
        <w:jc w:val="center"/>
        <w:rPr>
          <w:rFonts w:ascii="Segoe UI" w:hAnsi="Segoe UI" w:cs="Segoe UI"/>
          <w:i/>
          <w:iCs/>
        </w:rPr>
      </w:pPr>
      <w:r w:rsidRPr="003D78A1">
        <w:rPr>
          <w:rFonts w:ascii="Segoe UI" w:hAnsi="Segoe UI" w:cs="Segoe UI"/>
          <w:i/>
          <w:iCs/>
        </w:rPr>
        <w:t>Adoptado por los participantes en la 6º Semana de Normas Verdes, celebrada del 5 al 9 de septiembre d</w:t>
      </w:r>
      <w:r w:rsidR="00E569AF" w:rsidRPr="003D78A1">
        <w:rPr>
          <w:rFonts w:ascii="Segoe UI" w:hAnsi="Segoe UI" w:cs="Segoe UI"/>
          <w:i/>
          <w:iCs/>
        </w:rPr>
        <w:t xml:space="preserve">e 2016 </w:t>
      </w:r>
      <w:r w:rsidR="00F34FFC">
        <w:rPr>
          <w:rFonts w:ascii="Segoe UI" w:hAnsi="Segoe UI" w:cs="Segoe UI"/>
          <w:i/>
          <w:iCs/>
        </w:rPr>
        <w:t>en Montevideo, Uruguay</w:t>
      </w:r>
      <w:r w:rsidR="00E569AF" w:rsidRPr="003D78A1">
        <w:rPr>
          <w:rFonts w:ascii="Segoe UI" w:hAnsi="Segoe UI" w:cs="Segoe UI"/>
          <w:i/>
          <w:iCs/>
        </w:rPr>
        <w:t>.</w:t>
      </w:r>
    </w:p>
    <w:p w:rsidR="00DF19DF" w:rsidRPr="006F3E0A" w:rsidRDefault="00DF19DF" w:rsidP="003D78A1">
      <w:pPr>
        <w:pStyle w:val="Headingb"/>
        <w:jc w:val="both"/>
        <w:rPr>
          <w:rFonts w:ascii="Segoe UI" w:hAnsi="Segoe UI" w:cs="Segoe UI"/>
          <w:i/>
          <w:iCs/>
          <w:sz w:val="26"/>
          <w:szCs w:val="26"/>
        </w:rPr>
      </w:pPr>
      <w:r w:rsidRPr="006F3E0A">
        <w:rPr>
          <w:rFonts w:ascii="Segoe UI" w:hAnsi="Segoe UI" w:cs="Segoe UI"/>
          <w:i/>
          <w:iCs/>
          <w:sz w:val="26"/>
          <w:szCs w:val="26"/>
        </w:rPr>
        <w:t>Introducción</w:t>
      </w:r>
    </w:p>
    <w:p w:rsidR="00DF19DF" w:rsidRPr="003D78A1" w:rsidRDefault="00DF19DF" w:rsidP="00940404">
      <w:pPr>
        <w:jc w:val="both"/>
        <w:rPr>
          <w:rFonts w:ascii="Segoe UI" w:hAnsi="Segoe UI" w:cs="Segoe UI"/>
          <w:i/>
          <w:iCs/>
        </w:rPr>
      </w:pPr>
      <w:r w:rsidRPr="003D78A1">
        <w:rPr>
          <w:rFonts w:ascii="Segoe UI" w:hAnsi="Segoe UI" w:cs="Segoe UI"/>
          <w:i/>
          <w:iCs/>
        </w:rPr>
        <w:t>Organizada por la Unión Internacional de Telecomunicaciones (UIT), junto con la Intendencia de Montevideo (</w:t>
      </w:r>
      <w:r w:rsidR="005935FD">
        <w:rPr>
          <w:rFonts w:ascii="Segoe UI" w:hAnsi="Segoe UI" w:cs="Segoe UI"/>
          <w:i/>
          <w:iCs/>
        </w:rPr>
        <w:t>I</w:t>
      </w:r>
      <w:r w:rsidRPr="003D78A1">
        <w:rPr>
          <w:rFonts w:ascii="Segoe UI" w:hAnsi="Segoe UI" w:cs="Segoe UI"/>
          <w:i/>
          <w:iCs/>
        </w:rPr>
        <w:t>M), la Asociación Interamericana de Empresas de Telecomunicaciones (ASIET), la Comisión Económica para América Latina y el Caribe (CEPAL), el Centro Regional del Convenio de Basilea para la Región de América del Sur (CRBAS) y el Banco de Desarrollo de América Latina (CAF), la 6</w:t>
      </w:r>
      <w:r w:rsidR="00EC28BA">
        <w:rPr>
          <w:rFonts w:ascii="Segoe UI" w:hAnsi="Segoe UI" w:cs="Segoe UI"/>
          <w:i/>
          <w:iCs/>
        </w:rPr>
        <w:t>a</w:t>
      </w:r>
      <w:r w:rsidRPr="003D78A1">
        <w:rPr>
          <w:rFonts w:ascii="Segoe UI" w:hAnsi="Segoe UI" w:cs="Segoe UI"/>
          <w:i/>
          <w:iCs/>
        </w:rPr>
        <w:t xml:space="preserve"> Semana de Normas Verdes</w:t>
      </w:r>
      <w:r w:rsidR="00F34FFC">
        <w:rPr>
          <w:rFonts w:ascii="Segoe UI" w:hAnsi="Segoe UI" w:cs="Segoe UI"/>
          <w:i/>
          <w:iCs/>
        </w:rPr>
        <w:t xml:space="preserve"> 2016 tuvo lugar en Montevideo, Uruguay</w:t>
      </w:r>
      <w:r w:rsidRPr="003D78A1">
        <w:rPr>
          <w:rFonts w:ascii="Segoe UI" w:hAnsi="Segoe UI" w:cs="Segoe UI"/>
          <w:i/>
          <w:iCs/>
        </w:rPr>
        <w:t xml:space="preserve"> en torno al tema </w:t>
      </w:r>
      <w:r w:rsidR="006713A6" w:rsidRPr="003D78A1">
        <w:rPr>
          <w:rFonts w:ascii="Segoe UI" w:hAnsi="Segoe UI" w:cs="Segoe UI"/>
          <w:i/>
          <w:iCs/>
        </w:rPr>
        <w:t>"</w:t>
      </w:r>
      <w:r w:rsidRPr="003D78A1">
        <w:rPr>
          <w:rFonts w:ascii="Segoe UI" w:hAnsi="Segoe UI" w:cs="Segoe UI"/>
          <w:i/>
          <w:iCs/>
        </w:rPr>
        <w:t>Configura</w:t>
      </w:r>
      <w:r w:rsidR="003D78A1">
        <w:rPr>
          <w:rFonts w:ascii="Segoe UI" w:hAnsi="Segoe UI" w:cs="Segoe UI"/>
          <w:i/>
          <w:iCs/>
        </w:rPr>
        <w:t xml:space="preserve">ndo  </w:t>
      </w:r>
      <w:r w:rsidRPr="003D78A1">
        <w:rPr>
          <w:rFonts w:ascii="Segoe UI" w:hAnsi="Segoe UI" w:cs="Segoe UI"/>
          <w:i/>
          <w:iCs/>
        </w:rPr>
        <w:t>ciudades inteligentes y sostenibles: hacia Hábitat III</w:t>
      </w:r>
      <w:r w:rsidR="006713A6" w:rsidRPr="003D78A1">
        <w:rPr>
          <w:rFonts w:ascii="Segoe UI" w:hAnsi="Segoe UI" w:cs="Segoe UI"/>
          <w:i/>
          <w:iCs/>
        </w:rPr>
        <w:t>"</w:t>
      </w:r>
      <w:r w:rsidRPr="003D78A1">
        <w:rPr>
          <w:rFonts w:ascii="Segoe UI" w:hAnsi="Segoe UI" w:cs="Segoe UI"/>
          <w:i/>
          <w:iCs/>
        </w:rPr>
        <w:t>.</w:t>
      </w:r>
    </w:p>
    <w:p w:rsidR="00DF19DF" w:rsidRPr="003D78A1" w:rsidRDefault="003D78A1" w:rsidP="00F34FFC">
      <w:pPr>
        <w:jc w:val="both"/>
        <w:rPr>
          <w:rFonts w:ascii="Segoe UI" w:hAnsi="Segoe UI" w:cs="Segoe UI"/>
          <w:i/>
          <w:iCs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27C29EE7" wp14:editId="7056D7D6">
            <wp:simplePos x="0" y="0"/>
            <wp:positionH relativeFrom="column">
              <wp:posOffset>2326005</wp:posOffset>
            </wp:positionH>
            <wp:positionV relativeFrom="paragraph">
              <wp:posOffset>116205</wp:posOffset>
            </wp:positionV>
            <wp:extent cx="3801110" cy="1932305"/>
            <wp:effectExtent l="133350" t="0" r="85090" b="125095"/>
            <wp:wrapSquare wrapText="bothSides"/>
            <wp:docPr id="3" name="Picture 3" descr="http://www.un.org/sustainabledevelopment/es/wp-content/uploads/sites/3/2016/08/spanish_SDG_17goals_poster_all_languages_with_UN_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n.org/sustainabledevelopment/es/wp-content/uploads/sites/3/2016/08/spanish_SDG_17goals_poster_all_languages_with_UN_emble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11"/>
                    <a:stretch/>
                  </pic:blipFill>
                  <pic:spPr bwMode="auto">
                    <a:xfrm>
                      <a:off x="0" y="0"/>
                      <a:ext cx="3801110" cy="19323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9DF" w:rsidRPr="003D78A1">
        <w:rPr>
          <w:rFonts w:ascii="Segoe UI" w:hAnsi="Segoe UI" w:cs="Segoe UI"/>
          <w:i/>
          <w:iCs/>
        </w:rPr>
        <w:t xml:space="preserve">En consonancia con los objetivos de desarrollo sostenible, este año la Semana de Normas Verdes giró en torno a la integración, la accesibilidad, la mejor calidad de vida, la movilidad laboral, la mayor producción y la resiliencia, manteniendo, a su vez, las tecnologías de la información y la comunicación (TIC) en el epicentro del funcionamiento urbano. Los intensos debates mantenidos y la estrecha cooperación entre los actores urbanos durante la Semana de las Normas </w:t>
      </w:r>
      <w:r w:rsidR="00F34FFC">
        <w:rPr>
          <w:rFonts w:ascii="Segoe UI" w:hAnsi="Segoe UI" w:cs="Segoe UI"/>
          <w:i/>
          <w:iCs/>
        </w:rPr>
        <w:t>Verdes</w:t>
      </w:r>
      <w:r w:rsidR="00DF19DF" w:rsidRPr="003D78A1">
        <w:rPr>
          <w:rFonts w:ascii="Segoe UI" w:hAnsi="Segoe UI" w:cs="Segoe UI"/>
          <w:i/>
          <w:iCs/>
        </w:rPr>
        <w:t xml:space="preserve"> les </w:t>
      </w:r>
      <w:proofErr w:type="gramStart"/>
      <w:r w:rsidR="00DF19DF" w:rsidRPr="003D78A1">
        <w:rPr>
          <w:rFonts w:ascii="Segoe UI" w:hAnsi="Segoe UI" w:cs="Segoe UI"/>
          <w:i/>
          <w:iCs/>
        </w:rPr>
        <w:t>ayudará</w:t>
      </w:r>
      <w:proofErr w:type="gramEnd"/>
      <w:r w:rsidR="00DF19DF" w:rsidRPr="003D78A1">
        <w:rPr>
          <w:rFonts w:ascii="Segoe UI" w:hAnsi="Segoe UI" w:cs="Segoe UI"/>
          <w:i/>
          <w:iCs/>
        </w:rPr>
        <w:t xml:space="preserve"> a poner en marcha actividades relativas a las ciudades sostenibles </w:t>
      </w:r>
      <w:r w:rsidR="00C632EB">
        <w:rPr>
          <w:rFonts w:ascii="Segoe UI" w:hAnsi="Segoe UI" w:cs="Segoe UI"/>
          <w:i/>
          <w:iCs/>
        </w:rPr>
        <w:t xml:space="preserve">e </w:t>
      </w:r>
      <w:r w:rsidR="00DF19DF" w:rsidRPr="003D78A1">
        <w:rPr>
          <w:rFonts w:ascii="Segoe UI" w:hAnsi="Segoe UI" w:cs="Segoe UI"/>
          <w:i/>
          <w:iCs/>
        </w:rPr>
        <w:t xml:space="preserve">inteligentes, introducir políticas intuitivas y dar prioridad a la modernización de la infraestructura por medio de la tecnología, teniendo presente los objetivos de desarrollo sostenible. </w:t>
      </w:r>
    </w:p>
    <w:p w:rsidR="00DF19DF" w:rsidRPr="003D78A1" w:rsidRDefault="00DF19DF" w:rsidP="003D78A1">
      <w:pPr>
        <w:jc w:val="both"/>
        <w:rPr>
          <w:rFonts w:ascii="Segoe UI" w:hAnsi="Segoe UI" w:cs="Segoe UI"/>
          <w:i/>
          <w:iCs/>
        </w:rPr>
      </w:pPr>
      <w:r w:rsidRPr="003D78A1">
        <w:rPr>
          <w:rFonts w:ascii="Segoe UI" w:hAnsi="Segoe UI" w:cs="Segoe UI"/>
          <w:i/>
          <w:iCs/>
        </w:rPr>
        <w:t xml:space="preserve">En la </w:t>
      </w:r>
      <w:r w:rsidR="00D511D0" w:rsidRPr="003D78A1">
        <w:rPr>
          <w:rFonts w:ascii="Segoe UI" w:hAnsi="Segoe UI" w:cs="Segoe UI"/>
          <w:i/>
          <w:iCs/>
        </w:rPr>
        <w:t>C</w:t>
      </w:r>
      <w:r w:rsidRPr="003D78A1">
        <w:rPr>
          <w:rFonts w:ascii="Segoe UI" w:hAnsi="Segoe UI" w:cs="Segoe UI"/>
          <w:i/>
          <w:iCs/>
        </w:rPr>
        <w:t>onferencia Hábitat III, prevista para el mes de octubre</w:t>
      </w:r>
      <w:r w:rsidR="00C62DEB">
        <w:rPr>
          <w:rFonts w:ascii="Segoe UI" w:hAnsi="Segoe UI" w:cs="Segoe UI"/>
          <w:i/>
          <w:iCs/>
        </w:rPr>
        <w:t xml:space="preserve"> 2016</w:t>
      </w:r>
      <w:r w:rsidRPr="003D78A1">
        <w:rPr>
          <w:rFonts w:ascii="Segoe UI" w:hAnsi="Segoe UI" w:cs="Segoe UI"/>
          <w:i/>
          <w:iCs/>
        </w:rPr>
        <w:t xml:space="preserve">, se destacará el formidable papel que la urbanización desempeña en el desarrollo, que permite resolver problemas mundiales tales como la pobreza y proteger los derechos de todos los ciudadanos. Esta </w:t>
      </w:r>
      <w:r w:rsidR="00D511D0" w:rsidRPr="003D78A1">
        <w:rPr>
          <w:rFonts w:ascii="Segoe UI" w:hAnsi="Segoe UI" w:cs="Segoe UI"/>
          <w:i/>
          <w:iCs/>
        </w:rPr>
        <w:t>C</w:t>
      </w:r>
      <w:r w:rsidRPr="003D78A1">
        <w:rPr>
          <w:rFonts w:ascii="Segoe UI" w:hAnsi="Segoe UI" w:cs="Segoe UI"/>
          <w:i/>
          <w:iCs/>
        </w:rPr>
        <w:t xml:space="preserve">onferencia emblemática puede servir para fomentar un modelo único de desarrollo urbano basado en las TIC y las ciudades inteligentes que integre todos los aspectos del desarrollo sostenible y cree una economía circular. La </w:t>
      </w:r>
      <w:r w:rsidR="00D511D0" w:rsidRPr="003D78A1">
        <w:rPr>
          <w:rFonts w:ascii="Segoe UI" w:hAnsi="Segoe UI" w:cs="Segoe UI"/>
          <w:i/>
          <w:iCs/>
        </w:rPr>
        <w:t>C</w:t>
      </w:r>
      <w:r w:rsidRPr="003D78A1">
        <w:rPr>
          <w:rFonts w:ascii="Segoe UI" w:hAnsi="Segoe UI" w:cs="Segoe UI"/>
          <w:i/>
          <w:iCs/>
        </w:rPr>
        <w:t xml:space="preserve">onferencia Hábitat III culminará con la Nueva Agenda Urbana, fruto de la colaboración entre diversos organismos de las Naciones Unidas, entidades gubernamentales, </w:t>
      </w:r>
      <w:r w:rsidR="00C632EB">
        <w:rPr>
          <w:rFonts w:ascii="Segoe UI" w:hAnsi="Segoe UI" w:cs="Segoe UI"/>
          <w:i/>
          <w:iCs/>
        </w:rPr>
        <w:t xml:space="preserve">la sociedad civil, las ONG </w:t>
      </w:r>
      <w:r w:rsidRPr="003D78A1">
        <w:rPr>
          <w:rFonts w:ascii="Segoe UI" w:hAnsi="Segoe UI" w:cs="Segoe UI"/>
          <w:i/>
          <w:iCs/>
        </w:rPr>
        <w:t>y el sector privado, entre otros.</w:t>
      </w:r>
    </w:p>
    <w:p w:rsidR="00DF19DF" w:rsidRPr="003D78A1" w:rsidRDefault="00DF19DF" w:rsidP="00C62DEB">
      <w:pPr>
        <w:jc w:val="both"/>
        <w:rPr>
          <w:rFonts w:ascii="Segoe UI" w:hAnsi="Segoe UI" w:cs="Segoe UI"/>
          <w:i/>
          <w:iCs/>
        </w:rPr>
      </w:pPr>
      <w:r w:rsidRPr="003D78A1">
        <w:rPr>
          <w:rFonts w:ascii="Segoe UI" w:hAnsi="Segoe UI" w:cs="Segoe UI"/>
          <w:i/>
          <w:iCs/>
        </w:rPr>
        <w:t>Para respaldar la investigación en curso sobre las ciudades sostenibles</w:t>
      </w:r>
      <w:r w:rsidR="00C632EB">
        <w:rPr>
          <w:rFonts w:ascii="Segoe UI" w:hAnsi="Segoe UI" w:cs="Segoe UI"/>
          <w:i/>
          <w:iCs/>
        </w:rPr>
        <w:t xml:space="preserve"> e</w:t>
      </w:r>
      <w:r w:rsidRPr="003D78A1">
        <w:rPr>
          <w:rFonts w:ascii="Segoe UI" w:hAnsi="Segoe UI" w:cs="Segoe UI"/>
          <w:i/>
          <w:iCs/>
        </w:rPr>
        <w:t xml:space="preserve"> inteligentes, la Unión Internacional de Telecomunicaciones (UIT) y la Comisión Económica de las Naciones Unidas para Europa, junto con otros </w:t>
      </w:r>
      <w:r w:rsidR="00C632EB">
        <w:rPr>
          <w:rFonts w:ascii="Segoe UI" w:hAnsi="Segoe UI" w:cs="Segoe UI"/>
          <w:i/>
          <w:iCs/>
        </w:rPr>
        <w:t xml:space="preserve">16 </w:t>
      </w:r>
      <w:r w:rsidRPr="003D78A1">
        <w:rPr>
          <w:rFonts w:ascii="Segoe UI" w:hAnsi="Segoe UI" w:cs="Segoe UI"/>
          <w:i/>
          <w:iCs/>
        </w:rPr>
        <w:t xml:space="preserve">organismos de las Naciones Unidas, han creado la iniciativa Unidos por Ciudades Sostenibles </w:t>
      </w:r>
      <w:r w:rsidR="00C632EB">
        <w:rPr>
          <w:rFonts w:ascii="Segoe UI" w:hAnsi="Segoe UI" w:cs="Segoe UI"/>
          <w:i/>
          <w:iCs/>
        </w:rPr>
        <w:t xml:space="preserve">e </w:t>
      </w:r>
      <w:r w:rsidRPr="003D78A1">
        <w:rPr>
          <w:rFonts w:ascii="Segoe UI" w:hAnsi="Segoe UI" w:cs="Segoe UI"/>
          <w:i/>
          <w:iCs/>
        </w:rPr>
        <w:t xml:space="preserve">Inteligentes (U4SSC) con el objetivo de promover políticas públicas que faciliten la integración de las TIC para la transición hacia ciudades sostenibles </w:t>
      </w:r>
      <w:r w:rsidR="00C632EB">
        <w:rPr>
          <w:rFonts w:ascii="Segoe UI" w:hAnsi="Segoe UI" w:cs="Segoe UI"/>
          <w:i/>
          <w:iCs/>
        </w:rPr>
        <w:t xml:space="preserve">e </w:t>
      </w:r>
      <w:r w:rsidRPr="003D78A1">
        <w:rPr>
          <w:rFonts w:ascii="Segoe UI" w:hAnsi="Segoe UI" w:cs="Segoe UI"/>
          <w:i/>
          <w:iCs/>
        </w:rPr>
        <w:t>inteligentes. A fin de avanzar el movimiento de la ciudad inteligente mundial para la Nueva Agenda Urbana, la Semana de las Normas Verdes de este año contribuirá a sentar una base de recursos adecuada, catalogar prácticas idóneas en el campo de las ciudades inteligentes y fomentar el desarrollo de normas internacionales que faciliten la transición hacia ciudades sostenibles</w:t>
      </w:r>
      <w:r w:rsidR="00C632EB">
        <w:rPr>
          <w:rFonts w:ascii="Segoe UI" w:hAnsi="Segoe UI" w:cs="Segoe UI"/>
          <w:i/>
          <w:iCs/>
        </w:rPr>
        <w:t xml:space="preserve"> e</w:t>
      </w:r>
      <w:r w:rsidRPr="003D78A1">
        <w:rPr>
          <w:rFonts w:ascii="Segoe UI" w:hAnsi="Segoe UI" w:cs="Segoe UI"/>
          <w:i/>
          <w:iCs/>
        </w:rPr>
        <w:t xml:space="preserve"> inteligentes</w:t>
      </w:r>
      <w:r w:rsidR="00C62DEB">
        <w:rPr>
          <w:rFonts w:ascii="Segoe UI" w:hAnsi="Segoe UI" w:cs="Segoe UI"/>
          <w:i/>
          <w:iCs/>
        </w:rPr>
        <w:t>.</w:t>
      </w:r>
    </w:p>
    <w:p w:rsidR="00DF19DF" w:rsidRPr="006F3E0A" w:rsidRDefault="00DF19DF" w:rsidP="00F34FFC">
      <w:pPr>
        <w:pStyle w:val="Headingb"/>
        <w:jc w:val="center"/>
        <w:rPr>
          <w:rFonts w:ascii="Segoe UI" w:hAnsi="Segoe UI" w:cs="Segoe UI"/>
          <w:i/>
          <w:iCs/>
          <w:sz w:val="26"/>
          <w:szCs w:val="26"/>
        </w:rPr>
      </w:pPr>
      <w:r w:rsidRPr="006F3E0A">
        <w:rPr>
          <w:rFonts w:ascii="Segoe UI" w:hAnsi="Segoe UI" w:cs="Segoe UI"/>
          <w:i/>
          <w:iCs/>
          <w:sz w:val="26"/>
          <w:szCs w:val="26"/>
        </w:rPr>
        <w:t>Declaración</w:t>
      </w:r>
    </w:p>
    <w:p w:rsidR="00DF19DF" w:rsidRPr="003D78A1" w:rsidRDefault="00EC28BA" w:rsidP="00402B74">
      <w:pPr>
        <w:jc w:val="both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>Por consiguiente, nosotros</w:t>
      </w:r>
      <w:r w:rsidR="005935FD">
        <w:rPr>
          <w:rFonts w:ascii="Segoe UI" w:hAnsi="Segoe UI" w:cs="Segoe UI"/>
          <w:i/>
          <w:iCs/>
        </w:rPr>
        <w:t>,</w:t>
      </w:r>
      <w:r w:rsidR="00DF19DF" w:rsidRPr="003D78A1">
        <w:rPr>
          <w:rFonts w:ascii="Segoe UI" w:hAnsi="Segoe UI" w:cs="Segoe UI"/>
          <w:i/>
          <w:iCs/>
        </w:rPr>
        <w:t xml:space="preserve"> los participantes en la Semana de las Normas Verdes de 2016, </w:t>
      </w:r>
      <w:r>
        <w:rPr>
          <w:rFonts w:ascii="Segoe UI" w:hAnsi="Segoe UI" w:cs="Segoe UI"/>
          <w:i/>
          <w:iCs/>
        </w:rPr>
        <w:t xml:space="preserve">declaramos nuestra voluntad y reafirmamos nuestro compromiso orientado a: </w:t>
      </w:r>
    </w:p>
    <w:p w:rsidR="00DF19DF" w:rsidRPr="003D78A1" w:rsidRDefault="00DF19DF" w:rsidP="003D78A1">
      <w:pPr>
        <w:jc w:val="both"/>
        <w:rPr>
          <w:rFonts w:ascii="Segoe UI" w:hAnsi="Segoe UI" w:cs="Segoe UI"/>
          <w:i/>
          <w:iCs/>
        </w:rPr>
      </w:pPr>
    </w:p>
    <w:p w:rsidR="00DF19DF" w:rsidRPr="003D78A1" w:rsidRDefault="006F3E0A" w:rsidP="006134BC">
      <w:pPr>
        <w:pStyle w:val="enumlev1"/>
        <w:numPr>
          <w:ilvl w:val="0"/>
          <w:numId w:val="1"/>
        </w:numPr>
        <w:jc w:val="both"/>
        <w:rPr>
          <w:rFonts w:ascii="Segoe UI" w:hAnsi="Segoe UI" w:cs="Segoe UI"/>
        </w:rPr>
      </w:pPr>
      <w:r w:rsidRPr="00D54C5F">
        <w:rPr>
          <w:rFonts w:ascii="Segoe UI" w:hAnsi="Segoe UI" w:cs="Segoe UI"/>
          <w:noProof/>
          <w:lang w:val="en-US" w:eastAsia="zh-CN"/>
        </w:rPr>
        <w:drawing>
          <wp:anchor distT="0" distB="0" distL="114300" distR="114300" simplePos="0" relativeHeight="251661312" behindDoc="0" locked="0" layoutInCell="1" allowOverlap="1" wp14:anchorId="38A20EE9" wp14:editId="3C22C534">
            <wp:simplePos x="0" y="0"/>
            <wp:positionH relativeFrom="column">
              <wp:posOffset>415636</wp:posOffset>
            </wp:positionH>
            <wp:positionV relativeFrom="paragraph">
              <wp:posOffset>167813</wp:posOffset>
            </wp:positionV>
            <wp:extent cx="1828800" cy="2593975"/>
            <wp:effectExtent l="133350" t="76200" r="76200" b="130175"/>
            <wp:wrapSquare wrapText="bothSides"/>
            <wp:docPr id="4" name="Picture 4" descr="D:\IMAGES\Compendium IoT\jpg\shutterstock_17612965-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S\Compendium IoT\jpg\shutterstock_17612965-resiz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93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9DF" w:rsidRPr="003D78A1">
        <w:rPr>
          <w:rFonts w:ascii="Segoe UI" w:hAnsi="Segoe UI" w:cs="Segoe UI"/>
          <w:b/>
          <w:bCs/>
        </w:rPr>
        <w:t>Desplegar el potencial de las TIC para la urbanización sostenible</w:t>
      </w:r>
      <w:r w:rsidR="00DF19DF" w:rsidRPr="003D78A1">
        <w:rPr>
          <w:rFonts w:ascii="Segoe UI" w:hAnsi="Segoe UI" w:cs="Segoe UI"/>
        </w:rPr>
        <w:t xml:space="preserve">, a fin de desarrollar un </w:t>
      </w:r>
      <w:r w:rsidR="006134BC">
        <w:rPr>
          <w:rFonts w:ascii="Segoe UI" w:hAnsi="Segoe UI" w:cs="Segoe UI"/>
        </w:rPr>
        <w:t>ámbito</w:t>
      </w:r>
      <w:r w:rsidR="00DF19DF" w:rsidRPr="003D78A1">
        <w:rPr>
          <w:rFonts w:ascii="Segoe UI" w:hAnsi="Segoe UI" w:cs="Segoe UI"/>
        </w:rPr>
        <w:t xml:space="preserve"> sostenible y competitivo en zonas urbanas que permita mejorar la calidad de vida de todos los residentes urbanos y mejorar el acceso, la integración, la transparencia y la fiabilidad de la infraestructura</w:t>
      </w:r>
      <w:r w:rsidR="006134BC">
        <w:rPr>
          <w:rFonts w:ascii="Segoe UI" w:hAnsi="Segoe UI" w:cs="Segoe UI"/>
        </w:rPr>
        <w:t xml:space="preserve"> a través del uso de datos abiertos</w:t>
      </w:r>
      <w:r w:rsidR="00DF19DF" w:rsidRPr="003D78A1">
        <w:rPr>
          <w:rFonts w:ascii="Segoe UI" w:hAnsi="Segoe UI" w:cs="Segoe UI"/>
        </w:rPr>
        <w:t>. Las TIC pueden desempeñar un importa</w:t>
      </w:r>
      <w:r w:rsidR="006134BC">
        <w:rPr>
          <w:rFonts w:ascii="Segoe UI" w:hAnsi="Segoe UI" w:cs="Segoe UI"/>
        </w:rPr>
        <w:t xml:space="preserve">nte papel </w:t>
      </w:r>
      <w:r w:rsidR="00DF19DF" w:rsidRPr="003D78A1">
        <w:rPr>
          <w:rFonts w:ascii="Segoe UI" w:hAnsi="Segoe UI" w:cs="Segoe UI"/>
        </w:rPr>
        <w:t xml:space="preserve">a la hora de evitar infraestructuras </w:t>
      </w:r>
      <w:r w:rsidR="005935FD">
        <w:rPr>
          <w:rFonts w:ascii="Segoe UI" w:hAnsi="Segoe UI" w:cs="Segoe UI"/>
        </w:rPr>
        <w:t xml:space="preserve">que generen </w:t>
      </w:r>
      <w:r w:rsidR="00DF19DF" w:rsidRPr="003D78A1">
        <w:rPr>
          <w:rFonts w:ascii="Segoe UI" w:hAnsi="Segoe UI" w:cs="Segoe UI"/>
        </w:rPr>
        <w:t xml:space="preserve"> grandes emisiones y dar soporte a la construcción de edificios sostenibles </w:t>
      </w:r>
      <w:r w:rsidR="006134BC">
        <w:rPr>
          <w:rFonts w:ascii="Segoe UI" w:hAnsi="Segoe UI" w:cs="Segoe UI"/>
        </w:rPr>
        <w:t xml:space="preserve">e </w:t>
      </w:r>
      <w:r w:rsidR="00DF19DF" w:rsidRPr="003D78A1">
        <w:rPr>
          <w:rFonts w:ascii="Segoe UI" w:hAnsi="Segoe UI" w:cs="Segoe UI"/>
        </w:rPr>
        <w:t xml:space="preserve">inteligentes y sistemas de transporte inteligentes. Dentro del espacio urbano, las TIC también aumentarán el acceso a bienes y servicios públicos de gran calidad (educación, </w:t>
      </w:r>
      <w:r w:rsidR="006134BC">
        <w:rPr>
          <w:rFonts w:ascii="Segoe UI" w:hAnsi="Segoe UI" w:cs="Segoe UI"/>
        </w:rPr>
        <w:t>vivienda, buen</w:t>
      </w:r>
      <w:r w:rsidR="00936BBA">
        <w:rPr>
          <w:rFonts w:ascii="Segoe UI" w:hAnsi="Segoe UI" w:cs="Segoe UI"/>
        </w:rPr>
        <w:t xml:space="preserve">a gobernanza, seguridad, salud y </w:t>
      </w:r>
      <w:r w:rsidR="00DF19DF" w:rsidRPr="003D78A1">
        <w:rPr>
          <w:rFonts w:ascii="Segoe UI" w:hAnsi="Segoe UI" w:cs="Segoe UI"/>
        </w:rPr>
        <w:t>acceso al mercado laboral, etc.) para mejorar la integración social.</w:t>
      </w:r>
    </w:p>
    <w:p w:rsidR="00DF19DF" w:rsidRPr="003D78A1" w:rsidRDefault="00DF19DF" w:rsidP="006F3E0A">
      <w:pPr>
        <w:pStyle w:val="enumlev1"/>
        <w:numPr>
          <w:ilvl w:val="0"/>
          <w:numId w:val="1"/>
        </w:numPr>
        <w:spacing w:before="120"/>
        <w:jc w:val="both"/>
        <w:rPr>
          <w:rFonts w:ascii="Segoe UI" w:hAnsi="Segoe UI" w:cs="Segoe UI"/>
        </w:rPr>
      </w:pPr>
      <w:r w:rsidRPr="003D78A1">
        <w:rPr>
          <w:rFonts w:ascii="Segoe UI" w:hAnsi="Segoe UI" w:cs="Segoe UI"/>
          <w:b/>
          <w:bCs/>
        </w:rPr>
        <w:t>Crear una base esencial de conocimiento</w:t>
      </w:r>
      <w:r w:rsidRPr="003D78A1">
        <w:rPr>
          <w:rFonts w:ascii="Segoe UI" w:hAnsi="Segoe UI" w:cs="Segoe UI"/>
        </w:rPr>
        <w:t xml:space="preserve">, a fin de establecer una plataforma semánticamente </w:t>
      </w:r>
      <w:proofErr w:type="spellStart"/>
      <w:r w:rsidRPr="003D78A1">
        <w:rPr>
          <w:rFonts w:ascii="Segoe UI" w:hAnsi="Segoe UI" w:cs="Segoe UI"/>
        </w:rPr>
        <w:t>interoperativa</w:t>
      </w:r>
      <w:proofErr w:type="spellEnd"/>
      <w:r w:rsidRPr="003D78A1">
        <w:rPr>
          <w:rFonts w:ascii="Segoe UI" w:hAnsi="Segoe UI" w:cs="Segoe UI"/>
        </w:rPr>
        <w:t xml:space="preserve">, segura e integrada para gestionar conjuntos de datos públicos y privados dentro del dominio de </w:t>
      </w:r>
      <w:r w:rsidR="00D511D0" w:rsidRPr="003D78A1">
        <w:rPr>
          <w:rFonts w:ascii="Segoe UI" w:hAnsi="Segoe UI" w:cs="Segoe UI"/>
        </w:rPr>
        <w:t xml:space="preserve">la </w:t>
      </w:r>
      <w:r w:rsidRPr="003D78A1">
        <w:rPr>
          <w:rFonts w:ascii="Segoe UI" w:hAnsi="Segoe UI" w:cs="Segoe UI"/>
        </w:rPr>
        <w:t>Internet de las cosas (</w:t>
      </w:r>
      <w:proofErr w:type="spellStart"/>
      <w:r w:rsidRPr="003D78A1">
        <w:rPr>
          <w:rFonts w:ascii="Segoe UI" w:hAnsi="Segoe UI" w:cs="Segoe UI"/>
        </w:rPr>
        <w:t>IoT</w:t>
      </w:r>
      <w:proofErr w:type="spellEnd"/>
      <w:r w:rsidRPr="003D78A1">
        <w:rPr>
          <w:rFonts w:ascii="Segoe UI" w:hAnsi="Segoe UI" w:cs="Segoe UI"/>
        </w:rPr>
        <w:t xml:space="preserve">) en las ciudades sostenibles </w:t>
      </w:r>
      <w:r w:rsidR="006134BC">
        <w:rPr>
          <w:rFonts w:ascii="Segoe UI" w:hAnsi="Segoe UI" w:cs="Segoe UI"/>
        </w:rPr>
        <w:t xml:space="preserve">e </w:t>
      </w:r>
      <w:r w:rsidRPr="003D78A1">
        <w:rPr>
          <w:rFonts w:ascii="Segoe UI" w:hAnsi="Segoe UI" w:cs="Segoe UI"/>
        </w:rPr>
        <w:t xml:space="preserve">inteligentes. Esta plataforma permitirá gestionar grandes volúmenes de datos procedentes de fuentes diversas a través de un ecosistema </w:t>
      </w:r>
      <w:proofErr w:type="spellStart"/>
      <w:r w:rsidRPr="003D78A1">
        <w:rPr>
          <w:rFonts w:ascii="Segoe UI" w:hAnsi="Segoe UI" w:cs="Segoe UI"/>
        </w:rPr>
        <w:t>IoT</w:t>
      </w:r>
      <w:proofErr w:type="spellEnd"/>
      <w:r w:rsidRPr="003D78A1">
        <w:rPr>
          <w:rFonts w:ascii="Segoe UI" w:hAnsi="Segoe UI" w:cs="Segoe UI"/>
        </w:rPr>
        <w:t xml:space="preserve"> seguro y centrado en la protección de la privacidad de los usuarios.</w:t>
      </w:r>
    </w:p>
    <w:p w:rsidR="00DF19DF" w:rsidRPr="003D78A1" w:rsidRDefault="00DF19DF" w:rsidP="006F3E0A">
      <w:pPr>
        <w:pStyle w:val="enumlev1"/>
        <w:numPr>
          <w:ilvl w:val="0"/>
          <w:numId w:val="1"/>
        </w:numPr>
        <w:spacing w:before="120"/>
        <w:jc w:val="both"/>
        <w:rPr>
          <w:rFonts w:ascii="Segoe UI" w:hAnsi="Segoe UI" w:cs="Segoe UI"/>
        </w:rPr>
      </w:pPr>
      <w:r w:rsidRPr="003D78A1">
        <w:rPr>
          <w:rFonts w:ascii="Segoe UI" w:hAnsi="Segoe UI" w:cs="Segoe UI"/>
          <w:b/>
          <w:bCs/>
        </w:rPr>
        <w:t>Fomentar una perspectiva sostenible e inteligente</w:t>
      </w:r>
      <w:r w:rsidRPr="003D78A1">
        <w:rPr>
          <w:rFonts w:ascii="Segoe UI" w:hAnsi="Segoe UI" w:cs="Segoe UI"/>
        </w:rPr>
        <w:t>, a fin de reinventar mediante las TIC un sistema urbano multidimensional que contribuya a acelerar la implantación de un modelo de ciudad, y sus alrededores, que sea económicamente dinámico, integrador, robusto, sostenible</w:t>
      </w:r>
      <w:r w:rsidR="006134BC">
        <w:rPr>
          <w:rFonts w:ascii="Segoe UI" w:hAnsi="Segoe UI" w:cs="Segoe UI"/>
        </w:rPr>
        <w:t>, seguro</w:t>
      </w:r>
      <w:r w:rsidRPr="003D78A1">
        <w:rPr>
          <w:rFonts w:ascii="Segoe UI" w:hAnsi="Segoe UI" w:cs="Segoe UI"/>
        </w:rPr>
        <w:t xml:space="preserve"> y cómodo. Esta perspectiva generará una red mundial de municipios </w:t>
      </w:r>
      <w:proofErr w:type="spellStart"/>
      <w:r w:rsidRPr="003D78A1">
        <w:rPr>
          <w:rFonts w:ascii="Segoe UI" w:hAnsi="Segoe UI" w:cs="Segoe UI"/>
        </w:rPr>
        <w:t>autosostenibles</w:t>
      </w:r>
      <w:proofErr w:type="spellEnd"/>
      <w:r w:rsidRPr="003D78A1">
        <w:rPr>
          <w:rFonts w:ascii="Segoe UI" w:hAnsi="Segoe UI" w:cs="Segoe UI"/>
        </w:rPr>
        <w:t xml:space="preserve"> y autónomos basados en los conceptos de economía del conocimiento y economía digital.</w:t>
      </w:r>
    </w:p>
    <w:p w:rsidR="00DF19DF" w:rsidRPr="003D78A1" w:rsidRDefault="006F3E0A" w:rsidP="006F3E0A">
      <w:pPr>
        <w:pStyle w:val="enumlev1"/>
        <w:numPr>
          <w:ilvl w:val="0"/>
          <w:numId w:val="1"/>
        </w:numPr>
        <w:spacing w:before="120"/>
        <w:jc w:val="both"/>
        <w:rPr>
          <w:rFonts w:ascii="Segoe UI" w:hAnsi="Segoe UI" w:cs="Segoe UI"/>
        </w:rPr>
      </w:pPr>
      <w:r w:rsidRPr="00D54C5F">
        <w:rPr>
          <w:rFonts w:ascii="Segoe UI" w:hAnsi="Segoe UI" w:cs="Segoe UI"/>
          <w:noProof/>
          <w:lang w:val="en-US" w:eastAsia="zh-CN"/>
        </w:rPr>
        <w:drawing>
          <wp:anchor distT="0" distB="0" distL="114300" distR="114300" simplePos="0" relativeHeight="251663360" behindDoc="0" locked="0" layoutInCell="1" allowOverlap="1" wp14:anchorId="1CF43D73" wp14:editId="60E62B48">
            <wp:simplePos x="0" y="0"/>
            <wp:positionH relativeFrom="column">
              <wp:posOffset>3622790</wp:posOffset>
            </wp:positionH>
            <wp:positionV relativeFrom="paragraph">
              <wp:posOffset>1538605</wp:posOffset>
            </wp:positionV>
            <wp:extent cx="2457450" cy="1787525"/>
            <wp:effectExtent l="133350" t="76200" r="76200" b="136525"/>
            <wp:wrapSquare wrapText="bothSides"/>
            <wp:docPr id="2" name="Picture 2" descr="D:\IMAGES\CC websites\ITU Activities-Ewaste\ITU-strategiesandpolic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S\CC websites\ITU Activities-Ewaste\ITU-strategiesandpolici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87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9DF" w:rsidRPr="003D78A1">
        <w:rPr>
          <w:rFonts w:ascii="Segoe UI" w:hAnsi="Segoe UI" w:cs="Segoe UI"/>
          <w:b/>
          <w:bCs/>
        </w:rPr>
        <w:t xml:space="preserve">Sentar las bases para una economía circular en las ciudades sostenibles </w:t>
      </w:r>
      <w:r w:rsidR="006134BC">
        <w:rPr>
          <w:rFonts w:ascii="Segoe UI" w:hAnsi="Segoe UI" w:cs="Segoe UI"/>
          <w:b/>
          <w:bCs/>
        </w:rPr>
        <w:t xml:space="preserve">e </w:t>
      </w:r>
      <w:r w:rsidR="00DF19DF" w:rsidRPr="003D78A1">
        <w:rPr>
          <w:rFonts w:ascii="Segoe UI" w:hAnsi="Segoe UI" w:cs="Segoe UI"/>
          <w:b/>
          <w:bCs/>
        </w:rPr>
        <w:t>inteligentes</w:t>
      </w:r>
      <w:r w:rsidR="00DF19DF" w:rsidRPr="003D78A1">
        <w:rPr>
          <w:rFonts w:ascii="Segoe UI" w:hAnsi="Segoe UI" w:cs="Segoe UI"/>
        </w:rPr>
        <w:t>, a fin de mejorar la eficiencia de los recursos e introducir métodos de reciclaje de gran calidad que permitan reducir drásticamente la generación de residuos</w:t>
      </w:r>
      <w:r w:rsidR="00936BBA">
        <w:rPr>
          <w:rFonts w:ascii="Segoe UI" w:hAnsi="Segoe UI" w:cs="Segoe UI"/>
        </w:rPr>
        <w:t xml:space="preserve">, </w:t>
      </w:r>
      <w:r w:rsidR="005935FD">
        <w:rPr>
          <w:rFonts w:ascii="Segoe UI" w:hAnsi="Segoe UI" w:cs="Segoe UI"/>
        </w:rPr>
        <w:t xml:space="preserve">incluyendo los electrónicos, </w:t>
      </w:r>
      <w:r w:rsidR="00DF19DF" w:rsidRPr="003D78A1">
        <w:rPr>
          <w:rFonts w:ascii="Segoe UI" w:hAnsi="Segoe UI" w:cs="Segoe UI"/>
        </w:rPr>
        <w:t>y disminuir la dependencia de los recursos naturales en el entorno urbano. Las normas internacionales y las prácticas de diseño sostenibles en pro de la economía circular puede crear un ciclo de producción y reutilización virtuoso que elimine los patrones de consumo lineales y resuelva los problemas relacionados con la disponibilidad de recursos.</w:t>
      </w:r>
    </w:p>
    <w:p w:rsidR="00DF19DF" w:rsidRPr="00FC43DB" w:rsidRDefault="00DF19DF" w:rsidP="00FC43DB">
      <w:pPr>
        <w:pStyle w:val="ListParagraph"/>
        <w:numPr>
          <w:ilvl w:val="0"/>
          <w:numId w:val="1"/>
        </w:numPr>
        <w:snapToGrid w:val="0"/>
        <w:spacing w:before="120"/>
        <w:contextualSpacing w:val="0"/>
        <w:jc w:val="both"/>
        <w:rPr>
          <w:rFonts w:ascii="Segoe UI" w:hAnsi="Segoe UI" w:cs="Segoe UI"/>
          <w:lang w:val="es-MX"/>
        </w:rPr>
      </w:pPr>
      <w:r w:rsidRPr="00DD682C">
        <w:rPr>
          <w:rFonts w:ascii="Segoe UI" w:hAnsi="Segoe UI" w:cs="Segoe UI"/>
          <w:b/>
          <w:bCs/>
          <w:lang w:val="es-MX"/>
        </w:rPr>
        <w:t>Desarrollar soluciones tangibles para la gestión de residuos electrónicos</w:t>
      </w:r>
      <w:r w:rsidRPr="00DD682C">
        <w:rPr>
          <w:rFonts w:ascii="Segoe UI" w:hAnsi="Segoe UI" w:cs="Segoe UI"/>
          <w:lang w:val="es-MX"/>
        </w:rPr>
        <w:t>, mediante la puesta en marcha de normas internacionales viables</w:t>
      </w:r>
      <w:r w:rsidR="00C62DEB" w:rsidRPr="00DD682C">
        <w:rPr>
          <w:rFonts w:ascii="Segoe UI" w:hAnsi="Segoe UI" w:cs="Segoe UI"/>
          <w:lang w:val="es-MX"/>
        </w:rPr>
        <w:t xml:space="preserve"> (p.ej. Recomendaciones de la UIT-T)</w:t>
      </w:r>
      <w:r w:rsidRPr="00DD682C">
        <w:rPr>
          <w:rFonts w:ascii="Segoe UI" w:hAnsi="Segoe UI" w:cs="Segoe UI"/>
          <w:lang w:val="es-MX"/>
        </w:rPr>
        <w:t xml:space="preserve">, que contengan directrices importantes para la recopilación, almacenamiento, transporte y tratamiento de los dispositivos al final de su vida útil. </w:t>
      </w:r>
      <w:r w:rsidRPr="00DD682C">
        <w:rPr>
          <w:rFonts w:ascii="Segoe UI" w:hAnsi="Segoe UI" w:cs="Segoe UI"/>
          <w:lang w:val="es-ES"/>
        </w:rPr>
        <w:t>Las normas internacionales abogan por la aplicación de medidas de seguridad adecuadas al reciclaje de residuos electrónicos y prohíben el vertido ilegal de este tipo de residuos en los países en desarrollo, a fin de proteger el medio ambiente y la salud y segurida</w:t>
      </w:r>
      <w:r w:rsidR="00FC43DB">
        <w:rPr>
          <w:rFonts w:ascii="Segoe UI" w:hAnsi="Segoe UI" w:cs="Segoe UI"/>
          <w:lang w:val="es-ES"/>
        </w:rPr>
        <w:t xml:space="preserve">d de la población, y conservar </w:t>
      </w:r>
      <w:r w:rsidRPr="00DD682C">
        <w:rPr>
          <w:rFonts w:ascii="Segoe UI" w:hAnsi="Segoe UI" w:cs="Segoe UI"/>
          <w:lang w:val="es-ES"/>
        </w:rPr>
        <w:t>recursos valiosos.</w:t>
      </w:r>
      <w:r w:rsidR="00D432B7" w:rsidRPr="00DD682C">
        <w:rPr>
          <w:rFonts w:ascii="Segoe UI" w:hAnsi="Segoe UI" w:cs="Segoe UI"/>
          <w:lang w:val="es-ES"/>
        </w:rPr>
        <w:t xml:space="preserve"> </w:t>
      </w:r>
      <w:r w:rsidR="005935FD" w:rsidRPr="00DD682C">
        <w:rPr>
          <w:rFonts w:ascii="Segoe UI" w:hAnsi="Segoe UI" w:cs="Segoe UI"/>
          <w:lang w:val="es-MX"/>
        </w:rPr>
        <w:t>El desarrollo de soluciones de reciclaje locales reduce la huella de carbono generada por el transporte de materiales para su procesamiento final.</w:t>
      </w:r>
    </w:p>
    <w:p w:rsidR="00DF19DF" w:rsidRPr="003D78A1" w:rsidRDefault="00DF19DF" w:rsidP="00DD682C">
      <w:pPr>
        <w:pStyle w:val="enumlev1"/>
        <w:numPr>
          <w:ilvl w:val="0"/>
          <w:numId w:val="1"/>
        </w:numPr>
        <w:spacing w:before="120"/>
        <w:jc w:val="both"/>
        <w:rPr>
          <w:rFonts w:ascii="Segoe UI" w:hAnsi="Segoe UI" w:cs="Segoe UI"/>
        </w:rPr>
      </w:pPr>
      <w:r w:rsidRPr="003D78A1">
        <w:rPr>
          <w:rFonts w:ascii="Segoe UI" w:hAnsi="Segoe UI" w:cs="Segoe UI"/>
          <w:b/>
          <w:bCs/>
        </w:rPr>
        <w:t>Contribuir a la preparación del Nuevo Desarrollo Urbano</w:t>
      </w:r>
      <w:r w:rsidRPr="003D78A1">
        <w:rPr>
          <w:rFonts w:ascii="Segoe UI" w:hAnsi="Segoe UI" w:cs="Segoe UI"/>
        </w:rPr>
        <w:t>, mediante el fomento de</w:t>
      </w:r>
      <w:r w:rsidR="005935FD">
        <w:rPr>
          <w:rFonts w:ascii="Segoe UI" w:hAnsi="Segoe UI" w:cs="Segoe UI"/>
        </w:rPr>
        <w:t xml:space="preserve">l uso de las </w:t>
      </w:r>
      <w:r w:rsidRPr="003D78A1">
        <w:rPr>
          <w:rFonts w:ascii="Segoe UI" w:hAnsi="Segoe UI" w:cs="Segoe UI"/>
        </w:rPr>
        <w:t xml:space="preserve">TIC para mejorar la gestión urbana y la introducción de medidas que refuercen la responsabilidad y la transparencia en el suministro de servicios urbanos y el acceso a la información digital, como se prevé en la Nueva Agenda Urbana. </w:t>
      </w:r>
      <w:r w:rsidR="00C62DEB">
        <w:rPr>
          <w:rFonts w:ascii="Segoe UI" w:hAnsi="Segoe UI" w:cs="Segoe UI"/>
        </w:rPr>
        <w:t>S</w:t>
      </w:r>
      <w:r w:rsidRPr="003D78A1">
        <w:rPr>
          <w:rFonts w:ascii="Segoe UI" w:hAnsi="Segoe UI" w:cs="Segoe UI"/>
        </w:rPr>
        <w:t xml:space="preserve">e promoverá el concepto de ciudad sostenible </w:t>
      </w:r>
      <w:r w:rsidR="00FC43DB">
        <w:rPr>
          <w:rFonts w:ascii="Segoe UI" w:hAnsi="Segoe UI" w:cs="Segoe UI"/>
        </w:rPr>
        <w:t xml:space="preserve">e </w:t>
      </w:r>
      <w:r w:rsidRPr="003D78A1">
        <w:rPr>
          <w:rFonts w:ascii="Segoe UI" w:hAnsi="Segoe UI" w:cs="Segoe UI"/>
        </w:rPr>
        <w:t xml:space="preserve">inteligente, con su amplia infraestructura TIC, a fin de crear espacios urbanos ecológicos y cómodos con gran capacidad regenerativa y reducir las interrupciones imprevistas en la prestación de los servicios básicos. De conformidad con el principio de ciudad sostenible </w:t>
      </w:r>
      <w:r w:rsidR="00FC43DB">
        <w:rPr>
          <w:rFonts w:ascii="Segoe UI" w:hAnsi="Segoe UI" w:cs="Segoe UI"/>
        </w:rPr>
        <w:t xml:space="preserve">e </w:t>
      </w:r>
      <w:r w:rsidRPr="003D78A1">
        <w:rPr>
          <w:rFonts w:ascii="Segoe UI" w:hAnsi="Segoe UI" w:cs="Segoe UI"/>
        </w:rPr>
        <w:t>inteligente, se dará prioridad al suministro de viviendas asequibles, a la protección de la diversidad cultural, a la mejora de las interacciones sociales, al fomento de la participación política, a la conservación de la biodiversidad y la protección de otras especies en el entorno urbano y al fomento de la cohesión social.</w:t>
      </w:r>
    </w:p>
    <w:p w:rsidR="00DF19DF" w:rsidRPr="003D78A1" w:rsidRDefault="00DF19DF" w:rsidP="006F3E0A">
      <w:pPr>
        <w:pStyle w:val="enumlev1"/>
        <w:numPr>
          <w:ilvl w:val="0"/>
          <w:numId w:val="1"/>
        </w:numPr>
        <w:spacing w:before="120"/>
        <w:jc w:val="both"/>
        <w:rPr>
          <w:rFonts w:ascii="Segoe UI" w:hAnsi="Segoe UI" w:cs="Segoe UI"/>
        </w:rPr>
      </w:pPr>
      <w:r w:rsidRPr="003D78A1">
        <w:rPr>
          <w:rFonts w:ascii="Segoe UI" w:hAnsi="Segoe UI" w:cs="Segoe UI"/>
          <w:b/>
          <w:bCs/>
        </w:rPr>
        <w:t>Catalizar la aplicación de normas internacionales</w:t>
      </w:r>
      <w:r w:rsidR="00FC43DB">
        <w:rPr>
          <w:rFonts w:ascii="Segoe UI" w:hAnsi="Segoe UI" w:cs="Segoe UI"/>
          <w:b/>
          <w:bCs/>
        </w:rPr>
        <w:t xml:space="preserve"> e indicadores fundamentales de </w:t>
      </w:r>
      <w:r w:rsidRPr="003D78A1">
        <w:rPr>
          <w:rFonts w:ascii="Segoe UI" w:hAnsi="Segoe UI" w:cs="Segoe UI"/>
          <w:b/>
          <w:bCs/>
        </w:rPr>
        <w:t>rendimiento para la transición a ciudades inteligentes</w:t>
      </w:r>
      <w:r w:rsidRPr="003D78A1">
        <w:rPr>
          <w:rFonts w:ascii="Segoe UI" w:hAnsi="Segoe UI" w:cs="Segoe UI"/>
        </w:rPr>
        <w:t xml:space="preserve">, mediante el compromiso unánime de transformar las zonas urbanas en ciudades seguras, económicamente eficientes, dinámicas, resistentes al cambio climático, robustas desde el punto de vista ecológico, integradoras y sostenibles, la modernización de las actuales infraestructuras urbanas por medio de las TIC y el empoderamiento de la mujer y </w:t>
      </w:r>
      <w:r w:rsidR="005935FD">
        <w:rPr>
          <w:rFonts w:ascii="Segoe UI" w:hAnsi="Segoe UI" w:cs="Segoe UI"/>
        </w:rPr>
        <w:t xml:space="preserve">de </w:t>
      </w:r>
      <w:r w:rsidRPr="003D78A1">
        <w:rPr>
          <w:rFonts w:ascii="Segoe UI" w:hAnsi="Segoe UI" w:cs="Segoe UI"/>
        </w:rPr>
        <w:t>grupos marginados para que participen en el proceso de adopción de decisiones y tengan más acceso al mercado de trabajo. Gracias a la aplicación de normas internacionales destinadas a impulsar la transformación de ciudades inteligentes, se creará igualdad de oportunidades para todos los actores de las ciudades, se promoverá el acceso equitativo a los bienes públicos y a los recursos naturales y se creará un entorno justo y propicio para el comercio en todo el planeta.</w:t>
      </w:r>
    </w:p>
    <w:p w:rsidR="00DF19DF" w:rsidRPr="003D78A1" w:rsidRDefault="00DF19DF" w:rsidP="006F3E0A">
      <w:pPr>
        <w:pStyle w:val="enumlev1"/>
        <w:numPr>
          <w:ilvl w:val="0"/>
          <w:numId w:val="1"/>
        </w:numPr>
        <w:spacing w:before="120"/>
        <w:jc w:val="both"/>
        <w:rPr>
          <w:rFonts w:ascii="Segoe UI" w:hAnsi="Segoe UI" w:cs="Segoe UI"/>
        </w:rPr>
      </w:pPr>
      <w:r w:rsidRPr="003D78A1">
        <w:rPr>
          <w:rFonts w:ascii="Segoe UI" w:hAnsi="Segoe UI" w:cs="Segoe UI"/>
          <w:b/>
          <w:bCs/>
        </w:rPr>
        <w:t>Redefinir las ciudades sostenibles</w:t>
      </w:r>
      <w:r w:rsidR="00FC43DB">
        <w:rPr>
          <w:rFonts w:ascii="Segoe UI" w:hAnsi="Segoe UI" w:cs="Segoe UI"/>
          <w:b/>
          <w:bCs/>
        </w:rPr>
        <w:t xml:space="preserve"> e</w:t>
      </w:r>
      <w:r w:rsidRPr="003D78A1">
        <w:rPr>
          <w:rFonts w:ascii="Segoe UI" w:hAnsi="Segoe UI" w:cs="Segoe UI"/>
          <w:b/>
          <w:bCs/>
        </w:rPr>
        <w:t xml:space="preserve"> inteligentes como un ecosistema para la innovación</w:t>
      </w:r>
      <w:r w:rsidRPr="003D78A1">
        <w:rPr>
          <w:rFonts w:ascii="Segoe UI" w:hAnsi="Segoe UI" w:cs="Segoe UI"/>
        </w:rPr>
        <w:t xml:space="preserve">, a fin de investigar las numerosas ventajas para las ciudades, sus alrededores y sus comunidades, generadas por la creciente variedad de aplicaciones y servicios digitales en las ciudades sostenibles </w:t>
      </w:r>
      <w:r w:rsidR="00FC43DB">
        <w:rPr>
          <w:rFonts w:ascii="Segoe UI" w:hAnsi="Segoe UI" w:cs="Segoe UI"/>
        </w:rPr>
        <w:t xml:space="preserve">e </w:t>
      </w:r>
      <w:r w:rsidRPr="003D78A1">
        <w:rPr>
          <w:rFonts w:ascii="Segoe UI" w:hAnsi="Segoe UI" w:cs="Segoe UI"/>
        </w:rPr>
        <w:t>inteligentes. La esencia de la transición a ciudades inteligentes radica en la necesidad de modernizar las infraestructuras fundamentales urbanas para mejorar la capacidad de la ciudad de planificar y gestionar eficientemente los recursos, mejorar la movilidad, fomentar la integración y mejorar las condiciones ambientales.</w:t>
      </w:r>
    </w:p>
    <w:p w:rsidR="00DF19DF" w:rsidRPr="003D78A1" w:rsidRDefault="006F3E0A" w:rsidP="006F3E0A">
      <w:pPr>
        <w:pStyle w:val="enumlev1"/>
        <w:numPr>
          <w:ilvl w:val="0"/>
          <w:numId w:val="1"/>
        </w:numPr>
        <w:spacing w:before="120"/>
        <w:jc w:val="both"/>
        <w:rPr>
          <w:rFonts w:ascii="Segoe UI" w:hAnsi="Segoe UI" w:cs="Segoe UI"/>
        </w:rPr>
      </w:pPr>
      <w:r w:rsidRPr="00D54C5F">
        <w:rPr>
          <w:rFonts w:ascii="Segoe UI" w:hAnsi="Segoe UI" w:cs="Segoe UI"/>
          <w:noProof/>
          <w:lang w:val="en-US" w:eastAsia="zh-CN"/>
        </w:rPr>
        <w:drawing>
          <wp:anchor distT="0" distB="0" distL="114300" distR="114300" simplePos="0" relativeHeight="251665408" behindDoc="0" locked="0" layoutInCell="1" allowOverlap="1" wp14:anchorId="65E2C0A5" wp14:editId="470558E0">
            <wp:simplePos x="0" y="0"/>
            <wp:positionH relativeFrom="column">
              <wp:posOffset>301336</wp:posOffset>
            </wp:positionH>
            <wp:positionV relativeFrom="paragraph">
              <wp:posOffset>76200</wp:posOffset>
            </wp:positionV>
            <wp:extent cx="1961515" cy="1889125"/>
            <wp:effectExtent l="133350" t="76200" r="76835" b="130175"/>
            <wp:wrapSquare wrapText="bothSides"/>
            <wp:docPr id="5" name="Picture 5" descr="D:\IMAGES\U4SSC\U4S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AGES\U4SSC\U4SSC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889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9DF" w:rsidRPr="003D78A1">
        <w:rPr>
          <w:rFonts w:ascii="Segoe UI" w:hAnsi="Segoe UI" w:cs="Segoe UI"/>
          <w:b/>
          <w:bCs/>
        </w:rPr>
        <w:t xml:space="preserve">Reafirmar el papel esencial de la iniciativa Unidos por las Ciudades Sostenibles </w:t>
      </w:r>
      <w:r w:rsidR="00FC43DB">
        <w:rPr>
          <w:rFonts w:ascii="Segoe UI" w:hAnsi="Segoe UI" w:cs="Segoe UI"/>
          <w:b/>
          <w:bCs/>
        </w:rPr>
        <w:t xml:space="preserve">e </w:t>
      </w:r>
      <w:r w:rsidR="00DF19DF" w:rsidRPr="003D78A1">
        <w:rPr>
          <w:rFonts w:ascii="Segoe UI" w:hAnsi="Segoe UI" w:cs="Segoe UI"/>
          <w:b/>
          <w:bCs/>
        </w:rPr>
        <w:t>Inteligentes (U4SSC)</w:t>
      </w:r>
      <w:r w:rsidR="00DF19DF" w:rsidRPr="003D78A1">
        <w:rPr>
          <w:rFonts w:ascii="Segoe UI" w:hAnsi="Segoe UI" w:cs="Segoe UI"/>
        </w:rPr>
        <w:t xml:space="preserve">, mediante la participación en esta iniciativa y en sus actividades de capacitación, destinada a que las TIC sean accesibles y asequibles a todos los ciudadanos urbanos. A través de esta iniciativa, será posible aplicar la acción transformadora de las TIC al desarrollo urbano sostenible e introducir marcos legislativos y normativos eficientes, transparentes y equitativos, sistemas de planificación integradores, una gestión financiera eficaz  y responsabilidad para todos los habitantes y actores urbanos que acelerará la transición hacia ciudades sostenibles </w:t>
      </w:r>
      <w:r w:rsidR="00FC43DB">
        <w:rPr>
          <w:rFonts w:ascii="Segoe UI" w:hAnsi="Segoe UI" w:cs="Segoe UI"/>
        </w:rPr>
        <w:t xml:space="preserve">e </w:t>
      </w:r>
      <w:r w:rsidR="00DF19DF" w:rsidRPr="003D78A1">
        <w:rPr>
          <w:rFonts w:ascii="Segoe UI" w:hAnsi="Segoe UI" w:cs="Segoe UI"/>
        </w:rPr>
        <w:t>inteligentes.</w:t>
      </w:r>
    </w:p>
    <w:p w:rsidR="00DF19DF" w:rsidRPr="003D78A1" w:rsidRDefault="00DF19DF" w:rsidP="006F3E0A">
      <w:pPr>
        <w:pStyle w:val="enumlev1"/>
        <w:numPr>
          <w:ilvl w:val="0"/>
          <w:numId w:val="1"/>
        </w:numPr>
        <w:spacing w:before="120"/>
        <w:jc w:val="both"/>
        <w:rPr>
          <w:rFonts w:ascii="Segoe UI" w:hAnsi="Segoe UI" w:cs="Segoe UI"/>
        </w:rPr>
      </w:pPr>
      <w:r w:rsidRPr="003D78A1">
        <w:rPr>
          <w:rFonts w:ascii="Segoe UI" w:hAnsi="Segoe UI" w:cs="Segoe UI"/>
          <w:b/>
          <w:bCs/>
        </w:rPr>
        <w:t xml:space="preserve">Convertir en realidad la accesibilidad de las </w:t>
      </w:r>
      <w:r w:rsidR="006713A6" w:rsidRPr="003D78A1">
        <w:rPr>
          <w:rFonts w:ascii="Segoe UI" w:hAnsi="Segoe UI" w:cs="Segoe UI"/>
          <w:b/>
          <w:bCs/>
        </w:rPr>
        <w:t>TIC</w:t>
      </w:r>
      <w:r w:rsidRPr="003D78A1">
        <w:rPr>
          <w:rFonts w:ascii="Segoe UI" w:hAnsi="Segoe UI" w:cs="Segoe UI"/>
        </w:rPr>
        <w:t xml:space="preserve">, utilizando políticas de adquisición pública que mejoren el acceso a las innovaciones digitales por las personas con discapacidad </w:t>
      </w:r>
      <w:r w:rsidR="00FC43DB">
        <w:rPr>
          <w:rFonts w:ascii="Segoe UI" w:hAnsi="Segoe UI" w:cs="Segoe UI"/>
        </w:rPr>
        <w:t xml:space="preserve">y para los adultos mayores </w:t>
      </w:r>
      <w:r w:rsidRPr="003D78A1">
        <w:rPr>
          <w:rFonts w:ascii="Segoe UI" w:hAnsi="Segoe UI" w:cs="Segoe UI"/>
        </w:rPr>
        <w:t xml:space="preserve">a los efectos de mejorar su calidad de vida, promover su autonomía y lograr comunicaciones </w:t>
      </w:r>
      <w:r w:rsidR="00FC43DB">
        <w:rPr>
          <w:rFonts w:ascii="Segoe UI" w:hAnsi="Segoe UI" w:cs="Segoe UI"/>
        </w:rPr>
        <w:t xml:space="preserve">más </w:t>
      </w:r>
      <w:r w:rsidRPr="003D78A1">
        <w:rPr>
          <w:rFonts w:ascii="Segoe UI" w:hAnsi="Segoe UI" w:cs="Segoe UI"/>
        </w:rPr>
        <w:t>equitativas.</w:t>
      </w:r>
    </w:p>
    <w:p w:rsidR="00C62DEB" w:rsidRDefault="00DF19DF" w:rsidP="00C62DEB">
      <w:pPr>
        <w:pStyle w:val="enumlev1"/>
        <w:keepNext/>
        <w:keepLines/>
        <w:numPr>
          <w:ilvl w:val="0"/>
          <w:numId w:val="1"/>
        </w:numPr>
        <w:spacing w:before="120"/>
        <w:jc w:val="both"/>
        <w:rPr>
          <w:rFonts w:ascii="Segoe UI" w:hAnsi="Segoe UI" w:cs="Segoe UI"/>
        </w:rPr>
      </w:pPr>
      <w:r w:rsidRPr="003D78A1">
        <w:rPr>
          <w:rFonts w:ascii="Segoe UI" w:hAnsi="Segoe UI" w:cs="Segoe UI"/>
          <w:b/>
          <w:bCs/>
        </w:rPr>
        <w:t>Fomentar</w:t>
      </w:r>
      <w:r w:rsidR="00936BBA">
        <w:rPr>
          <w:rFonts w:ascii="Segoe UI" w:hAnsi="Segoe UI" w:cs="Segoe UI"/>
          <w:b/>
          <w:bCs/>
        </w:rPr>
        <w:t xml:space="preserve"> </w:t>
      </w:r>
      <w:r w:rsidRPr="003D78A1">
        <w:rPr>
          <w:rFonts w:ascii="Segoe UI" w:hAnsi="Segoe UI" w:cs="Segoe UI"/>
          <w:b/>
          <w:bCs/>
        </w:rPr>
        <w:t>la utilización de plataformas de datos abiertas y participativas utilizando las TIC</w:t>
      </w:r>
      <w:r w:rsidRPr="003D78A1">
        <w:rPr>
          <w:rFonts w:ascii="Segoe UI" w:hAnsi="Segoe UI" w:cs="Segoe UI"/>
        </w:rPr>
        <w:t xml:space="preserve">, a fin de facilitar la transferencia de conocimientos entre los gobiernos nacionales, </w:t>
      </w:r>
      <w:proofErr w:type="spellStart"/>
      <w:r w:rsidRPr="003D78A1">
        <w:rPr>
          <w:rFonts w:ascii="Segoe UI" w:hAnsi="Segoe UI" w:cs="Segoe UI"/>
        </w:rPr>
        <w:t>subnacionales</w:t>
      </w:r>
      <w:proofErr w:type="spellEnd"/>
      <w:r w:rsidRPr="003D78A1">
        <w:rPr>
          <w:rFonts w:ascii="Segoe UI" w:hAnsi="Segoe UI" w:cs="Segoe UI"/>
        </w:rPr>
        <w:t xml:space="preserve"> y locales y otros actores para mejorar la ge</w:t>
      </w:r>
      <w:r w:rsidR="00FC43DB">
        <w:rPr>
          <w:rFonts w:ascii="Segoe UI" w:hAnsi="Segoe UI" w:cs="Segoe UI"/>
        </w:rPr>
        <w:t>stión y la planificación urbana</w:t>
      </w:r>
      <w:r w:rsidRPr="003D78A1">
        <w:rPr>
          <w:rFonts w:ascii="Segoe UI" w:hAnsi="Segoe UI" w:cs="Segoe UI"/>
        </w:rPr>
        <w:t xml:space="preserve"> mediante técnicas eficaces de gobernanza electrónica.</w:t>
      </w:r>
    </w:p>
    <w:p w:rsidR="00C62DEB" w:rsidRDefault="00C62DEB" w:rsidP="00C62DEB">
      <w:pPr>
        <w:pStyle w:val="enumlev1"/>
        <w:keepNext/>
        <w:keepLines/>
        <w:numPr>
          <w:ilvl w:val="0"/>
          <w:numId w:val="1"/>
        </w:numPr>
        <w:spacing w:before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Pr="00FC43DB">
        <w:rPr>
          <w:rFonts w:ascii="Segoe UI" w:hAnsi="Segoe UI" w:cs="Segoe UI"/>
          <w:b/>
          <w:bCs/>
        </w:rPr>
        <w:t>Promover el derecho a la ciudad</w:t>
      </w:r>
      <w:r w:rsidRPr="00DD682C">
        <w:rPr>
          <w:rFonts w:ascii="Segoe UI" w:hAnsi="Segoe UI" w:cs="Segoe UI"/>
        </w:rPr>
        <w:t xml:space="preserve"> como </w:t>
      </w:r>
      <w:r w:rsidR="00D21D5B" w:rsidRPr="00DD682C">
        <w:rPr>
          <w:rFonts w:ascii="Segoe UI" w:hAnsi="Segoe UI" w:cs="Segoe UI"/>
        </w:rPr>
        <w:t>su</w:t>
      </w:r>
      <w:r w:rsidR="00FC43DB">
        <w:rPr>
          <w:rFonts w:ascii="Segoe UI" w:hAnsi="Segoe UI" w:cs="Segoe UI"/>
        </w:rPr>
        <w:t xml:space="preserve"> usufructo equitativo </w:t>
      </w:r>
      <w:r w:rsidRPr="00DD682C">
        <w:rPr>
          <w:rFonts w:ascii="Segoe UI" w:hAnsi="Segoe UI" w:cs="Segoe UI"/>
        </w:rPr>
        <w:t>dentro de los principios de sostenibilidad y justicia social y con el objetivo de  acercar cada vez más la gestión a la gente.</w:t>
      </w:r>
      <w:r>
        <w:rPr>
          <w:rFonts w:ascii="Segoe UI" w:hAnsi="Segoe UI" w:cs="Segoe UI"/>
        </w:rPr>
        <w:t xml:space="preserve"> </w:t>
      </w:r>
    </w:p>
    <w:p w:rsidR="00FC43DB" w:rsidRDefault="00C62DEB" w:rsidP="00FC43DB">
      <w:pPr>
        <w:pStyle w:val="enumlev1"/>
        <w:keepNext/>
        <w:keepLines/>
        <w:numPr>
          <w:ilvl w:val="0"/>
          <w:numId w:val="1"/>
        </w:numPr>
        <w:spacing w:before="120"/>
        <w:jc w:val="both"/>
        <w:rPr>
          <w:rFonts w:ascii="Segoe UI" w:hAnsi="Segoe UI" w:cs="Segoe UI"/>
        </w:rPr>
      </w:pPr>
      <w:r w:rsidRPr="00FC43DB">
        <w:rPr>
          <w:rFonts w:ascii="Segoe UI" w:hAnsi="Segoe UI" w:cs="Segoe UI"/>
          <w:b/>
          <w:bCs/>
        </w:rPr>
        <w:t>Invitar</w:t>
      </w:r>
      <w:r w:rsidR="00FC43DB" w:rsidRPr="00FC43DB">
        <w:rPr>
          <w:rFonts w:ascii="Segoe UI" w:hAnsi="Segoe UI" w:cs="Segoe UI"/>
          <w:b/>
          <w:bCs/>
        </w:rPr>
        <w:t xml:space="preserve"> </w:t>
      </w:r>
      <w:r w:rsidR="00FC43DB" w:rsidRPr="00FC43DB">
        <w:rPr>
          <w:rFonts w:ascii="Segoe UI" w:hAnsi="Segoe UI" w:cs="Segoe UI"/>
          <w:b/>
          <w:bCs/>
        </w:rPr>
        <w:t>a colaborar</w:t>
      </w:r>
      <w:r w:rsidR="00FC43DB" w:rsidRPr="00D432B7">
        <w:rPr>
          <w:rFonts w:ascii="Segoe UI" w:hAnsi="Segoe UI" w:cs="Segoe UI"/>
        </w:rPr>
        <w:t xml:space="preserve"> </w:t>
      </w:r>
      <w:r w:rsidR="00EC28BA" w:rsidRPr="00C62DEB">
        <w:rPr>
          <w:rFonts w:ascii="Segoe UI" w:hAnsi="Segoe UI" w:cs="Segoe UI"/>
        </w:rPr>
        <w:t>a los gobiernos nacionales y locales, a los organismos internacionales, a las organizaciones no gubernamentales (ONG), a la sociedad civil, a las municipalidades, a las instituciones acad</w:t>
      </w:r>
      <w:r w:rsidR="00EC28BA" w:rsidRPr="00D432B7">
        <w:rPr>
          <w:rFonts w:ascii="Segoe UI" w:hAnsi="Segoe UI" w:cs="Segoe UI"/>
        </w:rPr>
        <w:t xml:space="preserve">émicas y a las entidades del sector privado y </w:t>
      </w:r>
      <w:r w:rsidR="00FC43DB">
        <w:rPr>
          <w:rFonts w:ascii="Segoe UI" w:hAnsi="Segoe UI" w:cs="Segoe UI"/>
        </w:rPr>
        <w:t xml:space="preserve">a </w:t>
      </w:r>
      <w:r w:rsidR="00EC28BA" w:rsidRPr="00D432B7">
        <w:rPr>
          <w:rFonts w:ascii="Segoe UI" w:hAnsi="Segoe UI" w:cs="Segoe UI"/>
        </w:rPr>
        <w:t xml:space="preserve">contribuir para que las ciudades sostenibles </w:t>
      </w:r>
      <w:r w:rsidR="00FC43DB">
        <w:rPr>
          <w:rFonts w:ascii="Segoe UI" w:hAnsi="Segoe UI" w:cs="Segoe UI"/>
        </w:rPr>
        <w:t xml:space="preserve">e </w:t>
      </w:r>
      <w:r w:rsidR="00EC28BA" w:rsidRPr="00D432B7">
        <w:rPr>
          <w:rFonts w:ascii="Segoe UI" w:hAnsi="Segoe UI" w:cs="Segoe UI"/>
        </w:rPr>
        <w:t>inteligentes constituyan el n</w:t>
      </w:r>
      <w:r w:rsidR="00EC28BA" w:rsidRPr="00C62DEB">
        <w:rPr>
          <w:rFonts w:ascii="Segoe UI" w:hAnsi="Segoe UI" w:cs="Segoe UI"/>
        </w:rPr>
        <w:t>úcleo de las futuras estrategias de desarrollo urbano</w:t>
      </w:r>
      <w:r w:rsidR="00FC43DB">
        <w:rPr>
          <w:rFonts w:ascii="Segoe UI" w:hAnsi="Segoe UI" w:cs="Segoe UI"/>
        </w:rPr>
        <w:t>.</w:t>
      </w:r>
    </w:p>
    <w:p w:rsidR="00EC28BA" w:rsidRPr="00C62DEB" w:rsidRDefault="00EC28BA" w:rsidP="00FC43DB">
      <w:pPr>
        <w:pStyle w:val="enumlev1"/>
        <w:keepNext/>
        <w:keepLines/>
        <w:numPr>
          <w:ilvl w:val="0"/>
          <w:numId w:val="1"/>
        </w:numPr>
        <w:spacing w:before="120"/>
        <w:jc w:val="both"/>
        <w:rPr>
          <w:rFonts w:ascii="Segoe UI" w:hAnsi="Segoe UI" w:cs="Segoe UI"/>
        </w:rPr>
      </w:pPr>
      <w:r w:rsidRPr="00C62DEB">
        <w:rPr>
          <w:rFonts w:ascii="Segoe UI" w:hAnsi="Segoe UI" w:cs="Segoe UI"/>
        </w:rPr>
        <w:t xml:space="preserve"> </w:t>
      </w:r>
      <w:r w:rsidR="00FC43DB" w:rsidRPr="00FC43DB">
        <w:rPr>
          <w:rFonts w:ascii="Segoe UI" w:hAnsi="Segoe UI" w:cs="Segoe UI"/>
          <w:b/>
          <w:bCs/>
        </w:rPr>
        <w:t>Invitar a</w:t>
      </w:r>
      <w:r w:rsidRPr="00C62DEB">
        <w:rPr>
          <w:rFonts w:ascii="Segoe UI" w:hAnsi="Segoe UI" w:cs="Segoe UI"/>
        </w:rPr>
        <w:t xml:space="preserve"> </w:t>
      </w:r>
      <w:r w:rsidRPr="00FC43DB">
        <w:rPr>
          <w:rFonts w:ascii="Segoe UI" w:hAnsi="Segoe UI" w:cs="Segoe UI"/>
          <w:b/>
          <w:bCs/>
        </w:rPr>
        <w:t>participar en las actividades prioritarias</w:t>
      </w:r>
      <w:r w:rsidRPr="00C62DEB">
        <w:rPr>
          <w:rFonts w:ascii="Segoe UI" w:hAnsi="Segoe UI" w:cs="Segoe UI"/>
        </w:rPr>
        <w:t xml:space="preserve"> destinadas a promover las ciudades sostenibles inteligentes y las TIC como componentes esenciales de la Nueva Agenda Urbana.</w:t>
      </w:r>
    </w:p>
    <w:p w:rsidR="006713A6" w:rsidRPr="003D78A1" w:rsidRDefault="009F2610" w:rsidP="00E257B1">
      <w:pPr>
        <w:pStyle w:val="enumlev1"/>
        <w:keepNext/>
        <w:keepLines/>
        <w:tabs>
          <w:tab w:val="clear" w:pos="794"/>
          <w:tab w:val="left" w:pos="0"/>
        </w:tabs>
        <w:spacing w:before="120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Por último, los organizadores y participantes en esta Semana de las Normas Verdes de 2016 queremos transmitir nuestro más sincero agradecimiento a la Intendencia de Montevideo por impulsar los diversos intereses d</w:t>
      </w:r>
      <w:r w:rsidR="00402B74">
        <w:rPr>
          <w:rFonts w:ascii="Segoe UI" w:hAnsi="Segoe UI" w:cs="Segoe UI"/>
        </w:rPr>
        <w:t>e l</w:t>
      </w:r>
      <w:r>
        <w:rPr>
          <w:rFonts w:ascii="Segoe UI" w:hAnsi="Segoe UI" w:cs="Segoe UI"/>
        </w:rPr>
        <w:t>os actores en las ciudades sostenibles inteligentes y por acoger la Semana de las Normas Verdes 2016 en esta magnífica ciudad.</w:t>
      </w:r>
    </w:p>
    <w:p w:rsidR="006713A6" w:rsidRPr="003D78A1" w:rsidRDefault="006713A6" w:rsidP="003D78A1">
      <w:pPr>
        <w:jc w:val="center"/>
        <w:rPr>
          <w:rFonts w:ascii="Segoe UI" w:hAnsi="Segoe UI" w:cs="Segoe UI"/>
        </w:rPr>
      </w:pPr>
      <w:r w:rsidRPr="003D78A1">
        <w:rPr>
          <w:rFonts w:ascii="Segoe UI" w:hAnsi="Segoe UI" w:cs="Segoe UI"/>
        </w:rPr>
        <w:t>______</w:t>
      </w:r>
      <w:r w:rsidR="003D78A1">
        <w:rPr>
          <w:rFonts w:ascii="Segoe UI" w:hAnsi="Segoe UI" w:cs="Segoe UI"/>
        </w:rPr>
        <w:t>___________</w:t>
      </w:r>
      <w:r w:rsidRPr="003D78A1">
        <w:rPr>
          <w:rFonts w:ascii="Segoe UI" w:hAnsi="Segoe UI" w:cs="Segoe UI"/>
        </w:rPr>
        <w:t>________</w:t>
      </w:r>
    </w:p>
    <w:sectPr w:rsidR="006713A6" w:rsidRPr="003D78A1">
      <w:headerReference w:type="defaul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90" w:rsidRDefault="00AD2090">
      <w:r>
        <w:separator/>
      </w:r>
    </w:p>
  </w:endnote>
  <w:endnote w:type="continuationSeparator" w:id="0">
    <w:p w:rsidR="00AD2090" w:rsidRDefault="00AD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90" w:rsidRDefault="00AD2090">
      <w:r>
        <w:t>____________________</w:t>
      </w:r>
    </w:p>
  </w:footnote>
  <w:footnote w:type="continuationSeparator" w:id="0">
    <w:p w:rsidR="00AD2090" w:rsidRDefault="00AD2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9709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13A6" w:rsidRDefault="006713A6" w:rsidP="006713A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8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C413E"/>
    <w:multiLevelType w:val="hybridMultilevel"/>
    <w:tmpl w:val="97A622C0"/>
    <w:lvl w:ilvl="0" w:tplc="9372F2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85106"/>
    <w:multiLevelType w:val="hybridMultilevel"/>
    <w:tmpl w:val="AF5271DE"/>
    <w:lvl w:ilvl="0" w:tplc="EAF67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DF"/>
    <w:rsid w:val="0005647B"/>
    <w:rsid w:val="000D200E"/>
    <w:rsid w:val="00103412"/>
    <w:rsid w:val="0011438A"/>
    <w:rsid w:val="00127CA3"/>
    <w:rsid w:val="001839A8"/>
    <w:rsid w:val="001958FC"/>
    <w:rsid w:val="00216982"/>
    <w:rsid w:val="003865B1"/>
    <w:rsid w:val="003B37D4"/>
    <w:rsid w:val="003D78A1"/>
    <w:rsid w:val="00402B74"/>
    <w:rsid w:val="004672F1"/>
    <w:rsid w:val="00467B32"/>
    <w:rsid w:val="004E2AB2"/>
    <w:rsid w:val="005935FD"/>
    <w:rsid w:val="005F7263"/>
    <w:rsid w:val="006134BC"/>
    <w:rsid w:val="006713A6"/>
    <w:rsid w:val="006D459C"/>
    <w:rsid w:val="006E2534"/>
    <w:rsid w:val="006F3E0A"/>
    <w:rsid w:val="00706C5F"/>
    <w:rsid w:val="00764030"/>
    <w:rsid w:val="008F50ED"/>
    <w:rsid w:val="009050F4"/>
    <w:rsid w:val="00936BBA"/>
    <w:rsid w:val="00940404"/>
    <w:rsid w:val="009824D2"/>
    <w:rsid w:val="009A7FA0"/>
    <w:rsid w:val="009B0355"/>
    <w:rsid w:val="009F2610"/>
    <w:rsid w:val="00A44918"/>
    <w:rsid w:val="00A548CA"/>
    <w:rsid w:val="00A575E3"/>
    <w:rsid w:val="00AD2090"/>
    <w:rsid w:val="00AF01E5"/>
    <w:rsid w:val="00B86D37"/>
    <w:rsid w:val="00C62DEB"/>
    <w:rsid w:val="00C632EB"/>
    <w:rsid w:val="00C8695B"/>
    <w:rsid w:val="00D14B6D"/>
    <w:rsid w:val="00D21D5B"/>
    <w:rsid w:val="00D432B7"/>
    <w:rsid w:val="00D511D0"/>
    <w:rsid w:val="00DD682C"/>
    <w:rsid w:val="00DF0D3A"/>
    <w:rsid w:val="00DF19DF"/>
    <w:rsid w:val="00E257B1"/>
    <w:rsid w:val="00E569AF"/>
    <w:rsid w:val="00EC28BA"/>
    <w:rsid w:val="00F1263E"/>
    <w:rsid w:val="00F34FFC"/>
    <w:rsid w:val="00FC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3A345-EA70-4A7A-B5B2-4E644186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uiPriority w:val="99"/>
    <w:rsid w:val="006713A6"/>
    <w:rPr>
      <w:rFonts w:ascii="Times New Roman" w:hAnsi="Times New Roman"/>
      <w:sz w:val="18"/>
      <w:lang w:val="es-ES_tradnl" w:eastAsia="en-US"/>
    </w:rPr>
  </w:style>
  <w:style w:type="paragraph" w:customStyle="1" w:styleId="Reasons">
    <w:name w:val="Reasons"/>
    <w:basedOn w:val="Normal"/>
    <w:qFormat/>
    <w:rsid w:val="006713A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E569A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69AF"/>
    <w:rPr>
      <w:rFonts w:ascii="Segoe UI" w:hAnsi="Segoe UI" w:cs="Segoe UI"/>
      <w:sz w:val="18"/>
      <w:szCs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D432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Desktop\POOL%20S%20-%20ITU\PS_TSB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5C16A11FF3142AD98FE93BCD0A370" ma:contentTypeVersion="1" ma:contentTypeDescription="Create a new document." ma:contentTypeScope="" ma:versionID="da3e9551827be27c540814dd12af46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A7C018-863B-4056-83E9-F5D471AF9CD1}"/>
</file>

<file path=customXml/itemProps2.xml><?xml version="1.0" encoding="utf-8"?>
<ds:datastoreItem xmlns:ds="http://schemas.openxmlformats.org/officeDocument/2006/customXml" ds:itemID="{389822CD-4B31-4CED-AEB5-3206AF86A77B}"/>
</file>

<file path=customXml/itemProps3.xml><?xml version="1.0" encoding="utf-8"?>
<ds:datastoreItem xmlns:ds="http://schemas.openxmlformats.org/officeDocument/2006/customXml" ds:itemID="{A510FDCF-BBA1-4E71-BFC6-4F36C00D15C0}"/>
</file>

<file path=customXml/itemProps4.xml><?xml version="1.0" encoding="utf-8"?>
<ds:datastoreItem xmlns:ds="http://schemas.openxmlformats.org/officeDocument/2006/customXml" ds:itemID="{3D3A96EC-584A-475B-920C-E7E427BA44CA}"/>
</file>

<file path=docProps/app.xml><?xml version="1.0" encoding="utf-8"?>
<Properties xmlns="http://schemas.openxmlformats.org/officeDocument/2006/extended-properties" xmlns:vt="http://schemas.openxmlformats.org/officeDocument/2006/docPropsVTypes">
  <Template>PS_TSB.dotm</Template>
  <TotalTime>35</TotalTime>
  <Pages>1</Pages>
  <Words>1696</Words>
  <Characters>9671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FHernández</dc:creator>
  <cp:keywords/>
  <dc:description>Declaración de Montevideo-9-09-2016-version-limpia.docx  For: _x000d_Document date: _x000d_Saved by ITU51010859 at 15:15:43 on 09/09/2016</dc:description>
  <cp:lastModifiedBy>Bueti, Maria Cristina</cp:lastModifiedBy>
  <cp:revision>8</cp:revision>
  <cp:lastPrinted>2016-08-29T12:47:00Z</cp:lastPrinted>
  <dcterms:created xsi:type="dcterms:W3CDTF">2016-09-09T17:03:00Z</dcterms:created>
  <dcterms:modified xsi:type="dcterms:W3CDTF">2016-09-09T17:38:00Z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Declaración de Montevideo-9-09-2016-version-limpia.docx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0x010100DEF5C16A11FF3142AD98FE93BCD0A370</vt:lpwstr>
  </property>
</Properties>
</file>