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3543"/>
        <w:gridCol w:w="284"/>
        <w:gridCol w:w="4536"/>
      </w:tblGrid>
      <w:tr w:rsidR="00A86A44" w:rsidRPr="0002268A" w:rsidTr="00B330B7">
        <w:tc>
          <w:tcPr>
            <w:tcW w:w="9889" w:type="dxa"/>
            <w:gridSpan w:val="4"/>
            <w:shd w:val="clear" w:color="auto" w:fill="auto"/>
          </w:tcPr>
          <w:p w:rsidR="00A86A44" w:rsidRPr="0002268A" w:rsidRDefault="0065332D" w:rsidP="00B330B7">
            <w:pPr>
              <w:jc w:val="left"/>
              <w:rPr>
                <w:rFonts w:cs="Times New Roman Bold"/>
                <w:b/>
                <w:bCs/>
                <w:color w:val="808080"/>
                <w:sz w:val="28"/>
                <w:szCs w:val="28"/>
              </w:rPr>
            </w:pPr>
            <w:bookmarkStart w:id="0" w:name="Origine"/>
            <w:bookmarkEnd w:id="0"/>
            <w:r>
              <w:rPr>
                <w:rFonts w:cs="Times New Roman Bold"/>
                <w:b/>
                <w:bCs/>
                <w:color w:val="808080"/>
                <w:sz w:val="28"/>
                <w:szCs w:val="28"/>
              </w:rPr>
              <w:t>Secretaría General (SG)</w:t>
            </w:r>
          </w:p>
        </w:tc>
      </w:tr>
      <w:tr w:rsidR="00A86A44" w:rsidRPr="006F45DC" w:rsidTr="00B330B7">
        <w:tc>
          <w:tcPr>
            <w:tcW w:w="9889" w:type="dxa"/>
            <w:gridSpan w:val="4"/>
            <w:shd w:val="clear" w:color="auto" w:fill="auto"/>
          </w:tcPr>
          <w:p w:rsidR="00A86A44" w:rsidRPr="006F45DC" w:rsidRDefault="00A86A44" w:rsidP="00B330B7">
            <w:pPr>
              <w:jc w:val="left"/>
              <w:rPr>
                <w:rFonts w:asciiTheme="minorHAnsi" w:hAnsiTheme="minorHAnsi"/>
                <w:sz w:val="24"/>
                <w:szCs w:val="24"/>
              </w:rPr>
            </w:pPr>
          </w:p>
        </w:tc>
      </w:tr>
      <w:tr w:rsidR="00A86A44" w:rsidRPr="006F45DC" w:rsidTr="00B330B7">
        <w:tc>
          <w:tcPr>
            <w:tcW w:w="5353" w:type="dxa"/>
            <w:gridSpan w:val="3"/>
            <w:shd w:val="clear" w:color="auto" w:fill="auto"/>
          </w:tcPr>
          <w:p w:rsidR="00A86A44" w:rsidRPr="006F45DC" w:rsidRDefault="00C72E6A" w:rsidP="00B330B7">
            <w:pPr>
              <w:jc w:val="left"/>
              <w:rPr>
                <w:rFonts w:asciiTheme="minorHAnsi" w:hAnsiTheme="minorHAnsi"/>
                <w:b/>
                <w:bCs/>
                <w:sz w:val="24"/>
                <w:szCs w:val="24"/>
              </w:rPr>
            </w:pPr>
            <w:proofErr w:type="spellStart"/>
            <w:r w:rsidRPr="006F45DC">
              <w:rPr>
                <w:rFonts w:asciiTheme="minorHAnsi" w:hAnsiTheme="minorHAnsi"/>
                <w:sz w:val="24"/>
                <w:szCs w:val="24"/>
              </w:rPr>
              <w:t>Réf</w:t>
            </w:r>
            <w:proofErr w:type="spellEnd"/>
            <w:r w:rsidRPr="006F45DC">
              <w:rPr>
                <w:rFonts w:asciiTheme="minorHAnsi" w:hAnsiTheme="minorHAnsi"/>
                <w:sz w:val="24"/>
                <w:szCs w:val="24"/>
              </w:rPr>
              <w:t>.:</w:t>
            </w:r>
            <w:r w:rsidRPr="006F45DC">
              <w:rPr>
                <w:rFonts w:asciiTheme="minorHAnsi" w:hAnsiTheme="minorHAnsi"/>
                <w:sz w:val="24"/>
                <w:szCs w:val="24"/>
              </w:rPr>
              <w:tab/>
            </w:r>
            <w:r w:rsidRPr="006F45DC">
              <w:rPr>
                <w:rFonts w:asciiTheme="minorHAnsi" w:hAnsiTheme="minorHAnsi"/>
                <w:sz w:val="24"/>
                <w:szCs w:val="24"/>
              </w:rPr>
              <w:tab/>
            </w:r>
            <w:r w:rsidRPr="006F45DC">
              <w:rPr>
                <w:rFonts w:asciiTheme="minorHAnsi" w:hAnsiTheme="minorHAnsi"/>
                <w:sz w:val="24"/>
                <w:szCs w:val="24"/>
              </w:rPr>
              <w:tab/>
            </w:r>
            <w:r w:rsidRPr="006F45DC">
              <w:rPr>
                <w:rFonts w:asciiTheme="minorHAnsi" w:hAnsiTheme="minorHAnsi"/>
                <w:b/>
                <w:bCs/>
                <w:sz w:val="24"/>
                <w:szCs w:val="24"/>
              </w:rPr>
              <w:t>CL-15/39</w:t>
            </w:r>
          </w:p>
          <w:p w:rsidR="00C72E6A" w:rsidRPr="006F45DC" w:rsidRDefault="00C72E6A" w:rsidP="00B330B7">
            <w:pPr>
              <w:jc w:val="left"/>
              <w:rPr>
                <w:rFonts w:asciiTheme="minorHAnsi" w:hAnsiTheme="minorHAnsi"/>
                <w:sz w:val="24"/>
                <w:szCs w:val="24"/>
              </w:rPr>
            </w:pPr>
          </w:p>
        </w:tc>
        <w:tc>
          <w:tcPr>
            <w:tcW w:w="4536" w:type="dxa"/>
            <w:shd w:val="clear" w:color="auto" w:fill="auto"/>
          </w:tcPr>
          <w:p w:rsidR="00A86A44" w:rsidRPr="006F45DC" w:rsidRDefault="00A86A44" w:rsidP="008B627C">
            <w:pPr>
              <w:ind w:right="57"/>
              <w:jc w:val="right"/>
              <w:rPr>
                <w:rFonts w:asciiTheme="minorHAnsi" w:hAnsiTheme="minorHAnsi"/>
                <w:sz w:val="24"/>
                <w:szCs w:val="24"/>
              </w:rPr>
            </w:pPr>
            <w:r w:rsidRPr="006F45DC">
              <w:rPr>
                <w:rFonts w:asciiTheme="minorHAnsi" w:hAnsiTheme="minorHAnsi"/>
                <w:sz w:val="24"/>
                <w:szCs w:val="24"/>
              </w:rPr>
              <w:t xml:space="preserve">Ginebra, </w:t>
            </w:r>
            <w:sdt>
              <w:sdtPr>
                <w:rPr>
                  <w:rFonts w:asciiTheme="minorHAnsi" w:hAnsiTheme="minorHAnsi" w:cs="Arial"/>
                  <w:sz w:val="24"/>
                  <w:szCs w:val="24"/>
                </w:rPr>
                <w:alias w:val="Date"/>
                <w:tag w:val="Date"/>
                <w:id w:val="-893127587"/>
                <w:placeholder>
                  <w:docPart w:val="9C1C2D18E3914BC588D18660137F9274"/>
                </w:placeholder>
                <w:date>
                  <w:dateFormat w:val="d' de 'MMMM' de 'yyyy"/>
                  <w:lid w:val="es-ES_tradnl"/>
                  <w:storeMappedDataAs w:val="date"/>
                  <w:calendar w:val="gregorian"/>
                </w:date>
              </w:sdtPr>
              <w:sdtEndPr/>
              <w:sdtContent>
                <w:r w:rsidR="007A0529" w:rsidRPr="006F45DC">
                  <w:rPr>
                    <w:rFonts w:asciiTheme="minorHAnsi" w:hAnsiTheme="minorHAnsi" w:cs="Arial"/>
                    <w:sz w:val="24"/>
                    <w:szCs w:val="24"/>
                  </w:rPr>
                  <w:t>2</w:t>
                </w:r>
                <w:r w:rsidR="008B627C">
                  <w:rPr>
                    <w:rFonts w:asciiTheme="minorHAnsi" w:hAnsiTheme="minorHAnsi" w:cs="Arial"/>
                    <w:sz w:val="24"/>
                    <w:szCs w:val="24"/>
                  </w:rPr>
                  <w:t>4</w:t>
                </w:r>
                <w:r w:rsidR="007A0529" w:rsidRPr="006F45DC">
                  <w:rPr>
                    <w:rFonts w:asciiTheme="minorHAnsi" w:hAnsiTheme="minorHAnsi" w:cs="Arial"/>
                    <w:sz w:val="24"/>
                    <w:szCs w:val="24"/>
                  </w:rPr>
                  <w:t xml:space="preserve"> de septiembre de 2015</w:t>
                </w:r>
              </w:sdtContent>
            </w:sdt>
          </w:p>
        </w:tc>
      </w:tr>
      <w:tr w:rsidR="00C72E6A" w:rsidRPr="006F45DC" w:rsidTr="00FD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rsidR="00C72E6A" w:rsidRPr="006F45DC" w:rsidRDefault="00C72E6A" w:rsidP="00C72E6A">
            <w:pPr>
              <w:spacing w:before="0"/>
              <w:jc w:val="left"/>
              <w:rPr>
                <w:rFonts w:asciiTheme="minorHAnsi" w:hAnsiTheme="minorHAnsi"/>
                <w:iCs/>
                <w:sz w:val="24"/>
                <w:szCs w:val="24"/>
              </w:rPr>
            </w:pPr>
            <w:r w:rsidRPr="006F45DC">
              <w:rPr>
                <w:rFonts w:asciiTheme="minorHAnsi" w:hAnsiTheme="minorHAnsi"/>
                <w:iCs/>
                <w:sz w:val="24"/>
                <w:szCs w:val="24"/>
              </w:rPr>
              <w:t>Contacto:</w:t>
            </w:r>
          </w:p>
        </w:tc>
        <w:tc>
          <w:tcPr>
            <w:tcW w:w="3543" w:type="dxa"/>
            <w:tcBorders>
              <w:top w:val="nil"/>
              <w:left w:val="nil"/>
              <w:bottom w:val="nil"/>
              <w:right w:val="nil"/>
            </w:tcBorders>
            <w:shd w:val="clear" w:color="auto" w:fill="auto"/>
          </w:tcPr>
          <w:p w:rsidR="00C72E6A" w:rsidRPr="00163942" w:rsidRDefault="00C72E6A" w:rsidP="00C72E6A">
            <w:pPr>
              <w:spacing w:before="0"/>
              <w:jc w:val="left"/>
              <w:rPr>
                <w:rFonts w:asciiTheme="minorHAnsi" w:hAnsiTheme="minorHAnsi"/>
              </w:rPr>
            </w:pPr>
            <w:bookmarkStart w:id="1" w:name="Contact"/>
            <w:bookmarkEnd w:id="1"/>
            <w:r w:rsidRPr="00163942">
              <w:rPr>
                <w:rFonts w:asciiTheme="minorHAnsi" w:hAnsiTheme="minorHAnsi"/>
              </w:rPr>
              <w:t>Cristina Bueti</w:t>
            </w:r>
          </w:p>
        </w:tc>
        <w:tc>
          <w:tcPr>
            <w:tcW w:w="284" w:type="dxa"/>
            <w:tcBorders>
              <w:top w:val="nil"/>
              <w:left w:val="nil"/>
              <w:bottom w:val="nil"/>
              <w:right w:val="nil"/>
            </w:tcBorders>
            <w:shd w:val="clear" w:color="auto" w:fill="auto"/>
          </w:tcPr>
          <w:p w:rsidR="00C72E6A" w:rsidRPr="006F45DC" w:rsidRDefault="00C72E6A" w:rsidP="00C72E6A">
            <w:pPr>
              <w:spacing w:before="0"/>
              <w:rPr>
                <w:rFonts w:asciiTheme="minorHAnsi" w:hAnsiTheme="minorHAnsi"/>
                <w:sz w:val="24"/>
                <w:szCs w:val="24"/>
              </w:rPr>
            </w:pPr>
            <w:r w:rsidRPr="006F45DC">
              <w:rPr>
                <w:rFonts w:asciiTheme="minorHAnsi" w:hAnsiTheme="minorHAnsi"/>
                <w:sz w:val="24"/>
                <w:szCs w:val="24"/>
              </w:rPr>
              <w:t>–</w:t>
            </w:r>
          </w:p>
        </w:tc>
        <w:tc>
          <w:tcPr>
            <w:tcW w:w="4536" w:type="dxa"/>
            <w:vMerge w:val="restart"/>
            <w:tcBorders>
              <w:top w:val="nil"/>
              <w:left w:val="nil"/>
              <w:bottom w:val="nil"/>
              <w:right w:val="nil"/>
            </w:tcBorders>
            <w:shd w:val="clear" w:color="auto" w:fill="auto"/>
          </w:tcPr>
          <w:p w:rsidR="00C72E6A" w:rsidRPr="006F45DC" w:rsidRDefault="00C72E6A" w:rsidP="00C72E6A">
            <w:pPr>
              <w:spacing w:before="0"/>
              <w:rPr>
                <w:rFonts w:asciiTheme="minorHAnsi" w:hAnsiTheme="minorHAnsi"/>
                <w:sz w:val="24"/>
                <w:szCs w:val="24"/>
              </w:rPr>
            </w:pPr>
            <w:r w:rsidRPr="006F45DC">
              <w:rPr>
                <w:rFonts w:asciiTheme="minorHAnsi" w:hAnsiTheme="minorHAnsi"/>
                <w:sz w:val="24"/>
                <w:szCs w:val="24"/>
              </w:rPr>
              <w:t>A los Estados Miembros de la UIT;</w:t>
            </w:r>
          </w:p>
          <w:p w:rsidR="00C72E6A" w:rsidRPr="006F45DC" w:rsidRDefault="007536C1" w:rsidP="00C51777">
            <w:pPr>
              <w:spacing w:before="0" w:after="120"/>
              <w:jc w:val="lowKashida"/>
              <w:rPr>
                <w:rFonts w:asciiTheme="minorHAnsi" w:hAnsiTheme="minorHAnsi"/>
                <w:sz w:val="24"/>
                <w:szCs w:val="24"/>
              </w:rPr>
            </w:pPr>
            <w:r w:rsidRPr="006F45DC">
              <w:rPr>
                <w:rFonts w:asciiTheme="minorHAnsi" w:hAnsiTheme="minorHAnsi"/>
                <w:sz w:val="24"/>
                <w:szCs w:val="24"/>
              </w:rPr>
              <w:t>A los Miembros de Sector,</w:t>
            </w:r>
            <w:r w:rsidR="00B537CB" w:rsidRPr="006F45DC">
              <w:rPr>
                <w:rFonts w:asciiTheme="minorHAnsi" w:hAnsiTheme="minorHAnsi"/>
                <w:sz w:val="24"/>
                <w:szCs w:val="24"/>
              </w:rPr>
              <w:t xml:space="preserve"> </w:t>
            </w:r>
            <w:r w:rsidR="00C72E6A" w:rsidRPr="006F45DC">
              <w:rPr>
                <w:rFonts w:asciiTheme="minorHAnsi" w:hAnsiTheme="minorHAnsi"/>
                <w:sz w:val="24"/>
                <w:szCs w:val="24"/>
              </w:rPr>
              <w:t xml:space="preserve">Asociados e Instituciones Académicas </w:t>
            </w:r>
            <w:r w:rsidR="00C51777" w:rsidRPr="006F45DC">
              <w:rPr>
                <w:rFonts w:asciiTheme="minorHAnsi" w:hAnsiTheme="minorHAnsi"/>
                <w:sz w:val="24"/>
                <w:szCs w:val="24"/>
              </w:rPr>
              <w:t xml:space="preserve">del UIT </w:t>
            </w:r>
            <w:r w:rsidR="00C72E6A" w:rsidRPr="006F45DC">
              <w:rPr>
                <w:rFonts w:asciiTheme="minorHAnsi" w:hAnsiTheme="minorHAnsi"/>
                <w:sz w:val="24"/>
                <w:szCs w:val="24"/>
              </w:rPr>
              <w:t>y a las organizaciones internacionales, regionales y nacionales pertinentes</w:t>
            </w:r>
          </w:p>
        </w:tc>
      </w:tr>
      <w:tr w:rsidR="00C72E6A" w:rsidRPr="006F45DC" w:rsidTr="00B330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rsidR="00C72E6A" w:rsidRPr="006F45DC" w:rsidRDefault="00C72E6A" w:rsidP="00C72E6A">
            <w:pPr>
              <w:spacing w:before="0"/>
              <w:jc w:val="left"/>
              <w:rPr>
                <w:rFonts w:asciiTheme="minorHAnsi" w:hAnsiTheme="minorHAnsi"/>
                <w:iCs/>
                <w:sz w:val="24"/>
                <w:szCs w:val="24"/>
              </w:rPr>
            </w:pPr>
            <w:r w:rsidRPr="006F45DC">
              <w:rPr>
                <w:rFonts w:asciiTheme="minorHAnsi" w:hAnsiTheme="minorHAnsi"/>
                <w:iCs/>
                <w:sz w:val="24"/>
                <w:szCs w:val="24"/>
              </w:rPr>
              <w:t>Teléfono:</w:t>
            </w:r>
          </w:p>
        </w:tc>
        <w:tc>
          <w:tcPr>
            <w:tcW w:w="3543" w:type="dxa"/>
            <w:tcBorders>
              <w:top w:val="nil"/>
              <w:left w:val="nil"/>
              <w:bottom w:val="nil"/>
              <w:right w:val="nil"/>
            </w:tcBorders>
            <w:shd w:val="clear" w:color="auto" w:fill="auto"/>
          </w:tcPr>
          <w:p w:rsidR="00C72E6A" w:rsidRPr="00163942" w:rsidRDefault="00C72E6A" w:rsidP="00C72E6A">
            <w:pPr>
              <w:spacing w:before="0"/>
              <w:jc w:val="left"/>
              <w:rPr>
                <w:rFonts w:asciiTheme="minorHAnsi" w:hAnsiTheme="minorHAnsi"/>
              </w:rPr>
            </w:pPr>
            <w:r w:rsidRPr="00163942">
              <w:rPr>
                <w:rFonts w:asciiTheme="minorHAnsi" w:hAnsiTheme="minorHAnsi"/>
              </w:rPr>
              <w:t>+41 22 730 63</w:t>
            </w:r>
            <w:r w:rsidR="00320D0A" w:rsidRPr="00163942">
              <w:rPr>
                <w:rFonts w:asciiTheme="minorHAnsi" w:hAnsiTheme="minorHAnsi"/>
              </w:rPr>
              <w:t xml:space="preserve"> </w:t>
            </w:r>
            <w:r w:rsidRPr="00163942">
              <w:rPr>
                <w:rFonts w:asciiTheme="minorHAnsi" w:hAnsiTheme="minorHAnsi"/>
              </w:rPr>
              <w:t>01</w:t>
            </w:r>
          </w:p>
        </w:tc>
        <w:tc>
          <w:tcPr>
            <w:tcW w:w="284" w:type="dxa"/>
            <w:tcBorders>
              <w:top w:val="nil"/>
              <w:left w:val="nil"/>
              <w:bottom w:val="nil"/>
              <w:right w:val="nil"/>
            </w:tcBorders>
            <w:shd w:val="clear" w:color="auto" w:fill="auto"/>
          </w:tcPr>
          <w:p w:rsidR="00C72E6A" w:rsidRPr="006F45DC" w:rsidRDefault="00C72E6A" w:rsidP="00C72E6A">
            <w:pPr>
              <w:spacing w:before="0"/>
              <w:rPr>
                <w:rFonts w:asciiTheme="minorHAnsi" w:hAnsiTheme="minorHAnsi"/>
                <w:sz w:val="24"/>
                <w:szCs w:val="24"/>
              </w:rPr>
            </w:pPr>
            <w:r w:rsidRPr="006F45DC">
              <w:rPr>
                <w:rFonts w:asciiTheme="minorHAnsi" w:hAnsiTheme="minorHAnsi"/>
                <w:sz w:val="24"/>
                <w:szCs w:val="24"/>
              </w:rPr>
              <w:t>–</w:t>
            </w:r>
          </w:p>
        </w:tc>
        <w:tc>
          <w:tcPr>
            <w:tcW w:w="4536" w:type="dxa"/>
            <w:vMerge/>
            <w:tcBorders>
              <w:top w:val="nil"/>
              <w:left w:val="nil"/>
              <w:bottom w:val="nil"/>
              <w:right w:val="nil"/>
            </w:tcBorders>
            <w:shd w:val="clear" w:color="auto" w:fill="auto"/>
          </w:tcPr>
          <w:p w:rsidR="00C72E6A" w:rsidRPr="006F45DC" w:rsidRDefault="00C72E6A" w:rsidP="00C72E6A">
            <w:pPr>
              <w:spacing w:before="0"/>
              <w:rPr>
                <w:rFonts w:asciiTheme="minorHAnsi" w:hAnsiTheme="minorHAnsi"/>
                <w:sz w:val="24"/>
                <w:szCs w:val="24"/>
              </w:rPr>
            </w:pPr>
          </w:p>
        </w:tc>
      </w:tr>
      <w:tr w:rsidR="00C72E6A" w:rsidRPr="006F45DC" w:rsidTr="00811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rsidR="00C72E6A" w:rsidRPr="006F45DC" w:rsidRDefault="00C72E6A" w:rsidP="00C72E6A">
            <w:pPr>
              <w:spacing w:before="0"/>
              <w:jc w:val="left"/>
              <w:rPr>
                <w:rFonts w:asciiTheme="minorHAnsi" w:hAnsiTheme="minorHAnsi"/>
                <w:i/>
                <w:iCs/>
                <w:sz w:val="24"/>
                <w:szCs w:val="24"/>
              </w:rPr>
            </w:pPr>
            <w:r w:rsidRPr="006F45DC">
              <w:rPr>
                <w:rFonts w:asciiTheme="minorHAnsi" w:hAnsiTheme="minorHAnsi"/>
                <w:iCs/>
                <w:sz w:val="24"/>
                <w:szCs w:val="24"/>
              </w:rPr>
              <w:t>Correo-e:</w:t>
            </w:r>
          </w:p>
        </w:tc>
        <w:tc>
          <w:tcPr>
            <w:tcW w:w="3543" w:type="dxa"/>
            <w:tcBorders>
              <w:top w:val="nil"/>
              <w:left w:val="nil"/>
              <w:bottom w:val="nil"/>
              <w:right w:val="nil"/>
            </w:tcBorders>
            <w:shd w:val="clear" w:color="auto" w:fill="auto"/>
          </w:tcPr>
          <w:p w:rsidR="00C72E6A" w:rsidRPr="006F45DC" w:rsidRDefault="00B565A8" w:rsidP="00C72E6A">
            <w:pPr>
              <w:spacing w:before="0"/>
              <w:jc w:val="left"/>
              <w:rPr>
                <w:rFonts w:asciiTheme="minorHAnsi" w:hAnsiTheme="minorHAnsi"/>
                <w:sz w:val="24"/>
                <w:szCs w:val="24"/>
              </w:rPr>
            </w:pPr>
            <w:hyperlink r:id="rId7" w:history="1">
              <w:r w:rsidR="00C27C76" w:rsidRPr="006F45DC">
                <w:rPr>
                  <w:rStyle w:val="Hyperlink"/>
                  <w:rFonts w:asciiTheme="minorHAnsi" w:hAnsiTheme="minorHAnsi"/>
                  <w:sz w:val="24"/>
                  <w:szCs w:val="24"/>
                </w:rPr>
                <w:t>greenstandard@itu.int</w:t>
              </w:r>
            </w:hyperlink>
          </w:p>
        </w:tc>
        <w:tc>
          <w:tcPr>
            <w:tcW w:w="284" w:type="dxa"/>
            <w:tcBorders>
              <w:top w:val="nil"/>
              <w:left w:val="nil"/>
              <w:bottom w:val="nil"/>
              <w:right w:val="nil"/>
            </w:tcBorders>
            <w:shd w:val="clear" w:color="auto" w:fill="auto"/>
          </w:tcPr>
          <w:p w:rsidR="00C72E6A" w:rsidRPr="006F45DC" w:rsidRDefault="00C72E6A" w:rsidP="00C72E6A">
            <w:pPr>
              <w:spacing w:before="0"/>
              <w:rPr>
                <w:rFonts w:asciiTheme="minorHAnsi" w:hAnsiTheme="minorHAnsi"/>
                <w:sz w:val="24"/>
                <w:szCs w:val="24"/>
              </w:rPr>
            </w:pPr>
          </w:p>
        </w:tc>
        <w:tc>
          <w:tcPr>
            <w:tcW w:w="4536" w:type="dxa"/>
            <w:vMerge/>
            <w:tcBorders>
              <w:top w:val="nil"/>
              <w:left w:val="nil"/>
              <w:bottom w:val="nil"/>
              <w:right w:val="nil"/>
            </w:tcBorders>
            <w:shd w:val="clear" w:color="auto" w:fill="auto"/>
          </w:tcPr>
          <w:p w:rsidR="00C72E6A" w:rsidRPr="006F45DC" w:rsidRDefault="00C72E6A" w:rsidP="00C72E6A">
            <w:pPr>
              <w:spacing w:before="0"/>
              <w:rPr>
                <w:rFonts w:asciiTheme="minorHAnsi" w:hAnsiTheme="minorHAnsi"/>
                <w:sz w:val="24"/>
                <w:szCs w:val="24"/>
              </w:rPr>
            </w:pPr>
          </w:p>
        </w:tc>
      </w:tr>
      <w:tr w:rsidR="00C72E6A" w:rsidRPr="006F45DC" w:rsidTr="00811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rsidR="00C72E6A" w:rsidRPr="006F45DC" w:rsidRDefault="00C72E6A" w:rsidP="00C72E6A">
            <w:pPr>
              <w:spacing w:before="0"/>
              <w:jc w:val="left"/>
              <w:rPr>
                <w:rFonts w:asciiTheme="minorHAnsi" w:hAnsiTheme="minorHAnsi"/>
                <w:i/>
                <w:iCs/>
                <w:sz w:val="24"/>
                <w:szCs w:val="24"/>
              </w:rPr>
            </w:pPr>
          </w:p>
        </w:tc>
        <w:tc>
          <w:tcPr>
            <w:tcW w:w="3543" w:type="dxa"/>
            <w:tcBorders>
              <w:top w:val="nil"/>
              <w:left w:val="nil"/>
              <w:bottom w:val="nil"/>
              <w:right w:val="nil"/>
            </w:tcBorders>
            <w:shd w:val="clear" w:color="auto" w:fill="auto"/>
          </w:tcPr>
          <w:p w:rsidR="00C72E6A" w:rsidRPr="006F45DC" w:rsidRDefault="00C72E6A" w:rsidP="00C72E6A">
            <w:pPr>
              <w:spacing w:before="0"/>
              <w:jc w:val="left"/>
              <w:rPr>
                <w:rFonts w:asciiTheme="minorHAnsi" w:hAnsiTheme="minorHAnsi"/>
                <w:sz w:val="24"/>
                <w:szCs w:val="24"/>
              </w:rPr>
            </w:pPr>
          </w:p>
        </w:tc>
        <w:tc>
          <w:tcPr>
            <w:tcW w:w="284" w:type="dxa"/>
            <w:tcBorders>
              <w:top w:val="nil"/>
              <w:left w:val="nil"/>
              <w:bottom w:val="nil"/>
              <w:right w:val="nil"/>
            </w:tcBorders>
          </w:tcPr>
          <w:p w:rsidR="00C72E6A" w:rsidRPr="006F45DC" w:rsidRDefault="00C72E6A" w:rsidP="00C72E6A">
            <w:pPr>
              <w:spacing w:before="0"/>
              <w:rPr>
                <w:rFonts w:asciiTheme="minorHAnsi" w:hAnsiTheme="minorHAnsi"/>
                <w:sz w:val="24"/>
                <w:szCs w:val="24"/>
              </w:rPr>
            </w:pPr>
          </w:p>
        </w:tc>
        <w:tc>
          <w:tcPr>
            <w:tcW w:w="4536" w:type="dxa"/>
            <w:vMerge/>
            <w:tcBorders>
              <w:top w:val="nil"/>
              <w:left w:val="nil"/>
              <w:bottom w:val="nil"/>
              <w:right w:val="nil"/>
            </w:tcBorders>
            <w:shd w:val="clear" w:color="auto" w:fill="auto"/>
          </w:tcPr>
          <w:p w:rsidR="00C72E6A" w:rsidRPr="006F45DC" w:rsidRDefault="00C72E6A" w:rsidP="00C72E6A">
            <w:pPr>
              <w:spacing w:before="0"/>
              <w:rPr>
                <w:rFonts w:asciiTheme="minorHAnsi" w:hAnsiTheme="minorHAnsi"/>
                <w:sz w:val="24"/>
                <w:szCs w:val="24"/>
              </w:rPr>
            </w:pPr>
          </w:p>
        </w:tc>
      </w:tr>
      <w:tr w:rsidR="00C72E6A" w:rsidRPr="006F45DC" w:rsidTr="00FD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rsidR="00C72E6A" w:rsidRPr="006F45DC" w:rsidRDefault="00C72E6A" w:rsidP="00C72E6A">
            <w:pPr>
              <w:spacing w:before="120"/>
              <w:jc w:val="left"/>
              <w:rPr>
                <w:rFonts w:asciiTheme="minorHAnsi" w:hAnsiTheme="minorHAnsi"/>
                <w:i/>
                <w:iCs/>
                <w:sz w:val="24"/>
                <w:szCs w:val="24"/>
              </w:rPr>
            </w:pPr>
            <w:r w:rsidRPr="006F45DC">
              <w:rPr>
                <w:rFonts w:asciiTheme="minorHAnsi" w:hAnsiTheme="minorHAnsi"/>
                <w:sz w:val="24"/>
                <w:szCs w:val="24"/>
              </w:rPr>
              <w:t>Objeto:</w:t>
            </w:r>
          </w:p>
        </w:tc>
        <w:tc>
          <w:tcPr>
            <w:tcW w:w="8363" w:type="dxa"/>
            <w:gridSpan w:val="3"/>
            <w:tcBorders>
              <w:top w:val="nil"/>
              <w:left w:val="nil"/>
              <w:bottom w:val="nil"/>
              <w:right w:val="nil"/>
            </w:tcBorders>
            <w:shd w:val="clear" w:color="auto" w:fill="auto"/>
          </w:tcPr>
          <w:p w:rsidR="00C72E6A" w:rsidRPr="006F45DC" w:rsidRDefault="00C72E6A" w:rsidP="00C72E6A">
            <w:pPr>
              <w:spacing w:before="120"/>
              <w:jc w:val="left"/>
              <w:rPr>
                <w:rFonts w:asciiTheme="minorHAnsi" w:hAnsiTheme="minorHAnsi"/>
                <w:sz w:val="24"/>
                <w:szCs w:val="24"/>
              </w:rPr>
            </w:pPr>
            <w:bookmarkStart w:id="2" w:name="Subject"/>
            <w:bookmarkEnd w:id="2"/>
            <w:r w:rsidRPr="006F45DC">
              <w:rPr>
                <w:rFonts w:asciiTheme="minorHAnsi" w:hAnsiTheme="minorHAnsi"/>
                <w:b/>
                <w:bCs/>
                <w:sz w:val="24"/>
                <w:szCs w:val="24"/>
              </w:rPr>
              <w:t>5ª Semana de las Normas Verdes de la UIT</w:t>
            </w:r>
            <w:r w:rsidRPr="006F45DC">
              <w:rPr>
                <w:rFonts w:asciiTheme="minorHAnsi" w:hAnsiTheme="minorHAnsi"/>
                <w:b/>
                <w:bCs/>
                <w:sz w:val="24"/>
                <w:szCs w:val="24"/>
              </w:rPr>
              <w:br/>
              <w:t>(Nassau, Bahamas, 14-18 de diciembre de 2015)</w:t>
            </w:r>
          </w:p>
        </w:tc>
      </w:tr>
    </w:tbl>
    <w:p w:rsidR="00C72E6A" w:rsidRPr="00163942" w:rsidRDefault="00C72E6A" w:rsidP="005764A5">
      <w:pPr>
        <w:spacing w:before="400"/>
        <w:rPr>
          <w:sz w:val="24"/>
          <w:szCs w:val="24"/>
        </w:rPr>
      </w:pPr>
      <w:r w:rsidRPr="00163942">
        <w:rPr>
          <w:sz w:val="24"/>
          <w:szCs w:val="24"/>
        </w:rPr>
        <w:t xml:space="preserve">Estimado(a) </w:t>
      </w:r>
      <w:r w:rsidR="00A36BCA" w:rsidRPr="00163942">
        <w:rPr>
          <w:sz w:val="24"/>
          <w:szCs w:val="24"/>
        </w:rPr>
        <w:t>Seño</w:t>
      </w:r>
      <w:bookmarkStart w:id="3" w:name="Formula"/>
      <w:bookmarkStart w:id="4" w:name="MainStory"/>
      <w:bookmarkEnd w:id="3"/>
      <w:bookmarkEnd w:id="4"/>
      <w:r w:rsidR="005764A5" w:rsidRPr="00163942">
        <w:rPr>
          <w:sz w:val="24"/>
          <w:szCs w:val="24"/>
        </w:rPr>
        <w:t>r</w:t>
      </w:r>
      <w:r w:rsidRPr="00163942">
        <w:rPr>
          <w:sz w:val="24"/>
          <w:szCs w:val="24"/>
        </w:rPr>
        <w:t>(a):</w:t>
      </w:r>
    </w:p>
    <w:p w:rsidR="00C72E6A" w:rsidRPr="00163942" w:rsidRDefault="00C72E6A" w:rsidP="00C72E6A">
      <w:pPr>
        <w:rPr>
          <w:sz w:val="24"/>
          <w:szCs w:val="24"/>
        </w:rPr>
      </w:pPr>
      <w:r w:rsidRPr="00163942">
        <w:rPr>
          <w:sz w:val="24"/>
          <w:szCs w:val="24"/>
        </w:rPr>
        <w:t>1</w:t>
      </w:r>
      <w:r w:rsidRPr="00163942">
        <w:rPr>
          <w:sz w:val="24"/>
          <w:szCs w:val="24"/>
        </w:rPr>
        <w:tab/>
        <w:t>La Unión Internacional de Telecomunicaciones (UIT), junto al Centro Regional del Convenio de Basilea para la Región del Caribe (BCRC-Caribbean), el Centro Regional Sudamericano del Convenio de Basilea (CRBAS), la Comisión Económica de las Naciones Unidas para América Latina y el Caribe (CEPAL), la Oficina Regional de Ciencia para América Latina y el Caribe de la Organización de las Naciones Unidas para la Educación, la Ciencia y la Cultura (UNESCO), el Programa de las Naciones Unidas para los Asentamientos Humanos (ONU-</w:t>
      </w:r>
      <w:r w:rsidR="00F57661" w:rsidRPr="00163942">
        <w:rPr>
          <w:sz w:val="24"/>
          <w:szCs w:val="24"/>
        </w:rPr>
        <w:t>Habitat</w:t>
      </w:r>
      <w:r w:rsidRPr="00163942">
        <w:rPr>
          <w:sz w:val="24"/>
          <w:szCs w:val="24"/>
        </w:rPr>
        <w:t>), la Organización de las Naciones Unidas para el Desarrollo Industrial (ONUDI) y la Universidad de las Naciones Unidas (UNU), organizará la quinta Semana de las Normas Verdes, del 14 al 18 de diciembr</w:t>
      </w:r>
      <w:r w:rsidR="00DC1446" w:rsidRPr="00163942">
        <w:rPr>
          <w:sz w:val="24"/>
          <w:szCs w:val="24"/>
        </w:rPr>
        <w:t>e de 2015 en Nassau (Bahamas).</w:t>
      </w:r>
    </w:p>
    <w:p w:rsidR="00C72E6A" w:rsidRPr="00163942" w:rsidRDefault="00C72E6A" w:rsidP="00C72E6A">
      <w:pPr>
        <w:rPr>
          <w:sz w:val="24"/>
          <w:szCs w:val="24"/>
        </w:rPr>
      </w:pPr>
      <w:r w:rsidRPr="00163942">
        <w:rPr>
          <w:sz w:val="24"/>
          <w:szCs w:val="24"/>
        </w:rPr>
        <w:t xml:space="preserve">Este año, la Semana de las Normas Verdes está dedicada al tema </w:t>
      </w:r>
      <w:r w:rsidR="00DC1446" w:rsidRPr="00163942">
        <w:rPr>
          <w:b/>
          <w:bCs/>
          <w:sz w:val="24"/>
          <w:szCs w:val="24"/>
        </w:rPr>
        <w:t>"</w:t>
      </w:r>
      <w:r w:rsidRPr="00163942">
        <w:rPr>
          <w:b/>
          <w:bCs/>
          <w:sz w:val="24"/>
          <w:szCs w:val="24"/>
        </w:rPr>
        <w:t xml:space="preserve">Ciudades y cambio climático: </w:t>
      </w:r>
      <w:r w:rsidR="0077242F" w:rsidRPr="00163942">
        <w:rPr>
          <w:b/>
          <w:bCs/>
          <w:sz w:val="24"/>
          <w:szCs w:val="24"/>
        </w:rPr>
        <w:t xml:space="preserve">del </w:t>
      </w:r>
      <w:r w:rsidRPr="00163942">
        <w:rPr>
          <w:b/>
          <w:bCs/>
          <w:sz w:val="24"/>
          <w:szCs w:val="24"/>
        </w:rPr>
        <w:t xml:space="preserve">nuevo Acuerdo sobre el </w:t>
      </w:r>
      <w:bookmarkStart w:id="5" w:name="Signature"/>
      <w:bookmarkEnd w:id="5"/>
      <w:r w:rsidRPr="00163942">
        <w:rPr>
          <w:b/>
          <w:bCs/>
          <w:sz w:val="24"/>
          <w:szCs w:val="24"/>
        </w:rPr>
        <w:t>clima a la nueva Agenda urbana</w:t>
      </w:r>
      <w:r w:rsidR="00DC1446" w:rsidRPr="00163942">
        <w:rPr>
          <w:b/>
          <w:bCs/>
          <w:sz w:val="24"/>
          <w:szCs w:val="24"/>
        </w:rPr>
        <w:t>"</w:t>
      </w:r>
      <w:r w:rsidRPr="00163942">
        <w:rPr>
          <w:sz w:val="24"/>
          <w:szCs w:val="24"/>
        </w:rPr>
        <w:t>, y actuará como amable anfitrión el Gobierno de la Commonwealth de Bahamas.</w:t>
      </w:r>
    </w:p>
    <w:p w:rsidR="00C72E6A" w:rsidRPr="00163942" w:rsidRDefault="00FC00A8" w:rsidP="00C72E6A">
      <w:pPr>
        <w:rPr>
          <w:sz w:val="24"/>
          <w:szCs w:val="24"/>
        </w:rPr>
      </w:pPr>
      <w:r w:rsidRPr="00163942">
        <w:rPr>
          <w:sz w:val="24"/>
          <w:szCs w:val="24"/>
        </w:rPr>
        <w:t>2</w:t>
      </w:r>
      <w:r w:rsidRPr="00163942">
        <w:rPr>
          <w:sz w:val="24"/>
          <w:szCs w:val="24"/>
        </w:rPr>
        <w:tab/>
        <w:t xml:space="preserve">La </w:t>
      </w:r>
      <w:r w:rsidR="00C72E6A" w:rsidRPr="00163942">
        <w:rPr>
          <w:sz w:val="24"/>
          <w:szCs w:val="24"/>
        </w:rPr>
        <w:t>Semana de las Normas Verdes tendrá la siguiente estructura:</w:t>
      </w:r>
    </w:p>
    <w:p w:rsidR="00C72E6A" w:rsidRPr="00163942" w:rsidRDefault="00C72E6A" w:rsidP="00206B05">
      <w:pPr>
        <w:pStyle w:val="enumlev1"/>
        <w:spacing w:line="240" w:lineRule="auto"/>
        <w:rPr>
          <w:sz w:val="24"/>
          <w:szCs w:val="24"/>
        </w:rPr>
      </w:pPr>
      <w:r w:rsidRPr="00163942">
        <w:rPr>
          <w:sz w:val="24"/>
          <w:szCs w:val="24"/>
        </w:rPr>
        <w:t>•</w:t>
      </w:r>
      <w:r w:rsidRPr="00163942">
        <w:rPr>
          <w:sz w:val="24"/>
          <w:szCs w:val="24"/>
        </w:rPr>
        <w:tab/>
        <w:t>10º Simposio sobre TIC, Me</w:t>
      </w:r>
      <w:r w:rsidR="00222100" w:rsidRPr="00163942">
        <w:rPr>
          <w:sz w:val="24"/>
          <w:szCs w:val="24"/>
        </w:rPr>
        <w:t>dio Ambiente y Cambio Climático </w:t>
      </w:r>
      <w:r w:rsidRPr="00163942">
        <w:rPr>
          <w:sz w:val="24"/>
          <w:szCs w:val="24"/>
        </w:rPr>
        <w:t>–</w:t>
      </w:r>
      <w:r w:rsidR="00222100" w:rsidRPr="00163942">
        <w:rPr>
          <w:sz w:val="24"/>
          <w:szCs w:val="24"/>
        </w:rPr>
        <w:t> </w:t>
      </w:r>
      <w:r w:rsidRPr="00163942">
        <w:rPr>
          <w:i/>
          <w:iCs/>
          <w:sz w:val="24"/>
          <w:szCs w:val="24"/>
        </w:rPr>
        <w:t>Del nuevo Acuerdo sobre el clima a la nueva Agenda urbana</w:t>
      </w:r>
      <w:r w:rsidRPr="00163942">
        <w:rPr>
          <w:sz w:val="24"/>
          <w:szCs w:val="24"/>
        </w:rPr>
        <w:t xml:space="preserve">, organizado conjuntamente con el </w:t>
      </w:r>
      <w:r w:rsidR="00206B05" w:rsidRPr="00163942">
        <w:rPr>
          <w:sz w:val="24"/>
          <w:szCs w:val="24"/>
        </w:rPr>
        <w:t>ONU-Habitat</w:t>
      </w:r>
      <w:r w:rsidR="008C2808" w:rsidRPr="00163942">
        <w:rPr>
          <w:sz w:val="24"/>
          <w:szCs w:val="24"/>
        </w:rPr>
        <w:t>, y que se celebrará el 14 de </w:t>
      </w:r>
      <w:r w:rsidRPr="00163942">
        <w:rPr>
          <w:sz w:val="24"/>
          <w:szCs w:val="24"/>
        </w:rPr>
        <w:t>diciembre de 2015</w:t>
      </w:r>
      <w:r w:rsidR="001E1C67" w:rsidRPr="00163942">
        <w:rPr>
          <w:sz w:val="24"/>
          <w:szCs w:val="24"/>
        </w:rPr>
        <w:t>.</w:t>
      </w:r>
    </w:p>
    <w:p w:rsidR="00C72E6A" w:rsidRPr="00163942" w:rsidRDefault="00C72E6A" w:rsidP="00C72E6A">
      <w:pPr>
        <w:pStyle w:val="enumlev1"/>
        <w:spacing w:line="240" w:lineRule="auto"/>
        <w:rPr>
          <w:sz w:val="24"/>
          <w:szCs w:val="24"/>
        </w:rPr>
      </w:pPr>
      <w:r w:rsidRPr="00163942">
        <w:rPr>
          <w:sz w:val="24"/>
          <w:szCs w:val="24"/>
        </w:rPr>
        <w:t>•</w:t>
      </w:r>
      <w:r w:rsidRPr="00163942">
        <w:rPr>
          <w:sz w:val="24"/>
          <w:szCs w:val="24"/>
        </w:rPr>
        <w:tab/>
        <w:t xml:space="preserve">Foro sobre el tema </w:t>
      </w:r>
      <w:r w:rsidR="009235F6" w:rsidRPr="00163942">
        <w:rPr>
          <w:sz w:val="24"/>
          <w:szCs w:val="24"/>
        </w:rPr>
        <w:t>"</w:t>
      </w:r>
      <w:r w:rsidRPr="00163942">
        <w:rPr>
          <w:sz w:val="24"/>
          <w:szCs w:val="24"/>
        </w:rPr>
        <w:t>Convertir en oportunidad el desafío de los desechos electrónicos</w:t>
      </w:r>
      <w:r w:rsidR="009235F6" w:rsidRPr="00163942">
        <w:rPr>
          <w:sz w:val="24"/>
          <w:szCs w:val="24"/>
        </w:rPr>
        <w:t>"</w:t>
      </w:r>
      <w:r w:rsidRPr="00163942">
        <w:rPr>
          <w:sz w:val="24"/>
          <w:szCs w:val="24"/>
        </w:rPr>
        <w:t>, organizado conjuntamente por el BCRC-Caribbean, el CRBAS, la CEPAL, la UIT, la UNESCO, la ONUDI y la UNU, y que se celebrará el 15 de diciembre de 2015</w:t>
      </w:r>
      <w:r w:rsidR="001E1C67" w:rsidRPr="00163942">
        <w:rPr>
          <w:sz w:val="24"/>
          <w:szCs w:val="24"/>
        </w:rPr>
        <w:t>.</w:t>
      </w:r>
    </w:p>
    <w:p w:rsidR="00C72E6A" w:rsidRPr="00163942" w:rsidRDefault="00C72E6A" w:rsidP="00C72E6A">
      <w:pPr>
        <w:pStyle w:val="enumlev1"/>
        <w:spacing w:line="240" w:lineRule="auto"/>
        <w:rPr>
          <w:sz w:val="24"/>
          <w:szCs w:val="24"/>
        </w:rPr>
      </w:pPr>
      <w:r w:rsidRPr="00163942">
        <w:rPr>
          <w:sz w:val="24"/>
          <w:szCs w:val="24"/>
        </w:rPr>
        <w:t>•</w:t>
      </w:r>
      <w:r w:rsidRPr="00163942">
        <w:rPr>
          <w:sz w:val="24"/>
          <w:szCs w:val="24"/>
        </w:rPr>
        <w:tab/>
        <w:t>Formación en Políticas y normas de TIC verdes, organizada conjuntamente por el CRBAS, la CEPAL y la UIT, que se celebrará el 16 de diciembre de 2015 (por la mañana)</w:t>
      </w:r>
      <w:r w:rsidR="001E1C67" w:rsidRPr="00163942">
        <w:rPr>
          <w:sz w:val="24"/>
          <w:szCs w:val="24"/>
        </w:rPr>
        <w:t>.</w:t>
      </w:r>
    </w:p>
    <w:p w:rsidR="00C72E6A" w:rsidRPr="00163942" w:rsidRDefault="00C72E6A" w:rsidP="00ED7D55">
      <w:pPr>
        <w:pStyle w:val="enumlev1"/>
        <w:spacing w:line="240" w:lineRule="auto"/>
        <w:rPr>
          <w:sz w:val="24"/>
          <w:szCs w:val="24"/>
        </w:rPr>
      </w:pPr>
      <w:r w:rsidRPr="00163942">
        <w:rPr>
          <w:sz w:val="24"/>
          <w:szCs w:val="24"/>
        </w:rPr>
        <w:t>•</w:t>
      </w:r>
      <w:r w:rsidRPr="00163942">
        <w:rPr>
          <w:sz w:val="24"/>
          <w:szCs w:val="24"/>
        </w:rPr>
        <w:tab/>
        <w:t xml:space="preserve">Foro sobre el tema </w:t>
      </w:r>
      <w:r w:rsidR="00D011AE" w:rsidRPr="00163942">
        <w:rPr>
          <w:sz w:val="24"/>
          <w:szCs w:val="24"/>
        </w:rPr>
        <w:t>"Dirigir la Agenda Conectar 2020"</w:t>
      </w:r>
      <w:r w:rsidRPr="00163942">
        <w:rPr>
          <w:sz w:val="24"/>
          <w:szCs w:val="24"/>
        </w:rPr>
        <w:t>, organizad</w:t>
      </w:r>
      <w:r w:rsidR="00ED7D55" w:rsidRPr="00163942">
        <w:rPr>
          <w:sz w:val="24"/>
          <w:szCs w:val="24"/>
        </w:rPr>
        <w:t>o</w:t>
      </w:r>
      <w:r w:rsidRPr="00163942">
        <w:rPr>
          <w:sz w:val="24"/>
          <w:szCs w:val="24"/>
        </w:rPr>
        <w:t xml:space="preserve"> por </w:t>
      </w:r>
      <w:r w:rsidR="00ED7D55" w:rsidRPr="00163942">
        <w:rPr>
          <w:sz w:val="24"/>
          <w:szCs w:val="24"/>
        </w:rPr>
        <w:t>la UIT y que se celebrará el 16 </w:t>
      </w:r>
      <w:r w:rsidRPr="00163942">
        <w:rPr>
          <w:sz w:val="24"/>
          <w:szCs w:val="24"/>
        </w:rPr>
        <w:t>de diciembre de 2015 (por la tarde)</w:t>
      </w:r>
      <w:r w:rsidR="001E1C67" w:rsidRPr="00163942">
        <w:rPr>
          <w:sz w:val="24"/>
          <w:szCs w:val="24"/>
        </w:rPr>
        <w:t>.</w:t>
      </w:r>
    </w:p>
    <w:p w:rsidR="00C27C76" w:rsidRPr="00163942" w:rsidRDefault="00C72E6A" w:rsidP="006F45DC">
      <w:pPr>
        <w:pStyle w:val="enumlev1"/>
        <w:spacing w:line="240" w:lineRule="auto"/>
        <w:rPr>
          <w:sz w:val="24"/>
          <w:szCs w:val="24"/>
        </w:rPr>
      </w:pPr>
      <w:r w:rsidRPr="00163942">
        <w:rPr>
          <w:sz w:val="24"/>
          <w:szCs w:val="24"/>
        </w:rPr>
        <w:t>•</w:t>
      </w:r>
      <w:r w:rsidRPr="00163942">
        <w:rPr>
          <w:sz w:val="24"/>
          <w:szCs w:val="24"/>
        </w:rPr>
        <w:tab/>
        <w:t xml:space="preserve">Foro sobre el tema </w:t>
      </w:r>
      <w:r w:rsidR="00D011AE" w:rsidRPr="00163942">
        <w:rPr>
          <w:sz w:val="24"/>
          <w:szCs w:val="24"/>
        </w:rPr>
        <w:t>"</w:t>
      </w:r>
      <w:r w:rsidRPr="00163942">
        <w:rPr>
          <w:sz w:val="24"/>
          <w:szCs w:val="24"/>
        </w:rPr>
        <w:t>Habilitar a las ciudades inteligentes con Internet de las Cosas</w:t>
      </w:r>
      <w:r w:rsidR="00D011AE" w:rsidRPr="00163942">
        <w:rPr>
          <w:sz w:val="24"/>
          <w:szCs w:val="24"/>
        </w:rPr>
        <w:t>"</w:t>
      </w:r>
      <w:r w:rsidRPr="00163942">
        <w:rPr>
          <w:sz w:val="24"/>
          <w:szCs w:val="24"/>
        </w:rPr>
        <w:t>, organizado conjuntamente por la UIT, la</w:t>
      </w:r>
      <w:r w:rsidR="00171ACA" w:rsidRPr="00163942">
        <w:rPr>
          <w:sz w:val="24"/>
          <w:szCs w:val="24"/>
        </w:rPr>
        <w:t xml:space="preserve"> UNESCO y el ONU-Ha</w:t>
      </w:r>
      <w:r w:rsidRPr="00163942">
        <w:rPr>
          <w:sz w:val="24"/>
          <w:szCs w:val="24"/>
        </w:rPr>
        <w:t>bitat, que se celebrará los días 17 y 18 de diciembre de 2015 (por la mañana).</w:t>
      </w:r>
    </w:p>
    <w:p w:rsidR="00C72E6A" w:rsidRPr="00CB28EA" w:rsidRDefault="00C72E6A" w:rsidP="00C72E6A">
      <w:pPr>
        <w:rPr>
          <w:i/>
          <w:iCs/>
          <w:sz w:val="24"/>
          <w:szCs w:val="24"/>
        </w:rPr>
      </w:pPr>
      <w:r w:rsidRPr="00163942">
        <w:rPr>
          <w:sz w:val="24"/>
          <w:szCs w:val="24"/>
        </w:rPr>
        <w:lastRenderedPageBreak/>
        <w:t>3</w:t>
      </w:r>
      <w:r w:rsidRPr="00163942">
        <w:rPr>
          <w:sz w:val="24"/>
          <w:szCs w:val="24"/>
        </w:rPr>
        <w:tab/>
        <w:t xml:space="preserve">La Semana de las Normas Verdes sirve como plataforma mundial para el debate y el intercambio de conocimientos a fin de lograr una mayor sensibilización respecto de la importancia y las oportunidades que entraña el uso de las </w:t>
      </w:r>
      <w:r w:rsidRPr="00CB28EA">
        <w:rPr>
          <w:i/>
          <w:iCs/>
          <w:sz w:val="24"/>
          <w:szCs w:val="24"/>
        </w:rPr>
        <w:t>tecnologías de la información y la comunicación (TIC) para acelerar la transición a las ciudades inteligentes y sostenibles y garantiz</w:t>
      </w:r>
      <w:r w:rsidR="001E1C67" w:rsidRPr="00CB28EA">
        <w:rPr>
          <w:i/>
          <w:iCs/>
          <w:sz w:val="24"/>
          <w:szCs w:val="24"/>
        </w:rPr>
        <w:t>ar un futuro urbano sostenible.</w:t>
      </w:r>
    </w:p>
    <w:p w:rsidR="00C72E6A" w:rsidRPr="00163942" w:rsidRDefault="00C72E6A" w:rsidP="00C72E6A">
      <w:pPr>
        <w:rPr>
          <w:sz w:val="24"/>
          <w:szCs w:val="24"/>
        </w:rPr>
      </w:pPr>
      <w:r w:rsidRPr="00163942">
        <w:rPr>
          <w:sz w:val="24"/>
          <w:szCs w:val="24"/>
        </w:rPr>
        <w:t>4</w:t>
      </w:r>
      <w:r w:rsidRPr="00163942">
        <w:rPr>
          <w:sz w:val="24"/>
          <w:szCs w:val="24"/>
        </w:rPr>
        <w:tab/>
        <w:t xml:space="preserve">La Semana de las Normas Verdes reúne a grandes especialistas en este campo, desde altos responsables políticos hasta ingenieros, </w:t>
      </w:r>
      <w:proofErr w:type="spellStart"/>
      <w:r w:rsidRPr="00163942">
        <w:rPr>
          <w:sz w:val="24"/>
          <w:szCs w:val="24"/>
        </w:rPr>
        <w:t>conceptores</w:t>
      </w:r>
      <w:proofErr w:type="spellEnd"/>
      <w:r w:rsidRPr="00163942">
        <w:rPr>
          <w:sz w:val="24"/>
          <w:szCs w:val="24"/>
        </w:rPr>
        <w:t>, planificadores de ciudades inteligentes, funcionarios públicos, organismos reguladores, expertos en normalización, instituciones académicas y otros.</w:t>
      </w:r>
    </w:p>
    <w:p w:rsidR="00C72E6A" w:rsidRPr="00163942" w:rsidRDefault="00C72E6A" w:rsidP="00C72E6A">
      <w:pPr>
        <w:rPr>
          <w:sz w:val="24"/>
          <w:szCs w:val="24"/>
        </w:rPr>
      </w:pPr>
      <w:r w:rsidRPr="00163942">
        <w:rPr>
          <w:sz w:val="24"/>
          <w:szCs w:val="24"/>
        </w:rPr>
        <w:t>5</w:t>
      </w:r>
      <w:r w:rsidRPr="00163942">
        <w:rPr>
          <w:sz w:val="24"/>
          <w:szCs w:val="24"/>
        </w:rPr>
        <w:tab/>
        <w:t>Los debates tendrán lugar en inglés y español.</w:t>
      </w:r>
    </w:p>
    <w:p w:rsidR="00C72E6A" w:rsidRPr="00163942" w:rsidRDefault="00C72E6A" w:rsidP="00C72E6A">
      <w:pPr>
        <w:rPr>
          <w:sz w:val="24"/>
          <w:szCs w:val="24"/>
        </w:rPr>
      </w:pPr>
      <w:r w:rsidRPr="00163942">
        <w:rPr>
          <w:sz w:val="24"/>
          <w:szCs w:val="24"/>
        </w:rPr>
        <w:t>6</w:t>
      </w:r>
      <w:r w:rsidRPr="00163942">
        <w:rPr>
          <w:sz w:val="24"/>
          <w:szCs w:val="24"/>
        </w:rPr>
        <w:tab/>
        <w:t>La participación está abierta a los Estados Miembros, Miembros de Sector, Asociados e Instituciones Académicas de la UIT, así como a cualquiera que desee contribuir a los trabajos. Esto incluye a las personas que también sean miembros de organizaciones nacionales, regionales e internacionales. La participación en los eventos es gratuita.</w:t>
      </w:r>
    </w:p>
    <w:p w:rsidR="00C72E6A" w:rsidRPr="00163942" w:rsidRDefault="00C72E6A" w:rsidP="00441635">
      <w:pPr>
        <w:jc w:val="lowKashida"/>
        <w:rPr>
          <w:sz w:val="24"/>
          <w:szCs w:val="24"/>
        </w:rPr>
      </w:pPr>
      <w:r w:rsidRPr="00163942">
        <w:rPr>
          <w:sz w:val="24"/>
          <w:szCs w:val="24"/>
        </w:rPr>
        <w:t>7</w:t>
      </w:r>
      <w:r w:rsidRPr="00163942">
        <w:rPr>
          <w:sz w:val="24"/>
          <w:szCs w:val="24"/>
        </w:rPr>
        <w:tab/>
        <w:t>El proyecto de programa de los Foros se pondrá a disposición en e</w:t>
      </w:r>
      <w:r w:rsidR="00782806" w:rsidRPr="00163942">
        <w:rPr>
          <w:sz w:val="24"/>
          <w:szCs w:val="24"/>
        </w:rPr>
        <w:t>l sitio web de la Semana de las </w:t>
      </w:r>
      <w:r w:rsidRPr="00163942">
        <w:rPr>
          <w:sz w:val="24"/>
          <w:szCs w:val="24"/>
        </w:rPr>
        <w:t>Normas Verdes en la dirección </w:t>
      </w:r>
      <w:hyperlink r:id="rId8" w:history="1">
        <w:r w:rsidR="00441635" w:rsidRPr="00163942">
          <w:rPr>
            <w:rStyle w:val="Hyperlink"/>
            <w:sz w:val="24"/>
            <w:szCs w:val="24"/>
          </w:rPr>
          <w:t>http://www.itu.i</w:t>
        </w:r>
        <w:bookmarkStart w:id="6" w:name="_GoBack"/>
        <w:bookmarkEnd w:id="6"/>
        <w:r w:rsidR="00441635" w:rsidRPr="00163942">
          <w:rPr>
            <w:rStyle w:val="Hyperlink"/>
            <w:sz w:val="24"/>
            <w:szCs w:val="24"/>
          </w:rPr>
          <w:t>n</w:t>
        </w:r>
        <w:r w:rsidR="00441635" w:rsidRPr="00163942">
          <w:rPr>
            <w:rStyle w:val="Hyperlink"/>
            <w:sz w:val="24"/>
            <w:szCs w:val="24"/>
          </w:rPr>
          <w:t>t/en/ITU-T/Workshops-and-Seminars/gsw/201512/Pages/default.aspx</w:t>
        </w:r>
      </w:hyperlink>
      <w:r w:rsidRPr="00163942">
        <w:rPr>
          <w:sz w:val="24"/>
          <w:szCs w:val="24"/>
        </w:rPr>
        <w:t xml:space="preserve">. Si necesita información adicional sobre el programa, no dude en </w:t>
      </w:r>
      <w:r w:rsidR="009E798A" w:rsidRPr="00163942">
        <w:rPr>
          <w:sz w:val="24"/>
          <w:szCs w:val="24"/>
        </w:rPr>
        <w:t xml:space="preserve">comunicarse con Cristina Bueti </w:t>
      </w:r>
      <w:r w:rsidRPr="00163942">
        <w:rPr>
          <w:sz w:val="24"/>
          <w:szCs w:val="24"/>
        </w:rPr>
        <w:t>(</w:t>
      </w:r>
      <w:hyperlink r:id="rId9" w:history="1">
        <w:r w:rsidRPr="00163942">
          <w:rPr>
            <w:rStyle w:val="Hyperlink"/>
            <w:sz w:val="24"/>
            <w:szCs w:val="24"/>
          </w:rPr>
          <w:t>greenstandard@itu.int</w:t>
        </w:r>
      </w:hyperlink>
      <w:r w:rsidRPr="00163942">
        <w:rPr>
          <w:sz w:val="24"/>
          <w:szCs w:val="24"/>
        </w:rPr>
        <w:t>).</w:t>
      </w:r>
    </w:p>
    <w:p w:rsidR="00C72E6A" w:rsidRPr="00163942" w:rsidRDefault="00C72E6A" w:rsidP="00C72E6A">
      <w:pPr>
        <w:rPr>
          <w:sz w:val="24"/>
          <w:szCs w:val="24"/>
        </w:rPr>
      </w:pPr>
      <w:r w:rsidRPr="00163942">
        <w:rPr>
          <w:sz w:val="24"/>
          <w:szCs w:val="24"/>
        </w:rPr>
        <w:t>8</w:t>
      </w:r>
      <w:r w:rsidRPr="00163942">
        <w:rPr>
          <w:sz w:val="24"/>
          <w:szCs w:val="24"/>
        </w:rPr>
        <w:tab/>
      </w:r>
      <w:r w:rsidRPr="00163942">
        <w:rPr>
          <w:b/>
          <w:bCs/>
          <w:sz w:val="24"/>
          <w:szCs w:val="24"/>
        </w:rPr>
        <w:t>Alojamiento</w:t>
      </w:r>
      <w:r w:rsidRPr="00163942">
        <w:rPr>
          <w:sz w:val="24"/>
          <w:szCs w:val="24"/>
        </w:rPr>
        <w:t>: Puede encontrarse información acerca del alojamiento en hoteles, el transporte, los requisitos de visado y los requisitos sanitarios en el sitio web del evento. Este sitio web se mantendrá actualizado a medida que se obtenga información nueva o modificada.</w:t>
      </w:r>
    </w:p>
    <w:p w:rsidR="00C72E6A" w:rsidRPr="00163942" w:rsidRDefault="00C72E6A" w:rsidP="00B565A8">
      <w:pPr>
        <w:rPr>
          <w:sz w:val="24"/>
          <w:szCs w:val="24"/>
        </w:rPr>
      </w:pPr>
      <w:r w:rsidRPr="00163942">
        <w:rPr>
          <w:sz w:val="24"/>
          <w:szCs w:val="24"/>
        </w:rPr>
        <w:t>9</w:t>
      </w:r>
      <w:r w:rsidRPr="00163942">
        <w:rPr>
          <w:sz w:val="24"/>
          <w:szCs w:val="24"/>
        </w:rPr>
        <w:tab/>
      </w:r>
      <w:r w:rsidRPr="00163942">
        <w:rPr>
          <w:b/>
          <w:bCs/>
          <w:sz w:val="24"/>
          <w:szCs w:val="24"/>
        </w:rPr>
        <w:t>Inscripción</w:t>
      </w:r>
      <w:r w:rsidRPr="00163942">
        <w:rPr>
          <w:sz w:val="24"/>
          <w:szCs w:val="24"/>
        </w:rPr>
        <w:t xml:space="preserve">: Para que la TSB pueda tomar las disposiciones oportunas para la organización del taller, le agradecería que se inscribiese para estos eventos utilizando el formulario en línea disponible en el sitio web de la Semana de las Normas Verdes lo antes posible, </w:t>
      </w:r>
      <w:r w:rsidRPr="00163942">
        <w:rPr>
          <w:b/>
          <w:bCs/>
          <w:sz w:val="24"/>
          <w:szCs w:val="24"/>
        </w:rPr>
        <w:t xml:space="preserve">pero a más tardar el 1 de diciembre de 2015. Sírvase observar que la preinscripción de los participantes en el taller se llevará a cabo exclusivamente </w:t>
      </w:r>
      <w:r w:rsidRPr="00163942">
        <w:rPr>
          <w:b/>
          <w:bCs/>
          <w:i/>
          <w:iCs/>
          <w:sz w:val="24"/>
          <w:szCs w:val="24"/>
        </w:rPr>
        <w:t>en línea</w:t>
      </w:r>
      <w:r w:rsidRPr="00163942">
        <w:rPr>
          <w:sz w:val="24"/>
          <w:szCs w:val="24"/>
        </w:rPr>
        <w:t>. Los participantes podrán inscribirse en la dirección </w:t>
      </w:r>
      <w:hyperlink r:id="rId10" w:history="1">
        <w:r w:rsidR="00B565A8" w:rsidRPr="004637F4">
          <w:rPr>
            <w:rStyle w:val="Hyperlink"/>
          </w:rPr>
          <w:t>http://www.itu.int/online/regsys/ITU-T/misc/edrs.registration.form?_eventid=3000795</w:t>
        </w:r>
      </w:hyperlink>
      <w:r w:rsidR="00B565A8">
        <w:t xml:space="preserve"> </w:t>
      </w:r>
      <w:r w:rsidRPr="00163942">
        <w:rPr>
          <w:sz w:val="24"/>
          <w:szCs w:val="24"/>
        </w:rPr>
        <w:t>.</w:t>
      </w:r>
    </w:p>
    <w:p w:rsidR="00C72E6A" w:rsidRPr="00163942" w:rsidRDefault="00C72E6A" w:rsidP="00C72E6A">
      <w:pPr>
        <w:rPr>
          <w:sz w:val="24"/>
          <w:szCs w:val="24"/>
        </w:rPr>
      </w:pPr>
      <w:r w:rsidRPr="00163942">
        <w:rPr>
          <w:sz w:val="24"/>
          <w:szCs w:val="24"/>
        </w:rPr>
        <w:t>10</w:t>
      </w:r>
      <w:r w:rsidRPr="00163942">
        <w:rPr>
          <w:sz w:val="24"/>
          <w:szCs w:val="24"/>
        </w:rPr>
        <w:tab/>
        <w:t>Le recordamos que los ciudadanos procedentes de ciertos países necesitan visado para entrar y permanecer en las Bahamas. Ese visado debe solicitarse en la Embajada de Bahamas en su país o, en su defecto, en la Embajada más próxima a su país de partida. Puede encontrar más información sobre los requisitos para la obtención de visado en la página web de la Semana de las Normas Verdes.</w:t>
      </w:r>
    </w:p>
    <w:p w:rsidR="00C72E6A" w:rsidRPr="00163942" w:rsidRDefault="00C72E6A" w:rsidP="00C72E6A">
      <w:pPr>
        <w:rPr>
          <w:sz w:val="24"/>
          <w:szCs w:val="24"/>
        </w:rPr>
      </w:pPr>
      <w:r w:rsidRPr="00163942">
        <w:rPr>
          <w:sz w:val="24"/>
          <w:szCs w:val="24"/>
        </w:rPr>
        <w:t>Espero poder contar con su participación en la Semana de las Normas Verdes.</w:t>
      </w:r>
    </w:p>
    <w:p w:rsidR="00C72E6A" w:rsidRDefault="00C579FB" w:rsidP="00C72E6A">
      <w:pPr>
        <w:rPr>
          <w:sz w:val="24"/>
          <w:szCs w:val="24"/>
        </w:rPr>
      </w:pPr>
      <w:r w:rsidRPr="00163942">
        <w:rPr>
          <w:sz w:val="24"/>
          <w:szCs w:val="24"/>
        </w:rPr>
        <w:t>Atentamente,</w:t>
      </w:r>
    </w:p>
    <w:p w:rsidR="00C72E6A" w:rsidRPr="00CB28EA" w:rsidRDefault="00CB28EA" w:rsidP="00BB3854">
      <w:pPr>
        <w:spacing w:before="360"/>
        <w:jc w:val="left"/>
        <w:rPr>
          <w:rFonts w:asciiTheme="minorHAnsi" w:hAnsiTheme="minorHAnsi"/>
          <w:i/>
          <w:iCs/>
          <w:sz w:val="24"/>
          <w:szCs w:val="24"/>
        </w:rPr>
      </w:pPr>
      <w:r>
        <w:rPr>
          <w:rFonts w:asciiTheme="minorHAnsi" w:hAnsiTheme="minorHAnsi"/>
          <w:i/>
          <w:iCs/>
          <w:sz w:val="24"/>
          <w:szCs w:val="24"/>
        </w:rPr>
        <w:br/>
        <w:t>(</w:t>
      </w:r>
      <w:r w:rsidR="00BB3854">
        <w:rPr>
          <w:rFonts w:asciiTheme="minorHAnsi" w:hAnsiTheme="minorHAnsi"/>
          <w:i/>
          <w:iCs/>
          <w:sz w:val="24"/>
          <w:szCs w:val="24"/>
        </w:rPr>
        <w:t>firmado</w:t>
      </w:r>
      <w:r>
        <w:rPr>
          <w:rFonts w:asciiTheme="minorHAnsi" w:hAnsiTheme="minorHAnsi"/>
          <w:i/>
          <w:iCs/>
          <w:sz w:val="24"/>
          <w:szCs w:val="24"/>
        </w:rPr>
        <w:t xml:space="preserve">) </w:t>
      </w:r>
      <w:r>
        <w:rPr>
          <w:rFonts w:asciiTheme="minorHAnsi" w:hAnsiTheme="minorHAnsi"/>
          <w:i/>
          <w:iCs/>
          <w:sz w:val="24"/>
          <w:szCs w:val="24"/>
        </w:rPr>
        <w:br/>
      </w:r>
      <w:r>
        <w:rPr>
          <w:rFonts w:asciiTheme="minorHAnsi" w:hAnsiTheme="minorHAnsi"/>
          <w:i/>
          <w:iCs/>
          <w:sz w:val="24"/>
          <w:szCs w:val="24"/>
        </w:rPr>
        <w:br/>
      </w:r>
      <w:r>
        <w:rPr>
          <w:rFonts w:asciiTheme="minorHAnsi" w:hAnsiTheme="minorHAnsi"/>
          <w:i/>
          <w:iCs/>
          <w:sz w:val="24"/>
          <w:szCs w:val="24"/>
        </w:rPr>
        <w:br/>
      </w:r>
      <w:r w:rsidR="00C72E6A" w:rsidRPr="00163942">
        <w:rPr>
          <w:sz w:val="24"/>
          <w:szCs w:val="24"/>
        </w:rPr>
        <w:t>Houlin ZHAO</w:t>
      </w:r>
      <w:r w:rsidR="0088640F" w:rsidRPr="00163942">
        <w:rPr>
          <w:sz w:val="24"/>
          <w:szCs w:val="24"/>
        </w:rPr>
        <w:br/>
        <w:t>Secretario General</w:t>
      </w:r>
    </w:p>
    <w:sectPr w:rsidR="00C72E6A" w:rsidRPr="00CB28EA" w:rsidSect="005C6B83">
      <w:headerReference w:type="even" r:id="rId11"/>
      <w:headerReference w:type="default" r:id="rId12"/>
      <w:headerReference w:type="first" r:id="rId13"/>
      <w:footerReference w:type="first" r:id="rId14"/>
      <w:pgSz w:w="11907" w:h="16834" w:code="9"/>
      <w:pgMar w:top="1871"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D6C" w:rsidRDefault="00031D6C">
      <w:r>
        <w:separator/>
      </w:r>
    </w:p>
  </w:endnote>
  <w:endnote w:type="continuationSeparator" w:id="0">
    <w:p w:rsidR="00031D6C" w:rsidRDefault="0003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D2E" w:rsidRPr="006F590F" w:rsidRDefault="00612D2E" w:rsidP="00F914DD">
    <w:pPr>
      <w:pStyle w:val="FirstFooter"/>
      <w:spacing w:line="240" w:lineRule="auto"/>
      <w:ind w:left="-397" w:right="-397"/>
      <w:jc w:val="center"/>
      <w:rPr>
        <w:color w:val="3E8EDE"/>
        <w:sz w:val="18"/>
        <w:szCs w:val="18"/>
      </w:rPr>
    </w:pPr>
    <w:r w:rsidRPr="006F590F">
      <w:rPr>
        <w:color w:val="3E8EDE"/>
        <w:sz w:val="18"/>
        <w:szCs w:val="18"/>
      </w:rPr>
      <w:t xml:space="preserve">Unión Internacional de Telecomunicaciones • Place des </w:t>
    </w:r>
    <w:proofErr w:type="spellStart"/>
    <w:r w:rsidRPr="006F590F">
      <w:rPr>
        <w:color w:val="3E8EDE"/>
        <w:sz w:val="18"/>
        <w:szCs w:val="18"/>
      </w:rPr>
      <w:t>Nations</w:t>
    </w:r>
    <w:proofErr w:type="spellEnd"/>
    <w:r w:rsidRPr="006F590F">
      <w:rPr>
        <w:color w:val="3E8EDE"/>
        <w:sz w:val="18"/>
        <w:szCs w:val="18"/>
      </w:rPr>
      <w:t>, CH</w:t>
    </w:r>
    <w:r w:rsidRPr="006F590F">
      <w:rPr>
        <w:color w:val="3E8EDE"/>
        <w:sz w:val="18"/>
        <w:szCs w:val="18"/>
      </w:rPr>
      <w:noBreakHyphen/>
      <w:t>1211 Ginebra 20, Suiza</w:t>
    </w:r>
    <w:r w:rsidRPr="006F590F">
      <w:rPr>
        <w:color w:val="3E8EDE"/>
        <w:sz w:val="18"/>
        <w:szCs w:val="18"/>
      </w:rPr>
      <w:br/>
      <w:t xml:space="preserve">Tel: +41 22 730 5111 • Fax: +41 22 733 7256 • </w:t>
    </w:r>
    <w:r w:rsidR="00690C51">
      <w:rPr>
        <w:color w:val="3E8EDE"/>
        <w:sz w:val="18"/>
        <w:szCs w:val="18"/>
      </w:rPr>
      <w:br/>
    </w:r>
    <w:r w:rsidRPr="006F590F">
      <w:rPr>
        <w:color w:val="3E8EDE"/>
        <w:sz w:val="18"/>
        <w:szCs w:val="18"/>
      </w:rPr>
      <w:t xml:space="preserve">Correo-e: </w:t>
    </w:r>
    <w:hyperlink r:id="rId1" w:history="1">
      <w:r w:rsidRPr="006F590F">
        <w:rPr>
          <w:color w:val="3E8EDE"/>
          <w:sz w:val="18"/>
          <w:szCs w:val="18"/>
        </w:rPr>
        <w:t>itumail@itu.int</w:t>
      </w:r>
    </w:hyperlink>
    <w:r w:rsidRPr="006F590F">
      <w:rPr>
        <w:color w:val="3E8EDE"/>
        <w:sz w:val="18"/>
        <w:szCs w:val="18"/>
      </w:rPr>
      <w:t xml:space="preserve"> • </w:t>
    </w:r>
    <w:hyperlink r:id="rId2" w:history="1">
      <w:r w:rsidRPr="006F590F">
        <w:rPr>
          <w:color w:val="3E8EDE"/>
          <w:sz w:val="18"/>
          <w:szCs w:val="18"/>
        </w:rPr>
        <w:t>www.itu.int</w:t>
      </w:r>
    </w:hyperlink>
    <w:r w:rsidRPr="006F590F">
      <w:rPr>
        <w:color w:val="3E8EDE"/>
        <w:sz w:val="18"/>
        <w:szCs w:val="18"/>
      </w:rPr>
      <w:t xml:space="preserve"> • www.itu150.org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D6C" w:rsidRDefault="00031D6C">
      <w:r>
        <w:t>____________________</w:t>
      </w:r>
    </w:p>
  </w:footnote>
  <w:footnote w:type="continuationSeparator" w:id="0">
    <w:p w:rsidR="00031D6C" w:rsidRDefault="00031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235A29" w:rsidRDefault="00026CF8">
    <w:pPr>
      <w:pStyle w:val="Header"/>
    </w:pPr>
    <w:r>
      <w:tab/>
    </w:r>
    <w:r>
      <w:tab/>
      <w:t xml:space="preserve">– </w:t>
    </w:r>
    <w:r w:rsidR="00200936">
      <w:rPr>
        <w:rStyle w:val="PageNumber"/>
      </w:rPr>
      <w:fldChar w:fldCharType="begin"/>
    </w:r>
    <w:r>
      <w:rPr>
        <w:rStyle w:val="PageNumber"/>
      </w:rPr>
      <w:instrText xml:space="preserve"> PAGE </w:instrText>
    </w:r>
    <w:r w:rsidR="00200936">
      <w:rPr>
        <w:rStyle w:val="PageNumber"/>
      </w:rPr>
      <w:fldChar w:fldCharType="separate"/>
    </w:r>
    <w:r w:rsidR="00B565A8">
      <w:rPr>
        <w:rStyle w:val="PageNumber"/>
        <w:noProof/>
      </w:rPr>
      <w:t>2</w:t>
    </w:r>
    <w:r w:rsidR="00200936">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AF3325" w:rsidRDefault="00026CF8">
    <w:pPr>
      <w:pStyle w:val="Header"/>
    </w:pPr>
    <w:r>
      <w:tab/>
    </w:r>
    <w:r>
      <w:tab/>
    </w:r>
    <w:r w:rsidR="00200936" w:rsidRPr="00AF3325">
      <w:rPr>
        <w:i/>
      </w:rPr>
      <w:fldChar w:fldCharType="begin"/>
    </w:r>
    <w:r w:rsidRPr="00AF3325">
      <w:rPr>
        <w:i/>
      </w:rPr>
      <w:instrText xml:space="preserve"> PAGE  \* MERGEFORMAT </w:instrText>
    </w:r>
    <w:r w:rsidR="00200936" w:rsidRPr="00AF3325">
      <w:rPr>
        <w:i/>
      </w:rPr>
      <w:fldChar w:fldCharType="separate"/>
    </w:r>
    <w:r w:rsidR="00CB28EA">
      <w:rPr>
        <w:i/>
        <w:noProof/>
      </w:rPr>
      <w:t>3</w:t>
    </w:r>
    <w:r w:rsidR="00200936"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C4551" w:rsidRPr="006F590F" w:rsidTr="00B330B7">
      <w:tc>
        <w:tcPr>
          <w:tcW w:w="4889" w:type="dxa"/>
        </w:tcPr>
        <w:p w:rsidR="005C4551" w:rsidRPr="006F590F" w:rsidRDefault="005C4551" w:rsidP="00B330B7">
          <w:pPr>
            <w:pStyle w:val="Header"/>
            <w:tabs>
              <w:tab w:val="clear" w:pos="794"/>
              <w:tab w:val="clear" w:pos="4820"/>
            </w:tabs>
            <w:spacing w:before="120" w:line="360" w:lineRule="auto"/>
          </w:pPr>
          <w:r w:rsidRPr="006F590F">
            <w:rPr>
              <w:b/>
              <w:bCs/>
              <w:noProof/>
              <w:lang w:val="en-US" w:eastAsia="zh-CN"/>
            </w:rPr>
            <w:drawing>
              <wp:inline distT="0" distB="0" distL="0" distR="0" wp14:anchorId="03F90F68" wp14:editId="04D0AD20">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C4551" w:rsidRPr="006F590F" w:rsidRDefault="005C4551" w:rsidP="00B330B7">
          <w:pPr>
            <w:pStyle w:val="Header"/>
            <w:tabs>
              <w:tab w:val="clear" w:pos="794"/>
              <w:tab w:val="clear" w:pos="4820"/>
            </w:tabs>
            <w:spacing w:line="360" w:lineRule="auto"/>
            <w:jc w:val="right"/>
          </w:pPr>
          <w:r w:rsidRPr="006F590F">
            <w:rPr>
              <w:noProof/>
              <w:lang w:val="en-US" w:eastAsia="zh-CN"/>
            </w:rPr>
            <w:drawing>
              <wp:inline distT="0" distB="0" distL="0" distR="0" wp14:anchorId="548E5BC5" wp14:editId="746388C7">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026CF8" w:rsidRPr="006F590F" w:rsidRDefault="00026CF8" w:rsidP="002D5322">
    <w:pPr>
      <w:pStyle w:val="Header"/>
      <w:spacing w:line="36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31D6C"/>
    <w:rsid w:val="00010E30"/>
    <w:rsid w:val="0002268A"/>
    <w:rsid w:val="00023857"/>
    <w:rsid w:val="00025CD8"/>
    <w:rsid w:val="00026CF8"/>
    <w:rsid w:val="00031D6C"/>
    <w:rsid w:val="00070258"/>
    <w:rsid w:val="00072B9B"/>
    <w:rsid w:val="00072E16"/>
    <w:rsid w:val="0007323C"/>
    <w:rsid w:val="00086D03"/>
    <w:rsid w:val="000A7051"/>
    <w:rsid w:val="000C03C7"/>
    <w:rsid w:val="000D786F"/>
    <w:rsid w:val="000E3DEE"/>
    <w:rsid w:val="000F34FB"/>
    <w:rsid w:val="00103C76"/>
    <w:rsid w:val="00110BFA"/>
    <w:rsid w:val="0011265F"/>
    <w:rsid w:val="0016308F"/>
    <w:rsid w:val="00163942"/>
    <w:rsid w:val="00171ACA"/>
    <w:rsid w:val="00196710"/>
    <w:rsid w:val="00197324"/>
    <w:rsid w:val="001B1CE8"/>
    <w:rsid w:val="001D7070"/>
    <w:rsid w:val="001E0DF6"/>
    <w:rsid w:val="001E1C67"/>
    <w:rsid w:val="001F5A49"/>
    <w:rsid w:val="00200936"/>
    <w:rsid w:val="00201097"/>
    <w:rsid w:val="00201B6E"/>
    <w:rsid w:val="00206B05"/>
    <w:rsid w:val="00222100"/>
    <w:rsid w:val="002240B2"/>
    <w:rsid w:val="00235A29"/>
    <w:rsid w:val="00243821"/>
    <w:rsid w:val="002861E6"/>
    <w:rsid w:val="002A2700"/>
    <w:rsid w:val="002A283A"/>
    <w:rsid w:val="002D5322"/>
    <w:rsid w:val="002D6688"/>
    <w:rsid w:val="002E7E4D"/>
    <w:rsid w:val="002F0890"/>
    <w:rsid w:val="00320D0A"/>
    <w:rsid w:val="003370B8"/>
    <w:rsid w:val="003666FF"/>
    <w:rsid w:val="003741EE"/>
    <w:rsid w:val="00376793"/>
    <w:rsid w:val="003B2BDA"/>
    <w:rsid w:val="003B55EC"/>
    <w:rsid w:val="003C4471"/>
    <w:rsid w:val="003E504F"/>
    <w:rsid w:val="004326DB"/>
    <w:rsid w:val="0043682E"/>
    <w:rsid w:val="00441635"/>
    <w:rsid w:val="004815EB"/>
    <w:rsid w:val="00486DE0"/>
    <w:rsid w:val="00496920"/>
    <w:rsid w:val="004B7C9A"/>
    <w:rsid w:val="004C4BA6"/>
    <w:rsid w:val="004E0DC4"/>
    <w:rsid w:val="004E0FB5"/>
    <w:rsid w:val="004E43BB"/>
    <w:rsid w:val="004F178E"/>
    <w:rsid w:val="00505309"/>
    <w:rsid w:val="0050789B"/>
    <w:rsid w:val="00515771"/>
    <w:rsid w:val="005323E5"/>
    <w:rsid w:val="00542A47"/>
    <w:rsid w:val="00543DF8"/>
    <w:rsid w:val="00546101"/>
    <w:rsid w:val="00553DD7"/>
    <w:rsid w:val="0057469A"/>
    <w:rsid w:val="005764A5"/>
    <w:rsid w:val="00580814"/>
    <w:rsid w:val="005A03A3"/>
    <w:rsid w:val="005B214C"/>
    <w:rsid w:val="005B5FF1"/>
    <w:rsid w:val="005C4551"/>
    <w:rsid w:val="005C6B83"/>
    <w:rsid w:val="00602D53"/>
    <w:rsid w:val="00612D2E"/>
    <w:rsid w:val="006171A6"/>
    <w:rsid w:val="006261FA"/>
    <w:rsid w:val="00650015"/>
    <w:rsid w:val="00651777"/>
    <w:rsid w:val="0065332D"/>
    <w:rsid w:val="00690C51"/>
    <w:rsid w:val="0069777A"/>
    <w:rsid w:val="006A0A47"/>
    <w:rsid w:val="006B0590"/>
    <w:rsid w:val="006B49DA"/>
    <w:rsid w:val="006F45DC"/>
    <w:rsid w:val="006F590F"/>
    <w:rsid w:val="00707216"/>
    <w:rsid w:val="007234B1"/>
    <w:rsid w:val="00730B9A"/>
    <w:rsid w:val="007536C1"/>
    <w:rsid w:val="0077242F"/>
    <w:rsid w:val="00782806"/>
    <w:rsid w:val="007921A7"/>
    <w:rsid w:val="007A0529"/>
    <w:rsid w:val="007A5C27"/>
    <w:rsid w:val="007B3DB1"/>
    <w:rsid w:val="007D183E"/>
    <w:rsid w:val="007E3F13"/>
    <w:rsid w:val="007F06D0"/>
    <w:rsid w:val="00800012"/>
    <w:rsid w:val="00811D34"/>
    <w:rsid w:val="00811E28"/>
    <w:rsid w:val="008127A3"/>
    <w:rsid w:val="0081513E"/>
    <w:rsid w:val="00816E74"/>
    <w:rsid w:val="00823210"/>
    <w:rsid w:val="00843445"/>
    <w:rsid w:val="00847D46"/>
    <w:rsid w:val="00854131"/>
    <w:rsid w:val="0085652D"/>
    <w:rsid w:val="0087694B"/>
    <w:rsid w:val="008802FB"/>
    <w:rsid w:val="0088640F"/>
    <w:rsid w:val="008B627C"/>
    <w:rsid w:val="008C2808"/>
    <w:rsid w:val="008F4F21"/>
    <w:rsid w:val="00904D4A"/>
    <w:rsid w:val="009151BA"/>
    <w:rsid w:val="009235F6"/>
    <w:rsid w:val="009277BC"/>
    <w:rsid w:val="00927D57"/>
    <w:rsid w:val="00941D23"/>
    <w:rsid w:val="0095010C"/>
    <w:rsid w:val="00963D9D"/>
    <w:rsid w:val="00965617"/>
    <w:rsid w:val="00981B54"/>
    <w:rsid w:val="009842C3"/>
    <w:rsid w:val="009A6BB6"/>
    <w:rsid w:val="009C161F"/>
    <w:rsid w:val="009E4AEC"/>
    <w:rsid w:val="009E5BD8"/>
    <w:rsid w:val="009E681E"/>
    <w:rsid w:val="009E798A"/>
    <w:rsid w:val="00A34D6F"/>
    <w:rsid w:val="00A36BCA"/>
    <w:rsid w:val="00A41F91"/>
    <w:rsid w:val="00A86A44"/>
    <w:rsid w:val="00A96359"/>
    <w:rsid w:val="00A963DF"/>
    <w:rsid w:val="00AA7A4D"/>
    <w:rsid w:val="00AB7507"/>
    <w:rsid w:val="00AC3896"/>
    <w:rsid w:val="00AE6CFA"/>
    <w:rsid w:val="00AF3325"/>
    <w:rsid w:val="00B34CF9"/>
    <w:rsid w:val="00B537CB"/>
    <w:rsid w:val="00B565A8"/>
    <w:rsid w:val="00B67004"/>
    <w:rsid w:val="00B90C45"/>
    <w:rsid w:val="00B933BE"/>
    <w:rsid w:val="00BA0437"/>
    <w:rsid w:val="00BA5AD4"/>
    <w:rsid w:val="00BB3854"/>
    <w:rsid w:val="00BB4069"/>
    <w:rsid w:val="00BD02A0"/>
    <w:rsid w:val="00BD3929"/>
    <w:rsid w:val="00BD7E5E"/>
    <w:rsid w:val="00BE6574"/>
    <w:rsid w:val="00BF4AF2"/>
    <w:rsid w:val="00C27C76"/>
    <w:rsid w:val="00C51777"/>
    <w:rsid w:val="00C54AC2"/>
    <w:rsid w:val="00C579FB"/>
    <w:rsid w:val="00C57E2C"/>
    <w:rsid w:val="00C608B7"/>
    <w:rsid w:val="00C66F24"/>
    <w:rsid w:val="00C72E6A"/>
    <w:rsid w:val="00C9291E"/>
    <w:rsid w:val="00C94E4E"/>
    <w:rsid w:val="00CA3F44"/>
    <w:rsid w:val="00CA4E58"/>
    <w:rsid w:val="00CB28EA"/>
    <w:rsid w:val="00CB3771"/>
    <w:rsid w:val="00CB5153"/>
    <w:rsid w:val="00CC0DA0"/>
    <w:rsid w:val="00CC6461"/>
    <w:rsid w:val="00CE5884"/>
    <w:rsid w:val="00CF515A"/>
    <w:rsid w:val="00CF6752"/>
    <w:rsid w:val="00D011AE"/>
    <w:rsid w:val="00D05EC2"/>
    <w:rsid w:val="00D10BA0"/>
    <w:rsid w:val="00D24EB5"/>
    <w:rsid w:val="00D41571"/>
    <w:rsid w:val="00D416A0"/>
    <w:rsid w:val="00D47672"/>
    <w:rsid w:val="00D5123C"/>
    <w:rsid w:val="00D51C9E"/>
    <w:rsid w:val="00D55560"/>
    <w:rsid w:val="00D61C5A"/>
    <w:rsid w:val="00DC1446"/>
    <w:rsid w:val="00DE66A5"/>
    <w:rsid w:val="00DF2B50"/>
    <w:rsid w:val="00E003F5"/>
    <w:rsid w:val="00E04C86"/>
    <w:rsid w:val="00E05A97"/>
    <w:rsid w:val="00E20F30"/>
    <w:rsid w:val="00E27BBA"/>
    <w:rsid w:val="00E34CD1"/>
    <w:rsid w:val="00E35E8F"/>
    <w:rsid w:val="00E438E8"/>
    <w:rsid w:val="00E520E2"/>
    <w:rsid w:val="00E64254"/>
    <w:rsid w:val="00EA15B3"/>
    <w:rsid w:val="00EB2358"/>
    <w:rsid w:val="00EB3EB8"/>
    <w:rsid w:val="00ED7D55"/>
    <w:rsid w:val="00F42C8C"/>
    <w:rsid w:val="00F468C5"/>
    <w:rsid w:val="00F52F39"/>
    <w:rsid w:val="00F55EAB"/>
    <w:rsid w:val="00F57661"/>
    <w:rsid w:val="00F914DD"/>
    <w:rsid w:val="00FA2358"/>
    <w:rsid w:val="00FB2592"/>
    <w:rsid w:val="00FB2810"/>
    <w:rsid w:val="00FC00A8"/>
    <w:rsid w:val="00FC2947"/>
    <w:rsid w:val="00FD561E"/>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9BD79F7C-FF50-4A50-888F-4ACF6B29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rsid w:val="005C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C72E6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styleId="FollowedHyperlink">
    <w:name w:val="FollowedHyperlink"/>
    <w:basedOn w:val="DefaultParagraphFont"/>
    <w:semiHidden/>
    <w:unhideWhenUsed/>
    <w:rsid w:val="009E79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Workshops-and-Seminars/gsw/201512/Pages/default.aspx" TargetMode="External"/><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greenstandard@itu.int"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tu.int/online/regsys/ITU-T/misc/edrs.registration.form?_eventid=3000795"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greenstandard@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z\AppData\Roaming\Microsoft\Templates\ITU\Letter-Fax-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1C2D18E3914BC588D18660137F9274"/>
        <w:category>
          <w:name w:val="General"/>
          <w:gallery w:val="placeholder"/>
        </w:category>
        <w:types>
          <w:type w:val="bbPlcHdr"/>
        </w:types>
        <w:behaviors>
          <w:behavior w:val="content"/>
        </w:behaviors>
        <w:guid w:val="{3A9230C6-41AD-4858-B28A-A7AC4FA1B993}"/>
      </w:docPartPr>
      <w:docPartBody>
        <w:p w:rsidR="002507AC" w:rsidRDefault="002507AC">
          <w:pPr>
            <w:pStyle w:val="9C1C2D18E3914BC588D18660137F9274"/>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AC"/>
    <w:rsid w:val="002507AC"/>
  </w:rsids>
  <m:mathPr>
    <m:mathFont m:val="Cambria Math"/>
    <m:brkBin m:val="before"/>
    <m:brkBinSub m:val="--"/>
    <m:smallFrac m:val="0"/>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_tradnl"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C1C2D18E3914BC588D18660137F9274">
    <w:name w:val="9C1C2D18E3914BC588D18660137F92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B5989F9A51A14686E61F393B261DFC" ma:contentTypeVersion="1" ma:contentTypeDescription="Create a new document." ma:contentTypeScope="" ma:versionID="11d8cf857a44f2d8e81905bfebfebe01">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C2DDEA-ADBC-486C-AECB-4FBB3335672E}"/>
</file>

<file path=customXml/itemProps2.xml><?xml version="1.0" encoding="utf-8"?>
<ds:datastoreItem xmlns:ds="http://schemas.openxmlformats.org/officeDocument/2006/customXml" ds:itemID="{45D997AC-F46B-497F-A3D0-64CD54E6178A}"/>
</file>

<file path=customXml/itemProps3.xml><?xml version="1.0" encoding="utf-8"?>
<ds:datastoreItem xmlns:ds="http://schemas.openxmlformats.org/officeDocument/2006/customXml" ds:itemID="{E6B43845-C512-459E-814B-0E101326360B}"/>
</file>

<file path=docProps/app.xml><?xml version="1.0" encoding="utf-8"?>
<Properties xmlns="http://schemas.openxmlformats.org/officeDocument/2006/extended-properties" xmlns:vt="http://schemas.openxmlformats.org/officeDocument/2006/docPropsVTypes">
  <Template>Letter-Fax-S.dotm</Template>
  <TotalTime>2</TotalTime>
  <Pages>2</Pages>
  <Words>819</Words>
  <Characters>4768</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ITU-T Rec. Book 1 Resolutions ITU-T Series A Recommendations:</vt:lpstr>
      <vt:lpstr>ITU-T Rec. Book 1 Resolutions ITU-T Series A Recommendations:</vt:lpstr>
    </vt:vector>
  </TitlesOfParts>
  <Company>ITU</Company>
  <LinksUpToDate>false</LinksUpToDate>
  <CharactersWithSpaces>5576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Saez, Grau Ricardo</dc:creator>
  <cp:keywords>.Book 1,,Book 1</cp:keywords>
  <dc:description>ASM                                 1.12.04      SP_x000d_
Corr. BAT                         8.12.04      SP</dc:description>
  <cp:lastModifiedBy>Aloran, Rakan</cp:lastModifiedBy>
  <cp:revision>3</cp:revision>
  <cp:lastPrinted>2015-10-01T09:16:00Z</cp:lastPrinted>
  <dcterms:created xsi:type="dcterms:W3CDTF">2015-10-01T14:26:00Z</dcterms:created>
  <dcterms:modified xsi:type="dcterms:W3CDTF">2015-10-01T14:38:00Z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0x010100D9B5989F9A51A14686E61F393B261DFC</vt:lpwstr>
  </property>
</Properties>
</file>