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Pr="00176D7E" w:rsidRDefault="003D38E3" w:rsidP="00932E45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3D38E3" w:rsidRPr="00176D7E" w:rsidRDefault="0032364D" w:rsidP="006839E5">
            <w:pPr>
              <w:pStyle w:val="Tabletext"/>
              <w:spacing w:before="480" w:after="120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 xml:space="preserve">Geneva, </w:t>
            </w:r>
            <w:r w:rsidR="006839E5" w:rsidRPr="00176D7E">
              <w:rPr>
                <w:sz w:val="22"/>
                <w:szCs w:val="22"/>
              </w:rPr>
              <w:t>22 October</w:t>
            </w:r>
            <w:r w:rsidR="00333B44" w:rsidRPr="00176D7E">
              <w:rPr>
                <w:sz w:val="22"/>
                <w:szCs w:val="22"/>
              </w:rPr>
              <w:t xml:space="preserve"> 2014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176D7E" w:rsidRDefault="00932E45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</w:tcPr>
          <w:p w:rsidR="00932E45" w:rsidRPr="00176D7E" w:rsidRDefault="006839E5" w:rsidP="009B6449">
            <w:pPr>
              <w:pStyle w:val="Tabletext"/>
              <w:rPr>
                <w:b/>
                <w:sz w:val="22"/>
                <w:szCs w:val="22"/>
              </w:rPr>
            </w:pPr>
            <w:r w:rsidRPr="00176D7E">
              <w:rPr>
                <w:b/>
                <w:sz w:val="22"/>
                <w:szCs w:val="22"/>
              </w:rPr>
              <w:t>Corrigendum 1 to</w:t>
            </w:r>
            <w:r w:rsidRPr="00176D7E">
              <w:rPr>
                <w:b/>
                <w:sz w:val="22"/>
                <w:szCs w:val="22"/>
              </w:rPr>
              <w:br/>
            </w:r>
            <w:r w:rsidR="00C26168" w:rsidRPr="00176D7E">
              <w:rPr>
                <w:b/>
                <w:sz w:val="22"/>
                <w:szCs w:val="22"/>
              </w:rPr>
              <w:t>TSB Circular 118</w:t>
            </w:r>
          </w:p>
          <w:p w:rsidR="00932E45" w:rsidRPr="00176D7E" w:rsidRDefault="00C26168" w:rsidP="00932E45">
            <w:pPr>
              <w:pStyle w:val="Tabletext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TSB Workshops/VM</w:t>
            </w:r>
          </w:p>
        </w:tc>
        <w:tc>
          <w:tcPr>
            <w:tcW w:w="4394" w:type="dxa"/>
            <w:vMerge w:val="restart"/>
          </w:tcPr>
          <w:p w:rsidR="00932E45" w:rsidRPr="00176D7E" w:rsidRDefault="00932E45" w:rsidP="00222D56">
            <w:pPr>
              <w:pStyle w:val="Tabletext"/>
              <w:ind w:left="283" w:hanging="283"/>
              <w:rPr>
                <w:sz w:val="22"/>
                <w:szCs w:val="22"/>
              </w:rPr>
            </w:pPr>
            <w:bookmarkStart w:id="1" w:name="Addressee_E"/>
            <w:bookmarkEnd w:id="1"/>
            <w:r w:rsidRPr="00176D7E">
              <w:rPr>
                <w:sz w:val="22"/>
                <w:szCs w:val="22"/>
              </w:rPr>
              <w:t>-</w:t>
            </w:r>
            <w:r w:rsidRPr="00176D7E">
              <w:rPr>
                <w:sz w:val="22"/>
                <w:szCs w:val="22"/>
              </w:rPr>
              <w:tab/>
              <w:t>To Administrations of Member States of the Union;</w:t>
            </w:r>
          </w:p>
          <w:p w:rsidR="00932E45" w:rsidRPr="00176D7E" w:rsidRDefault="00932E45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</w:rPr>
            </w:pPr>
            <w:r w:rsidRPr="00176D7E">
              <w:rPr>
                <w:color w:val="000000"/>
                <w:sz w:val="22"/>
                <w:szCs w:val="22"/>
              </w:rPr>
              <w:t>-</w:t>
            </w:r>
            <w:r w:rsidRPr="00176D7E">
              <w:rPr>
                <w:color w:val="000000"/>
                <w:sz w:val="22"/>
                <w:szCs w:val="22"/>
              </w:rPr>
              <w:tab/>
              <w:t>To ITU-T Sector Members;</w:t>
            </w:r>
          </w:p>
          <w:p w:rsidR="00932E45" w:rsidRPr="00176D7E" w:rsidRDefault="00932E45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</w:rPr>
            </w:pPr>
            <w:r w:rsidRPr="00176D7E">
              <w:rPr>
                <w:color w:val="000000"/>
                <w:sz w:val="22"/>
                <w:szCs w:val="22"/>
              </w:rPr>
              <w:t>-</w:t>
            </w:r>
            <w:r w:rsidRPr="00176D7E">
              <w:rPr>
                <w:color w:val="000000"/>
                <w:sz w:val="22"/>
                <w:szCs w:val="22"/>
              </w:rPr>
              <w:tab/>
              <w:t>To ITU-T Associates;</w:t>
            </w:r>
          </w:p>
          <w:p w:rsidR="00932E45" w:rsidRPr="00176D7E" w:rsidRDefault="00932E45" w:rsidP="00222D56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176D7E">
              <w:rPr>
                <w:color w:val="000000"/>
                <w:sz w:val="22"/>
                <w:szCs w:val="22"/>
              </w:rPr>
              <w:t>-</w:t>
            </w:r>
            <w:r w:rsidRPr="00176D7E">
              <w:rPr>
                <w:color w:val="000000"/>
                <w:sz w:val="22"/>
                <w:szCs w:val="22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176D7E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</w:tcPr>
          <w:p w:rsidR="00932E45" w:rsidRPr="00176D7E" w:rsidRDefault="0032364D" w:rsidP="009B6449">
            <w:pPr>
              <w:pStyle w:val="Tabletext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Vijay Mauree</w:t>
            </w:r>
          </w:p>
        </w:tc>
        <w:tc>
          <w:tcPr>
            <w:tcW w:w="4394" w:type="dxa"/>
            <w:vMerge/>
          </w:tcPr>
          <w:p w:rsidR="00932E45" w:rsidRPr="00176D7E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176D7E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</w:tcPr>
          <w:p w:rsidR="00932E45" w:rsidRPr="00176D7E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+41 22 730</w:t>
            </w:r>
            <w:r w:rsidR="00C26168" w:rsidRPr="00176D7E">
              <w:rPr>
                <w:sz w:val="22"/>
                <w:szCs w:val="22"/>
              </w:rPr>
              <w:t xml:space="preserve"> 5591</w:t>
            </w:r>
          </w:p>
        </w:tc>
        <w:tc>
          <w:tcPr>
            <w:tcW w:w="4394" w:type="dxa"/>
            <w:vMerge/>
          </w:tcPr>
          <w:p w:rsidR="00932E45" w:rsidRPr="00176D7E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176D7E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</w:tcPr>
          <w:p w:rsidR="00932E45" w:rsidRPr="00176D7E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vMerge/>
          </w:tcPr>
          <w:p w:rsidR="00932E45" w:rsidRPr="00176D7E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176D7E" w:rsidRDefault="0087300D" w:rsidP="009B6449">
            <w:pPr>
              <w:pStyle w:val="Tabletext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</w:tcPr>
          <w:p w:rsidR="0087300D" w:rsidRPr="00176D7E" w:rsidRDefault="00176D7E" w:rsidP="009B6449">
            <w:pPr>
              <w:pStyle w:val="Tabletext"/>
              <w:rPr>
                <w:sz w:val="22"/>
                <w:szCs w:val="22"/>
              </w:rPr>
            </w:pPr>
            <w:hyperlink r:id="rId9" w:history="1">
              <w:r w:rsidR="0087300D" w:rsidRPr="00176D7E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87300D" w:rsidRPr="00176D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87300D" w:rsidRPr="00176D7E" w:rsidRDefault="0087300D" w:rsidP="009B6449">
            <w:pPr>
              <w:pStyle w:val="Tabletext"/>
              <w:rPr>
                <w:b/>
                <w:sz w:val="22"/>
                <w:szCs w:val="22"/>
              </w:rPr>
            </w:pPr>
            <w:r w:rsidRPr="00176D7E">
              <w:rPr>
                <w:b/>
                <w:sz w:val="22"/>
                <w:szCs w:val="22"/>
              </w:rPr>
              <w:t>Copy:</w:t>
            </w:r>
          </w:p>
          <w:p w:rsidR="00932E45" w:rsidRPr="00176D7E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-</w:t>
            </w:r>
            <w:r w:rsidR="00932E45" w:rsidRPr="00176D7E">
              <w:rPr>
                <w:sz w:val="22"/>
                <w:szCs w:val="22"/>
              </w:rPr>
              <w:tab/>
            </w:r>
            <w:r w:rsidR="0032364D" w:rsidRPr="00176D7E">
              <w:rPr>
                <w:sz w:val="22"/>
                <w:szCs w:val="22"/>
              </w:rPr>
              <w:t>To the Chairme</w:t>
            </w:r>
            <w:r w:rsidRPr="00176D7E">
              <w:rPr>
                <w:sz w:val="22"/>
                <w:szCs w:val="22"/>
              </w:rPr>
              <w:t>n and Vice-Chairmen of ITU-T Study Groups;</w:t>
            </w:r>
          </w:p>
          <w:p w:rsidR="00932E45" w:rsidRPr="00176D7E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-</w:t>
            </w:r>
            <w:r w:rsidR="00932E45" w:rsidRPr="00176D7E">
              <w:rPr>
                <w:sz w:val="22"/>
                <w:szCs w:val="22"/>
              </w:rPr>
              <w:tab/>
            </w:r>
            <w:r w:rsidRPr="00176D7E">
              <w:rPr>
                <w:sz w:val="22"/>
                <w:szCs w:val="22"/>
              </w:rPr>
              <w:t>To the Director of the Telecommunication Development Bureau;</w:t>
            </w:r>
          </w:p>
          <w:p w:rsidR="0087300D" w:rsidRPr="00176D7E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-</w:t>
            </w:r>
            <w:r w:rsidR="00932E45" w:rsidRPr="00176D7E">
              <w:rPr>
                <w:sz w:val="22"/>
                <w:szCs w:val="22"/>
              </w:rPr>
              <w:tab/>
            </w:r>
            <w:r w:rsidRPr="00176D7E">
              <w:rPr>
                <w:sz w:val="22"/>
                <w:szCs w:val="22"/>
              </w:rPr>
              <w:t xml:space="preserve">To the Director of the </w:t>
            </w:r>
            <w:proofErr w:type="spellStart"/>
            <w:r w:rsidRPr="00176D7E">
              <w:rPr>
                <w:sz w:val="22"/>
                <w:szCs w:val="22"/>
              </w:rPr>
              <w:t>Radiocommunication</w:t>
            </w:r>
            <w:proofErr w:type="spellEnd"/>
            <w:r w:rsidRPr="00176D7E">
              <w:rPr>
                <w:sz w:val="22"/>
                <w:szCs w:val="22"/>
              </w:rPr>
              <w:t xml:space="preserve"> Bureau</w:t>
            </w:r>
            <w:r w:rsidR="0032364D" w:rsidRPr="00176D7E">
              <w:rPr>
                <w:sz w:val="22"/>
                <w:szCs w:val="22"/>
              </w:rPr>
              <w:t>;</w:t>
            </w:r>
          </w:p>
          <w:p w:rsidR="00EA5130" w:rsidRPr="00176D7E" w:rsidRDefault="00EA5130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-</w:t>
            </w:r>
            <w:r w:rsidRPr="00176D7E">
              <w:rPr>
                <w:sz w:val="22"/>
                <w:szCs w:val="22"/>
              </w:rPr>
              <w:tab/>
              <w:t>To the Regional Director, ITU Regional Office</w:t>
            </w:r>
            <w:r w:rsidR="00357D44" w:rsidRPr="00176D7E">
              <w:rPr>
                <w:sz w:val="22"/>
                <w:szCs w:val="22"/>
              </w:rPr>
              <w:t xml:space="preserve"> in </w:t>
            </w:r>
            <w:r w:rsidRPr="00176D7E">
              <w:rPr>
                <w:sz w:val="22"/>
                <w:szCs w:val="22"/>
              </w:rPr>
              <w:t>Cairo</w:t>
            </w:r>
            <w:r w:rsidR="0032364D" w:rsidRPr="00176D7E">
              <w:rPr>
                <w:sz w:val="22"/>
                <w:szCs w:val="22"/>
              </w:rPr>
              <w:t>;</w:t>
            </w:r>
          </w:p>
          <w:p w:rsidR="007913CB" w:rsidRPr="00176D7E" w:rsidRDefault="007913CB" w:rsidP="00791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-</w:t>
            </w:r>
            <w:r w:rsidRPr="00176D7E">
              <w:rPr>
                <w:sz w:val="22"/>
                <w:szCs w:val="22"/>
              </w:rPr>
              <w:tab/>
              <w:t xml:space="preserve"> To the Regional Director, ITU Regional Office in Addis Ababa;</w:t>
            </w:r>
          </w:p>
          <w:p w:rsidR="00C26168" w:rsidRPr="00176D7E" w:rsidRDefault="00EA5130" w:rsidP="007913C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-</w:t>
            </w:r>
            <w:r w:rsidRPr="00176D7E">
              <w:rPr>
                <w:sz w:val="22"/>
                <w:szCs w:val="22"/>
              </w:rPr>
              <w:tab/>
              <w:t>To the Permanent Mission of Kuwait in Geneva</w:t>
            </w:r>
          </w:p>
        </w:tc>
      </w:tr>
      <w:tr w:rsidR="00222D56" w:rsidRPr="007913CB" w:rsidTr="00A5354B">
        <w:trPr>
          <w:cantSplit/>
          <w:trHeight w:val="80"/>
        </w:trPr>
        <w:tc>
          <w:tcPr>
            <w:tcW w:w="1143" w:type="dxa"/>
          </w:tcPr>
          <w:p w:rsidR="00222D56" w:rsidRPr="00176D7E" w:rsidRDefault="00222D56" w:rsidP="009B6449">
            <w:pPr>
              <w:pStyle w:val="Tabletext"/>
              <w:rPr>
                <w:sz w:val="22"/>
                <w:szCs w:val="22"/>
              </w:rPr>
            </w:pPr>
            <w:r w:rsidRPr="00176D7E">
              <w:rPr>
                <w:sz w:val="22"/>
                <w:szCs w:val="22"/>
              </w:rPr>
              <w:t>Subject:</w:t>
            </w:r>
          </w:p>
        </w:tc>
        <w:tc>
          <w:tcPr>
            <w:tcW w:w="8638" w:type="dxa"/>
            <w:gridSpan w:val="2"/>
          </w:tcPr>
          <w:p w:rsidR="00222D56" w:rsidRPr="00176D7E" w:rsidRDefault="00C26168" w:rsidP="009B6449">
            <w:pPr>
              <w:pStyle w:val="Tabletext"/>
              <w:rPr>
                <w:sz w:val="22"/>
                <w:szCs w:val="22"/>
              </w:rPr>
            </w:pPr>
            <w:r w:rsidRPr="00176D7E">
              <w:rPr>
                <w:rStyle w:val="Strong"/>
                <w:rFonts w:cs="Segoe UI"/>
                <w:color w:val="000000"/>
                <w:sz w:val="22"/>
                <w:szCs w:val="22"/>
              </w:rPr>
              <w:t>ITU Regional Standardization Forum for the Arab Region</w:t>
            </w:r>
            <w:r w:rsidRPr="00176D7E">
              <w:rPr>
                <w:b/>
                <w:bCs/>
                <w:sz w:val="22"/>
                <w:szCs w:val="22"/>
              </w:rPr>
              <w:t xml:space="preserve"> </w:t>
            </w:r>
            <w:r w:rsidRPr="00176D7E">
              <w:rPr>
                <w:b/>
                <w:bCs/>
                <w:sz w:val="22"/>
                <w:szCs w:val="22"/>
              </w:rPr>
              <w:br/>
              <w:t>Kuwait City, Kuwait, 25 November 2014 (morning only)</w:t>
            </w:r>
          </w:p>
        </w:tc>
      </w:tr>
    </w:tbl>
    <w:p w:rsidR="0087300D" w:rsidRPr="00176D7E" w:rsidRDefault="0087300D" w:rsidP="0013103F">
      <w:pPr>
        <w:pStyle w:val="Normalaftertitle0"/>
        <w:spacing w:before="360"/>
        <w:rPr>
          <w:sz w:val="22"/>
          <w:szCs w:val="22"/>
        </w:rPr>
      </w:pPr>
      <w:bookmarkStart w:id="2" w:name="StartTyping_E"/>
      <w:bookmarkEnd w:id="2"/>
      <w:r w:rsidRPr="00176D7E">
        <w:rPr>
          <w:sz w:val="22"/>
          <w:szCs w:val="22"/>
        </w:rPr>
        <w:t>Dear Sir/Madam,</w:t>
      </w:r>
    </w:p>
    <w:p w:rsidR="0087300D" w:rsidRPr="00176D7E" w:rsidRDefault="006839E5" w:rsidP="006839E5">
      <w:pPr>
        <w:rPr>
          <w:sz w:val="22"/>
          <w:szCs w:val="22"/>
        </w:rPr>
      </w:pPr>
      <w:bookmarkStart w:id="3" w:name="suitetext"/>
      <w:bookmarkStart w:id="4" w:name="text"/>
      <w:bookmarkEnd w:id="3"/>
      <w:bookmarkEnd w:id="4"/>
      <w:r w:rsidRPr="00176D7E">
        <w:rPr>
          <w:sz w:val="22"/>
          <w:szCs w:val="22"/>
        </w:rPr>
        <w:t xml:space="preserve">Please note that the </w:t>
      </w:r>
      <w:hyperlink r:id="rId10" w:history="1">
        <w:r w:rsidR="00F508A8" w:rsidRPr="00176D7E">
          <w:rPr>
            <w:rStyle w:val="Hyperlink"/>
            <w:b/>
            <w:bCs/>
            <w:sz w:val="22"/>
            <w:szCs w:val="22"/>
          </w:rPr>
          <w:t>ITU</w:t>
        </w:r>
        <w:r w:rsidR="00F508A8" w:rsidRPr="00176D7E">
          <w:rPr>
            <w:rStyle w:val="Hyperlink"/>
            <w:sz w:val="22"/>
            <w:szCs w:val="22"/>
          </w:rPr>
          <w:t xml:space="preserve"> </w:t>
        </w:r>
        <w:r w:rsidR="0046135B" w:rsidRPr="00176D7E">
          <w:rPr>
            <w:rStyle w:val="Hyperlink"/>
            <w:b/>
            <w:bCs/>
            <w:sz w:val="22"/>
            <w:szCs w:val="22"/>
          </w:rPr>
          <w:t>Regional Standardization Forum for the Arab Region</w:t>
        </w:r>
      </w:hyperlink>
      <w:r w:rsidR="0046135B" w:rsidRPr="00176D7E">
        <w:rPr>
          <w:sz w:val="22"/>
          <w:szCs w:val="22"/>
        </w:rPr>
        <w:t xml:space="preserve"> </w:t>
      </w:r>
      <w:r w:rsidRPr="00176D7E">
        <w:rPr>
          <w:sz w:val="22"/>
          <w:szCs w:val="22"/>
        </w:rPr>
        <w:t xml:space="preserve">will now take place at the </w:t>
      </w:r>
      <w:r w:rsidR="007913CB" w:rsidRPr="00176D7E">
        <w:rPr>
          <w:sz w:val="22"/>
          <w:szCs w:val="22"/>
        </w:rPr>
        <w:br/>
      </w:r>
      <w:r w:rsidRPr="00176D7E">
        <w:rPr>
          <w:b/>
          <w:bCs/>
          <w:sz w:val="22"/>
          <w:szCs w:val="22"/>
        </w:rPr>
        <w:t>Crowne Plaza Kuwait Hotel</w:t>
      </w:r>
      <w:r w:rsidR="00F508A8" w:rsidRPr="00176D7E">
        <w:rPr>
          <w:sz w:val="22"/>
          <w:szCs w:val="22"/>
        </w:rPr>
        <w:t xml:space="preserve"> and not at the </w:t>
      </w:r>
      <w:r w:rsidR="0046135B" w:rsidRPr="00176D7E">
        <w:rPr>
          <w:sz w:val="22"/>
          <w:szCs w:val="22"/>
        </w:rPr>
        <w:t>Hot</w:t>
      </w:r>
      <w:r w:rsidRPr="00176D7E">
        <w:rPr>
          <w:sz w:val="22"/>
          <w:szCs w:val="22"/>
        </w:rPr>
        <w:t xml:space="preserve">el Regency Kuwait City as previously announced in </w:t>
      </w:r>
      <w:r w:rsidR="007913CB" w:rsidRPr="00176D7E">
        <w:rPr>
          <w:sz w:val="22"/>
          <w:szCs w:val="22"/>
        </w:rPr>
        <w:br/>
      </w:r>
      <w:r w:rsidRPr="00176D7E">
        <w:rPr>
          <w:sz w:val="22"/>
          <w:szCs w:val="22"/>
        </w:rPr>
        <w:t>TSB Circular 118 of 26 September 2014.</w:t>
      </w:r>
    </w:p>
    <w:p w:rsidR="006839E5" w:rsidRPr="00176D7E" w:rsidRDefault="006839E5" w:rsidP="007913CB">
      <w:pPr>
        <w:rPr>
          <w:sz w:val="22"/>
          <w:szCs w:val="22"/>
        </w:rPr>
      </w:pPr>
      <w:r w:rsidRPr="00176D7E">
        <w:rPr>
          <w:sz w:val="22"/>
          <w:szCs w:val="22"/>
        </w:rPr>
        <w:t xml:space="preserve">This change also applies to the following ITU events due to take place at the same venue: </w:t>
      </w:r>
      <w:hyperlink r:id="rId11" w:history="1">
        <w:r w:rsidR="00F508A8" w:rsidRPr="00176D7E">
          <w:rPr>
            <w:rStyle w:val="Hyperlink"/>
            <w:rFonts w:cs="Segoe UI"/>
            <w:sz w:val="22"/>
            <w:szCs w:val="22"/>
          </w:rPr>
          <w:t>ITU-D Regional</w:t>
        </w:r>
        <w:r w:rsidRPr="00176D7E">
          <w:rPr>
            <w:rStyle w:val="Hyperlink"/>
            <w:rFonts w:cs="Segoe UI"/>
            <w:sz w:val="22"/>
            <w:szCs w:val="22"/>
          </w:rPr>
          <w:t xml:space="preserve"> Economic and Financial Forum of Telecommunications/ICTs for Arab States </w:t>
        </w:r>
      </w:hyperlink>
      <w:r w:rsidRPr="00176D7E">
        <w:rPr>
          <w:rFonts w:cs="Segoe UI"/>
          <w:color w:val="000000"/>
          <w:sz w:val="22"/>
          <w:szCs w:val="22"/>
        </w:rPr>
        <w:t>on 23 November 2014; </w:t>
      </w:r>
      <w:hyperlink r:id="rId12" w:history="1">
        <w:r w:rsidRPr="00176D7E">
          <w:rPr>
            <w:rStyle w:val="Hyperlink"/>
            <w:rFonts w:cs="Segoe UI"/>
            <w:sz w:val="22"/>
            <w:szCs w:val="22"/>
          </w:rPr>
          <w:t xml:space="preserve"> ITU-T Study Group 3 Regional Group for the Arab Region</w:t>
        </w:r>
      </w:hyperlink>
      <w:r w:rsidRPr="00176D7E">
        <w:rPr>
          <w:rFonts w:cs="Segoe UI"/>
          <w:color w:val="000000"/>
          <w:sz w:val="22"/>
          <w:szCs w:val="22"/>
        </w:rPr>
        <w:t xml:space="preserve"> from 24 to 25 November 2014; </w:t>
      </w:r>
      <w:hyperlink r:id="rId13" w:history="1">
        <w:r w:rsidRPr="00176D7E">
          <w:rPr>
            <w:rStyle w:val="Hyperlink"/>
            <w:rFonts w:cs="Segoe UI"/>
            <w:sz w:val="22"/>
            <w:szCs w:val="22"/>
          </w:rPr>
          <w:t xml:space="preserve">ITU-T Study Group 2 Regional Group for the Arab Region </w:t>
        </w:r>
      </w:hyperlink>
      <w:r w:rsidRPr="00176D7E">
        <w:rPr>
          <w:rFonts w:cs="Segoe UI"/>
          <w:color w:val="000000"/>
          <w:sz w:val="22"/>
          <w:szCs w:val="22"/>
        </w:rPr>
        <w:t xml:space="preserve">on 25 November 2014 (afternoon) and </w:t>
      </w:r>
      <w:hyperlink r:id="rId14" w:history="1">
        <w:r w:rsidRPr="00176D7E">
          <w:rPr>
            <w:rStyle w:val="Hyperlink"/>
            <w:rFonts w:cs="Segoe UI"/>
            <w:sz w:val="22"/>
            <w:szCs w:val="22"/>
          </w:rPr>
          <w:t xml:space="preserve">ITU-T Study Group 5 Regional Group for the Arab Region </w:t>
        </w:r>
      </w:hyperlink>
      <w:r w:rsidRPr="00176D7E">
        <w:rPr>
          <w:rFonts w:cs="Segoe UI"/>
          <w:color w:val="000000"/>
          <w:sz w:val="22"/>
          <w:szCs w:val="22"/>
        </w:rPr>
        <w:t>on 25 November 2014 (afternoon).</w:t>
      </w:r>
    </w:p>
    <w:p w:rsidR="0087300D" w:rsidRPr="00176D7E" w:rsidRDefault="006839E5" w:rsidP="006839E5">
      <w:pPr>
        <w:rPr>
          <w:sz w:val="22"/>
          <w:szCs w:val="22"/>
        </w:rPr>
      </w:pPr>
      <w:r w:rsidRPr="00176D7E">
        <w:rPr>
          <w:sz w:val="22"/>
          <w:szCs w:val="22"/>
        </w:rPr>
        <w:t xml:space="preserve">The meeting dates remain unchanged.  </w:t>
      </w:r>
      <w:r w:rsidR="0087300D" w:rsidRPr="00176D7E">
        <w:rPr>
          <w:sz w:val="22"/>
          <w:szCs w:val="22"/>
        </w:rPr>
        <w:t xml:space="preserve"> </w:t>
      </w:r>
    </w:p>
    <w:p w:rsidR="006839E5" w:rsidRPr="00176D7E" w:rsidRDefault="006839E5" w:rsidP="006839E5">
      <w:pPr>
        <w:rPr>
          <w:color w:val="1F497D"/>
          <w:sz w:val="22"/>
          <w:szCs w:val="22"/>
        </w:rPr>
      </w:pPr>
      <w:r w:rsidRPr="00176D7E">
        <w:rPr>
          <w:sz w:val="22"/>
          <w:szCs w:val="22"/>
        </w:rPr>
        <w:t>We apologize for the inconvenience.</w:t>
      </w:r>
    </w:p>
    <w:p w:rsidR="00BA037A" w:rsidRPr="00176D7E" w:rsidRDefault="00BA037A" w:rsidP="00357D44">
      <w:pPr>
        <w:tabs>
          <w:tab w:val="left" w:pos="1418"/>
          <w:tab w:val="left" w:pos="1702"/>
          <w:tab w:val="left" w:pos="2160"/>
        </w:tabs>
        <w:spacing w:before="0"/>
        <w:ind w:right="92"/>
        <w:rPr>
          <w:sz w:val="22"/>
          <w:szCs w:val="22"/>
        </w:rPr>
      </w:pPr>
      <w:bookmarkStart w:id="5" w:name="_GoBack"/>
      <w:bookmarkEnd w:id="5"/>
    </w:p>
    <w:p w:rsidR="0087300D" w:rsidRPr="00176D7E" w:rsidRDefault="0087300D" w:rsidP="00357D44">
      <w:pPr>
        <w:pStyle w:val="BodyText2"/>
        <w:spacing w:before="0"/>
        <w:rPr>
          <w:rStyle w:val="LineNumber"/>
          <w:sz w:val="22"/>
          <w:szCs w:val="22"/>
        </w:rPr>
      </w:pPr>
      <w:r w:rsidRPr="00176D7E">
        <w:rPr>
          <w:sz w:val="22"/>
          <w:szCs w:val="22"/>
        </w:rPr>
        <w:t>Yours faithfully</w:t>
      </w:r>
      <w:proofErr w:type="gramStart"/>
      <w:r w:rsidRPr="00176D7E">
        <w:rPr>
          <w:sz w:val="22"/>
          <w:szCs w:val="22"/>
        </w:rPr>
        <w:t>,</w:t>
      </w:r>
      <w:proofErr w:type="gramEnd"/>
      <w:r w:rsidR="007913CB" w:rsidRPr="00176D7E">
        <w:rPr>
          <w:sz w:val="22"/>
          <w:szCs w:val="22"/>
        </w:rPr>
        <w:br/>
      </w:r>
      <w:r w:rsidR="007913CB" w:rsidRPr="00176D7E">
        <w:rPr>
          <w:sz w:val="22"/>
          <w:szCs w:val="22"/>
        </w:rPr>
        <w:br/>
      </w:r>
      <w:r w:rsidR="00F0071A" w:rsidRPr="00176D7E">
        <w:rPr>
          <w:sz w:val="22"/>
          <w:szCs w:val="22"/>
        </w:rPr>
        <w:br/>
      </w:r>
      <w:r w:rsidR="00F0071A" w:rsidRPr="00176D7E">
        <w:rPr>
          <w:sz w:val="22"/>
          <w:szCs w:val="22"/>
        </w:rPr>
        <w:br/>
      </w:r>
      <w:r w:rsidR="00F0071A" w:rsidRPr="00176D7E">
        <w:rPr>
          <w:sz w:val="22"/>
          <w:szCs w:val="22"/>
        </w:rPr>
        <w:br/>
      </w:r>
      <w:r w:rsidRPr="00176D7E">
        <w:rPr>
          <w:sz w:val="22"/>
          <w:szCs w:val="22"/>
          <w:lang w:val="en-US"/>
        </w:rPr>
        <w:t>Malcolm Johnson</w:t>
      </w:r>
      <w:r w:rsidRPr="00176D7E">
        <w:rPr>
          <w:sz w:val="22"/>
          <w:szCs w:val="22"/>
        </w:rPr>
        <w:br/>
        <w:t>Director of the Telecommunication</w:t>
      </w:r>
      <w:r w:rsidRPr="00176D7E">
        <w:rPr>
          <w:sz w:val="22"/>
          <w:szCs w:val="22"/>
        </w:rPr>
        <w:br/>
        <w:t>Standardization Bureau</w:t>
      </w:r>
      <w:r w:rsidR="00F0071A" w:rsidRPr="00176D7E">
        <w:rPr>
          <w:b/>
          <w:sz w:val="22"/>
          <w:szCs w:val="22"/>
          <w:lang w:val="en-US"/>
        </w:rPr>
        <w:br/>
      </w:r>
    </w:p>
    <w:sectPr w:rsidR="0087300D" w:rsidRPr="00176D7E" w:rsidSect="00AD7192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4E" w:rsidRDefault="00E4124E">
      <w:r>
        <w:separator/>
      </w:r>
    </w:p>
  </w:endnote>
  <w:endnote w:type="continuationSeparator" w:id="0">
    <w:p w:rsidR="00E4124E" w:rsidRDefault="00E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196AB1" w:rsidRDefault="00E4124E" w:rsidP="00332E9D">
    <w:pPr>
      <w:pStyle w:val="Footer"/>
      <w:rPr>
        <w:lang w:val="fr-CH"/>
      </w:rPr>
    </w:pPr>
    <w:r>
      <w:rPr>
        <w:lang w:val="fr-CH"/>
      </w:rPr>
      <w:t>ITU-T\BUREAU\CIRC\118E.DOC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4E3CF9" w:rsidRDefault="00E4124E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4E" w:rsidRDefault="00E4124E">
      <w:r>
        <w:t>____________________</w:t>
      </w:r>
    </w:p>
  </w:footnote>
  <w:footnote w:type="continuationSeparator" w:id="0">
    <w:p w:rsidR="00E4124E" w:rsidRDefault="00E4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Default="00E4124E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13C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4124E" w:rsidRDefault="00E4124E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8"/>
    <w:rsid w:val="000069D4"/>
    <w:rsid w:val="000174AD"/>
    <w:rsid w:val="000A7D55"/>
    <w:rsid w:val="000C2E8E"/>
    <w:rsid w:val="000D49FB"/>
    <w:rsid w:val="000E0E7C"/>
    <w:rsid w:val="000F1B4B"/>
    <w:rsid w:val="000F387E"/>
    <w:rsid w:val="00121F1A"/>
    <w:rsid w:val="0012744F"/>
    <w:rsid w:val="0013103F"/>
    <w:rsid w:val="00156DFF"/>
    <w:rsid w:val="00156F66"/>
    <w:rsid w:val="00176D7E"/>
    <w:rsid w:val="00182528"/>
    <w:rsid w:val="0018500B"/>
    <w:rsid w:val="00196A19"/>
    <w:rsid w:val="001C1DD9"/>
    <w:rsid w:val="001D26A5"/>
    <w:rsid w:val="00202DC1"/>
    <w:rsid w:val="002116EE"/>
    <w:rsid w:val="00222D56"/>
    <w:rsid w:val="002309D8"/>
    <w:rsid w:val="002868D2"/>
    <w:rsid w:val="002A7FE2"/>
    <w:rsid w:val="002C0FA0"/>
    <w:rsid w:val="002E1B4F"/>
    <w:rsid w:val="002F2E67"/>
    <w:rsid w:val="00315546"/>
    <w:rsid w:val="0032364D"/>
    <w:rsid w:val="00330567"/>
    <w:rsid w:val="00332E9D"/>
    <w:rsid w:val="00333B44"/>
    <w:rsid w:val="00351DA5"/>
    <w:rsid w:val="00355D59"/>
    <w:rsid w:val="00357D44"/>
    <w:rsid w:val="00386A9D"/>
    <w:rsid w:val="00391081"/>
    <w:rsid w:val="003B2789"/>
    <w:rsid w:val="003C13CE"/>
    <w:rsid w:val="003D38E3"/>
    <w:rsid w:val="003E2518"/>
    <w:rsid w:val="00443C07"/>
    <w:rsid w:val="0046135B"/>
    <w:rsid w:val="004B1EF7"/>
    <w:rsid w:val="004B3FAD"/>
    <w:rsid w:val="00501DCA"/>
    <w:rsid w:val="00513A47"/>
    <w:rsid w:val="00521349"/>
    <w:rsid w:val="005408DF"/>
    <w:rsid w:val="00573344"/>
    <w:rsid w:val="0057753A"/>
    <w:rsid w:val="00583F9B"/>
    <w:rsid w:val="005E1223"/>
    <w:rsid w:val="005E5C10"/>
    <w:rsid w:val="005F2C78"/>
    <w:rsid w:val="006144E4"/>
    <w:rsid w:val="006230C1"/>
    <w:rsid w:val="00640A88"/>
    <w:rsid w:val="00650299"/>
    <w:rsid w:val="00655FC5"/>
    <w:rsid w:val="006758E4"/>
    <w:rsid w:val="00676781"/>
    <w:rsid w:val="006839E5"/>
    <w:rsid w:val="00737941"/>
    <w:rsid w:val="00787A3C"/>
    <w:rsid w:val="007913CB"/>
    <w:rsid w:val="007D2F64"/>
    <w:rsid w:val="007E722A"/>
    <w:rsid w:val="00822581"/>
    <w:rsid w:val="008309DD"/>
    <w:rsid w:val="0083227A"/>
    <w:rsid w:val="00850B8A"/>
    <w:rsid w:val="00866900"/>
    <w:rsid w:val="00870336"/>
    <w:rsid w:val="0087300D"/>
    <w:rsid w:val="00877242"/>
    <w:rsid w:val="00881BA1"/>
    <w:rsid w:val="008820D0"/>
    <w:rsid w:val="0088403A"/>
    <w:rsid w:val="008A0A55"/>
    <w:rsid w:val="008C26B8"/>
    <w:rsid w:val="00917FF3"/>
    <w:rsid w:val="0092561B"/>
    <w:rsid w:val="009273EC"/>
    <w:rsid w:val="00932E45"/>
    <w:rsid w:val="00982084"/>
    <w:rsid w:val="00991A72"/>
    <w:rsid w:val="00995963"/>
    <w:rsid w:val="009B61EB"/>
    <w:rsid w:val="009B6449"/>
    <w:rsid w:val="009C2064"/>
    <w:rsid w:val="009D02F8"/>
    <w:rsid w:val="009D1697"/>
    <w:rsid w:val="00A014F8"/>
    <w:rsid w:val="00A04212"/>
    <w:rsid w:val="00A11DCA"/>
    <w:rsid w:val="00A5173C"/>
    <w:rsid w:val="00A5354B"/>
    <w:rsid w:val="00A61AEF"/>
    <w:rsid w:val="00A71B04"/>
    <w:rsid w:val="00AB0FFD"/>
    <w:rsid w:val="00AD6E39"/>
    <w:rsid w:val="00AD7192"/>
    <w:rsid w:val="00AF173A"/>
    <w:rsid w:val="00B066A4"/>
    <w:rsid w:val="00B06972"/>
    <w:rsid w:val="00B07A13"/>
    <w:rsid w:val="00B13604"/>
    <w:rsid w:val="00B143E2"/>
    <w:rsid w:val="00B17EB5"/>
    <w:rsid w:val="00B24647"/>
    <w:rsid w:val="00B4279B"/>
    <w:rsid w:val="00B45FC9"/>
    <w:rsid w:val="00B74D45"/>
    <w:rsid w:val="00B83461"/>
    <w:rsid w:val="00BA037A"/>
    <w:rsid w:val="00BB0D2B"/>
    <w:rsid w:val="00BC1014"/>
    <w:rsid w:val="00BC7CCF"/>
    <w:rsid w:val="00BD1B32"/>
    <w:rsid w:val="00BE470B"/>
    <w:rsid w:val="00C21992"/>
    <w:rsid w:val="00C26168"/>
    <w:rsid w:val="00C57A91"/>
    <w:rsid w:val="00C62134"/>
    <w:rsid w:val="00CA0DA5"/>
    <w:rsid w:val="00CC01C2"/>
    <w:rsid w:val="00CF21F2"/>
    <w:rsid w:val="00D02712"/>
    <w:rsid w:val="00D214D0"/>
    <w:rsid w:val="00D2180F"/>
    <w:rsid w:val="00D6546B"/>
    <w:rsid w:val="00DD4BED"/>
    <w:rsid w:val="00DE39F0"/>
    <w:rsid w:val="00DF0AF3"/>
    <w:rsid w:val="00E27D7E"/>
    <w:rsid w:val="00E34935"/>
    <w:rsid w:val="00E4124E"/>
    <w:rsid w:val="00E42CE7"/>
    <w:rsid w:val="00E42E13"/>
    <w:rsid w:val="00E6257C"/>
    <w:rsid w:val="00E63C59"/>
    <w:rsid w:val="00E95BDE"/>
    <w:rsid w:val="00EA5130"/>
    <w:rsid w:val="00F0071A"/>
    <w:rsid w:val="00F508A8"/>
    <w:rsid w:val="00F54EF2"/>
    <w:rsid w:val="00FA124A"/>
    <w:rsid w:val="00FB780C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5AB7CA83-3E99-404F-AD13-07E3EC9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6168"/>
    <w:rPr>
      <w:b/>
      <w:bCs/>
    </w:rPr>
  </w:style>
  <w:style w:type="paragraph" w:styleId="NormalWeb">
    <w:name w:val="Normal (Web)"/>
    <w:basedOn w:val="Normal"/>
    <w:uiPriority w:val="99"/>
    <w:unhideWhenUsed/>
    <w:rsid w:val="00121F1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2C0FA0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2C0FA0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0F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D02F8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F550406206E428BE3884E6A177CCB" ma:contentTypeVersion="1" ma:contentTypeDescription="Create a new document." ma:contentTypeScope="" ma:versionID="8f450ddfa06993248b9c48bf814fa3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FC56B-276F-4369-99F5-21A681497F15}"/>
</file>

<file path=customXml/itemProps2.xml><?xml version="1.0" encoding="utf-8"?>
<ds:datastoreItem xmlns:ds="http://schemas.openxmlformats.org/officeDocument/2006/customXml" ds:itemID="{1BF5EB8D-CFBB-4DDB-B6E1-D806EC45494F}"/>
</file>

<file path=customXml/itemProps3.xml><?xml version="1.0" encoding="utf-8"?>
<ds:datastoreItem xmlns:ds="http://schemas.openxmlformats.org/officeDocument/2006/customXml" ds:itemID="{3F721729-3863-492B-96C6-7D18AE4B6E49}"/>
</file>

<file path=customXml/itemProps4.xml><?xml version="1.0" encoding="utf-8"?>
<ds:datastoreItem xmlns:ds="http://schemas.openxmlformats.org/officeDocument/2006/customXml" ds:itemID="{78AE355A-477E-47E5-AEE4-71DF7D7FD784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30</TotalTime>
  <Pages>1</Pages>
  <Words>270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5</cp:revision>
  <cp:lastPrinted>2014-10-21T15:12:00Z</cp:lastPrinted>
  <dcterms:created xsi:type="dcterms:W3CDTF">2014-10-21T14:48:00Z</dcterms:created>
  <dcterms:modified xsi:type="dcterms:W3CDTF">2014-10-22T15:48:00Z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0x0101005C6F550406206E428BE3884E6A177CCB</vt:lpwstr>
  </property>
</Properties>
</file>