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2"/>
        <w:gridCol w:w="7472"/>
      </w:tblGrid>
      <w:tr w:rsidR="00EE766A" w:rsidRPr="00F37CB9" w14:paraId="593B9D5B" w14:textId="77777777" w:rsidTr="007B6E68">
        <w:trPr>
          <w:trHeight w:val="523"/>
          <w:tblCellSpacing w:w="7" w:type="dxa"/>
        </w:trPr>
        <w:tc>
          <w:tcPr>
            <w:tcW w:w="1171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2B6A26F3" w14:textId="77777777" w:rsidR="00EE766A" w:rsidRDefault="00EE766A" w:rsidP="004B69B5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 xml:space="preserve">Title of </w:t>
            </w:r>
            <w:r w:rsidR="004B69B5">
              <w:rPr>
                <w:rFonts w:ascii="Trebuchet MS" w:hAnsi="Trebuchet MS"/>
                <w:b/>
                <w:bCs/>
              </w:rPr>
              <w:t>talk</w:t>
            </w:r>
          </w:p>
          <w:p w14:paraId="22650109" w14:textId="77777777" w:rsidR="004F5CA5" w:rsidRPr="00F37CB9" w:rsidRDefault="004F5CA5" w:rsidP="004B69B5">
            <w:pPr>
              <w:spacing w:before="12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80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17E5780F" w14:textId="77777777" w:rsidR="00EE766A" w:rsidRPr="00F37CB9" w:rsidRDefault="004F5CA5" w:rsidP="00FA2796">
            <w:pPr>
              <w:spacing w:before="120"/>
              <w:rPr>
                <w:rFonts w:ascii="Trebuchet MS" w:hAnsi="Trebuchet MS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 “EMF issues and initiatives – India scenario”</w:t>
            </w:r>
          </w:p>
        </w:tc>
      </w:tr>
      <w:tr w:rsidR="00EE766A" w:rsidRPr="00F37CB9" w14:paraId="618C2C1C" w14:textId="77777777" w:rsidTr="007B6E68">
        <w:trPr>
          <w:trHeight w:val="402"/>
          <w:tblCellSpacing w:w="7" w:type="dxa"/>
        </w:trPr>
        <w:tc>
          <w:tcPr>
            <w:tcW w:w="1171" w:type="pct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5F1097F4" w14:textId="77777777" w:rsidR="00EE766A" w:rsidRPr="00F37CB9" w:rsidRDefault="00C8571C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noProof/>
                <w:color w:val="000000"/>
                <w:lang w:eastAsia="zh-CN"/>
              </w:rPr>
              <w:drawing>
                <wp:inline distT="0" distB="0" distL="0" distR="0" wp14:anchorId="4019C76E" wp14:editId="38049E67">
                  <wp:extent cx="1359673" cy="1407381"/>
                  <wp:effectExtent l="0" t="0" r="0" b="2540"/>
                  <wp:docPr id="1" name="Picture 1" descr="C:\Users\sabio\Desktop\RSM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o\Desktop\RSM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29" cy="1407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1AA25B10" w14:textId="77777777" w:rsidR="00EE766A" w:rsidRPr="003E1979" w:rsidRDefault="003E1979" w:rsidP="004F5CA5">
            <w:pPr>
              <w:spacing w:before="100" w:beforeAutospacing="1" w:after="100" w:afterAutospacing="1"/>
              <w:rPr>
                <w:rFonts w:eastAsia="MS Mincho"/>
                <w:b/>
                <w:bCs/>
                <w:lang w:eastAsia="ja-JP"/>
              </w:rPr>
            </w:pPr>
            <w:proofErr w:type="spellStart"/>
            <w:r w:rsidRPr="003E1979">
              <w:rPr>
                <w:rFonts w:eastAsia="MS Mincho"/>
                <w:b/>
                <w:bCs/>
                <w:lang w:eastAsia="ja-JP"/>
              </w:rPr>
              <w:t>Rajan</w:t>
            </w:r>
            <w:proofErr w:type="spellEnd"/>
            <w:r w:rsidRPr="003E1979">
              <w:rPr>
                <w:rFonts w:eastAsia="MS Mincho"/>
                <w:b/>
                <w:bCs/>
                <w:lang w:eastAsia="ja-JP"/>
              </w:rPr>
              <w:t xml:space="preserve"> S. Mathews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="004F5CA5">
              <w:rPr>
                <w:rFonts w:ascii="Trebuchet MS" w:eastAsia="SimSun" w:hAnsi="Trebuchet MS"/>
                <w:color w:val="000000"/>
                <w:lang w:eastAsia="zh-CN"/>
              </w:rPr>
              <w:t>D</w:t>
            </w:r>
            <w:r w:rsidRPr="003E1979">
              <w:rPr>
                <w:rFonts w:eastAsia="MS Mincho"/>
                <w:b/>
                <w:bCs/>
                <w:lang w:eastAsia="ja-JP"/>
              </w:rPr>
              <w:t>irector General – Cellular Operators Association of India</w:t>
            </w:r>
          </w:p>
        </w:tc>
      </w:tr>
      <w:tr w:rsidR="00EE766A" w:rsidRPr="003264CB" w14:paraId="325EEDBE" w14:textId="77777777" w:rsidTr="007B6E68">
        <w:trPr>
          <w:trHeight w:val="6475"/>
          <w:tblCellSpacing w:w="7" w:type="dxa"/>
        </w:trPr>
        <w:tc>
          <w:tcPr>
            <w:tcW w:w="1171" w:type="pct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14:paraId="598509F5" w14:textId="77777777"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3808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5FDBE966" w14:textId="77777777" w:rsidR="003E1979" w:rsidRPr="003E1979" w:rsidRDefault="003E1979" w:rsidP="003E1979">
            <w:pPr>
              <w:spacing w:before="100" w:beforeAutospacing="1" w:after="100" w:afterAutospacing="1"/>
              <w:jc w:val="both"/>
              <w:rPr>
                <w:rFonts w:eastAsia="MS Mincho"/>
                <w:lang w:eastAsia="ja-JP"/>
              </w:rPr>
            </w:pPr>
            <w:proofErr w:type="spellStart"/>
            <w:r w:rsidRPr="003E1979">
              <w:rPr>
                <w:rFonts w:eastAsia="MS Mincho"/>
                <w:lang w:eastAsia="ja-JP"/>
              </w:rPr>
              <w:t>Rajan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presently serves as the Director General of COAI. Prior to joining COAI as DG in April 2010, </w:t>
            </w:r>
            <w:proofErr w:type="spellStart"/>
            <w:r w:rsidRPr="003E1979">
              <w:rPr>
                <w:rFonts w:eastAsia="MS Mincho"/>
                <w:lang w:eastAsia="ja-JP"/>
              </w:rPr>
              <w:t>Rajan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served in many senior executive positions such as CEO, COO and CFO of such major companies as </w:t>
            </w:r>
            <w:proofErr w:type="spellStart"/>
            <w:r w:rsidRPr="003E1979">
              <w:rPr>
                <w:rFonts w:eastAsia="MS Mincho"/>
                <w:lang w:eastAsia="ja-JP"/>
              </w:rPr>
              <w:t>Telargo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(a JV of NTT DoCoMo), Afghan Wireless, Call Sciences, AT&amp;T Wireless, Birla-AT&amp;T (now IDEA), and as a senior financial executive at Beatrice International, Columbia-Tri Star Pictures, and </w:t>
            </w:r>
            <w:proofErr w:type="spellStart"/>
            <w:r w:rsidRPr="003E1979">
              <w:rPr>
                <w:rFonts w:eastAsia="MS Mincho"/>
                <w:lang w:eastAsia="ja-JP"/>
              </w:rPr>
              <w:t>Pricewaterhouse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Coopers. </w:t>
            </w:r>
          </w:p>
          <w:p w14:paraId="1295CF64" w14:textId="53EB5539" w:rsidR="003E1979" w:rsidRPr="003E1979" w:rsidRDefault="003E1979" w:rsidP="003E1979">
            <w:pPr>
              <w:spacing w:before="100" w:beforeAutospacing="1" w:after="100" w:afterAutospacing="1"/>
              <w:jc w:val="both"/>
              <w:rPr>
                <w:rFonts w:eastAsia="MS Mincho"/>
                <w:lang w:eastAsia="ja-JP"/>
              </w:rPr>
            </w:pPr>
            <w:proofErr w:type="spellStart"/>
            <w:r w:rsidRPr="003E1979">
              <w:rPr>
                <w:rFonts w:eastAsia="MS Mincho"/>
                <w:lang w:eastAsia="ja-JP"/>
              </w:rPr>
              <w:t>Rajan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specializes in international operations and start-up ventures, turn-arounds, mergers &amp; </w:t>
            </w:r>
            <w:proofErr w:type="gramStart"/>
            <w:r w:rsidRPr="003E1979">
              <w:rPr>
                <w:rFonts w:eastAsia="MS Mincho"/>
                <w:lang w:eastAsia="ja-JP"/>
              </w:rPr>
              <w:t>acquisitions</w:t>
            </w:r>
            <w:proofErr w:type="gramEnd"/>
            <w:r w:rsidRPr="003E1979">
              <w:rPr>
                <w:rFonts w:eastAsia="MS Mincho"/>
                <w:lang w:eastAsia="ja-JP"/>
              </w:rPr>
              <w:t xml:space="preserve"> and venture financing. He assisted in raising over $1.5 billion of financing for companies through public and private offerings of equity, </w:t>
            </w:r>
            <w:proofErr w:type="gramStart"/>
            <w:r w:rsidRPr="003E1979">
              <w:rPr>
                <w:rFonts w:eastAsia="MS Mincho"/>
                <w:lang w:eastAsia="ja-JP"/>
              </w:rPr>
              <w:t>debt</w:t>
            </w:r>
            <w:proofErr w:type="gramEnd"/>
            <w:r w:rsidRPr="003E1979">
              <w:rPr>
                <w:rFonts w:eastAsia="MS Mincho"/>
                <w:lang w:eastAsia="ja-JP"/>
              </w:rPr>
              <w:t xml:space="preserve"> and private placements. He has managed companies in such diverse places as the USA, Afghanistan, India, UK, France, Germany, Belgium</w:t>
            </w:r>
            <w:r w:rsidR="00952443">
              <w:rPr>
                <w:rFonts w:eastAsia="MS Mincho"/>
                <w:lang w:eastAsia="ja-JP"/>
              </w:rPr>
              <w:t>,</w:t>
            </w:r>
            <w:r w:rsidRPr="003E1979">
              <w:rPr>
                <w:rFonts w:eastAsia="MS Mincho"/>
                <w:lang w:eastAsia="ja-JP"/>
              </w:rPr>
              <w:t xml:space="preserve"> Taiwan</w:t>
            </w:r>
            <w:r w:rsidR="002577AF">
              <w:rPr>
                <w:rFonts w:eastAsia="MS Mincho"/>
                <w:lang w:eastAsia="ja-JP"/>
              </w:rPr>
              <w:t xml:space="preserve"> (</w:t>
            </w:r>
            <w:r w:rsidR="00952443">
              <w:rPr>
                <w:rFonts w:eastAsia="MS Mincho"/>
                <w:lang w:eastAsia="ja-JP"/>
              </w:rPr>
              <w:t>China</w:t>
            </w:r>
            <w:r w:rsidR="002577AF">
              <w:rPr>
                <w:rFonts w:eastAsia="MS Mincho"/>
                <w:lang w:eastAsia="ja-JP"/>
              </w:rPr>
              <w:t>),</w:t>
            </w:r>
            <w:r w:rsidRPr="003E1979">
              <w:rPr>
                <w:rFonts w:eastAsia="MS Mincho"/>
                <w:lang w:eastAsia="ja-JP"/>
              </w:rPr>
              <w:t xml:space="preserve"> and Hong Kong. </w:t>
            </w:r>
          </w:p>
          <w:p w14:paraId="1841E0EF" w14:textId="77777777" w:rsidR="00F37CB9" w:rsidRPr="003264CB" w:rsidRDefault="003E1979" w:rsidP="000B50F8">
            <w:pPr>
              <w:spacing w:before="100" w:beforeAutospacing="1" w:after="100" w:afterAutospacing="1"/>
              <w:jc w:val="both"/>
              <w:rPr>
                <w:rFonts w:ascii="Trebuchet MS" w:eastAsia="SimSun" w:hAnsi="Trebuchet MS"/>
                <w:color w:val="000000"/>
                <w:lang w:eastAsia="zh-CN"/>
              </w:rPr>
            </w:pPr>
            <w:proofErr w:type="spellStart"/>
            <w:r w:rsidRPr="003E1979">
              <w:rPr>
                <w:rFonts w:eastAsia="MS Mincho"/>
                <w:lang w:eastAsia="ja-JP"/>
              </w:rPr>
              <w:t>Rajan</w:t>
            </w:r>
            <w:proofErr w:type="spellEnd"/>
            <w:r w:rsidRPr="003E1979">
              <w:rPr>
                <w:rFonts w:eastAsia="MS Mincho"/>
                <w:lang w:eastAsia="ja-JP"/>
              </w:rPr>
              <w:t xml:space="preserve"> has served and continues to serve on the boards of several for-profit and non-profit organizations.  He earned both his Master of Business Administration (Finance &amp; Accounting) and Master of Arts (Economics) degrees from Rutgers University (USA) and he is a CPA from the State of New Jersey, USA.</w:t>
            </w:r>
          </w:p>
        </w:tc>
      </w:tr>
    </w:tbl>
    <w:p w14:paraId="7ED35F59" w14:textId="77777777" w:rsidR="00A60186" w:rsidRPr="003264CB" w:rsidRDefault="00A60186">
      <w:pPr>
        <w:rPr>
          <w:rFonts w:ascii="Trebuchet MS" w:hAnsi="Trebuchet MS"/>
        </w:rPr>
      </w:pPr>
    </w:p>
    <w:p w14:paraId="0DFDC48F" w14:textId="77777777"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10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14:paraId="5B6A52BA" w14:textId="77777777" w:rsidR="00EE766A" w:rsidRPr="003264CB" w:rsidRDefault="00EE766A">
      <w:pPr>
        <w:rPr>
          <w:rFonts w:ascii="Trebuchet MS" w:hAnsi="Trebuchet MS"/>
        </w:rPr>
      </w:pPr>
    </w:p>
    <w:p w14:paraId="18F48CEE" w14:textId="77777777" w:rsidR="00AF16F5" w:rsidRPr="003264CB" w:rsidRDefault="00AF16F5">
      <w:pPr>
        <w:rPr>
          <w:rFonts w:ascii="Trebuchet MS" w:hAnsi="Trebuchet MS"/>
        </w:rPr>
      </w:pPr>
    </w:p>
    <w:p w14:paraId="78CF3464" w14:textId="77777777"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1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01C8" w14:textId="77777777" w:rsidR="00E149A5" w:rsidRDefault="00E149A5">
      <w:r>
        <w:separator/>
      </w:r>
    </w:p>
  </w:endnote>
  <w:endnote w:type="continuationSeparator" w:id="0">
    <w:p w14:paraId="397B03C2" w14:textId="77777777" w:rsidR="00E149A5" w:rsidRDefault="00E1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DAE49" w14:textId="77777777" w:rsidR="00E149A5" w:rsidRDefault="00E149A5">
      <w:r>
        <w:separator/>
      </w:r>
    </w:p>
  </w:footnote>
  <w:footnote w:type="continuationSeparator" w:id="0">
    <w:p w14:paraId="4751811E" w14:textId="77777777" w:rsidR="00E149A5" w:rsidRDefault="00E1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4B52" w14:textId="77777777"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 w:rsidR="000B50F8"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14:paraId="4B0B6FD1" w14:textId="77777777"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2D6"/>
    <w:rsid w:val="00006691"/>
    <w:rsid w:val="00011F82"/>
    <w:rsid w:val="00036F74"/>
    <w:rsid w:val="000B50F8"/>
    <w:rsid w:val="000F7487"/>
    <w:rsid w:val="001317E2"/>
    <w:rsid w:val="002577AF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3B35D0"/>
    <w:rsid w:val="003E1979"/>
    <w:rsid w:val="004239FC"/>
    <w:rsid w:val="00494AA2"/>
    <w:rsid w:val="004B69B5"/>
    <w:rsid w:val="004E16FC"/>
    <w:rsid w:val="004F5CA5"/>
    <w:rsid w:val="004F7A0F"/>
    <w:rsid w:val="005105C9"/>
    <w:rsid w:val="00510CA9"/>
    <w:rsid w:val="00517458"/>
    <w:rsid w:val="00547C8F"/>
    <w:rsid w:val="005D4D64"/>
    <w:rsid w:val="006815C5"/>
    <w:rsid w:val="006A3A4A"/>
    <w:rsid w:val="006F6C4C"/>
    <w:rsid w:val="00766311"/>
    <w:rsid w:val="007708D7"/>
    <w:rsid w:val="007B6E68"/>
    <w:rsid w:val="007F4AA4"/>
    <w:rsid w:val="0083251A"/>
    <w:rsid w:val="00847291"/>
    <w:rsid w:val="008C1A0E"/>
    <w:rsid w:val="008C25E6"/>
    <w:rsid w:val="009331EF"/>
    <w:rsid w:val="00947A18"/>
    <w:rsid w:val="00952443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B3382"/>
    <w:rsid w:val="00BD06D7"/>
    <w:rsid w:val="00C2639B"/>
    <w:rsid w:val="00C41746"/>
    <w:rsid w:val="00C51FA5"/>
    <w:rsid w:val="00C8571C"/>
    <w:rsid w:val="00D834AA"/>
    <w:rsid w:val="00E06658"/>
    <w:rsid w:val="00E149A5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82AC15"/>
  <w15:docId w15:val="{F933B1D2-B273-4B2F-B2FC-F4A47C5A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C8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7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tu.int/ITU-T/worksem/cce/bio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D39951114734F8F2CD5BB541FD2E2" ma:contentTypeVersion="1" ma:contentTypeDescription="Create a new document." ma:contentTypeScope="" ma:versionID="212bc6be7b5392a8b1b6de368450f5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AA88-668F-4B10-A624-DD880CAAF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8619A-98D8-46ED-84B0-6F6C60DD109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3A2A45-5031-4863-8244-D77D06C2C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1407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TSB HT</cp:lastModifiedBy>
  <cp:revision>10</cp:revision>
  <cp:lastPrinted>2005-01-28T09:16:00Z</cp:lastPrinted>
  <dcterms:created xsi:type="dcterms:W3CDTF">2014-12-04T12:43:00Z</dcterms:created>
  <dcterms:modified xsi:type="dcterms:W3CDTF">2020-12-18T09:17:00Z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0x010100494D39951114734F8F2CD5BB541FD2E2</vt:lpwstr>
  </property>
</Properties>
</file>