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3F4BCB" w:rsidTr="009B30AA">
        <w:trPr>
          <w:cantSplit/>
        </w:trPr>
        <w:tc>
          <w:tcPr>
            <w:tcW w:w="1560" w:type="dxa"/>
            <w:vAlign w:val="center"/>
          </w:tcPr>
          <w:p w:rsidR="009B30AA" w:rsidRPr="003F4BCB" w:rsidRDefault="009B30AA" w:rsidP="000E6B0A">
            <w:pPr>
              <w:tabs>
                <w:tab w:val="right" w:pos="8732"/>
              </w:tabs>
              <w:spacing w:before="0"/>
              <w:rPr>
                <w:rFonts w:ascii="Calibri" w:hAnsi="Calibri"/>
                <w:b/>
                <w:bCs/>
                <w:iCs/>
                <w:color w:val="FFFFFF"/>
                <w:sz w:val="26"/>
                <w:szCs w:val="26"/>
              </w:rPr>
            </w:pPr>
            <w:r w:rsidRPr="003F4BCB">
              <w:rPr>
                <w:rFonts w:ascii="Calibri" w:hAnsi="Calibri"/>
                <w:noProof/>
                <w:lang w:val="en-US" w:eastAsia="zh-CN"/>
              </w:rPr>
              <w:drawing>
                <wp:inline distT="0" distB="0" distL="0" distR="0" wp14:anchorId="2BC6390F" wp14:editId="6E87BBE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0E6B0A" w:rsidRPr="00390EC6" w:rsidRDefault="000E6B0A" w:rsidP="000E6B0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9B30AA" w:rsidRPr="003F4BCB" w:rsidRDefault="000E6B0A" w:rsidP="000E6B0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3F4BCB" w:rsidRDefault="009B30AA" w:rsidP="000E6B0A">
            <w:pPr>
              <w:spacing w:before="0"/>
              <w:jc w:val="right"/>
              <w:rPr>
                <w:rFonts w:ascii="Calibri" w:hAnsi="Calibri"/>
                <w:color w:val="FFFFFF"/>
                <w:sz w:val="26"/>
                <w:szCs w:val="26"/>
              </w:rPr>
            </w:pPr>
            <w:bookmarkStart w:id="0" w:name="ditulogo"/>
            <w:bookmarkEnd w:id="0"/>
            <w:r w:rsidRPr="003F4BCB">
              <w:rPr>
                <w:rFonts w:ascii="Calibri" w:hAnsi="Calibri"/>
                <w:noProof/>
                <w:lang w:val="en-US" w:eastAsia="zh-CN"/>
              </w:rPr>
              <w:drawing>
                <wp:inline distT="0" distB="0" distL="0" distR="0" wp14:anchorId="2A2E0CEE" wp14:editId="43B2D0A4">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3F4BCB">
        <w:trPr>
          <w:cantSplit/>
        </w:trPr>
        <w:tc>
          <w:tcPr>
            <w:tcW w:w="6237" w:type="dxa"/>
            <w:gridSpan w:val="2"/>
            <w:vAlign w:val="center"/>
          </w:tcPr>
          <w:p w:rsidR="000B5A57" w:rsidRPr="003F4BCB" w:rsidRDefault="000B5A57" w:rsidP="000E6B0A">
            <w:pPr>
              <w:tabs>
                <w:tab w:val="right" w:pos="8732"/>
              </w:tabs>
              <w:spacing w:before="0"/>
              <w:rPr>
                <w:rFonts w:ascii="Calibri" w:hAnsi="Calibri"/>
                <w:b/>
                <w:bCs/>
                <w:iCs/>
                <w:sz w:val="18"/>
                <w:szCs w:val="18"/>
              </w:rPr>
            </w:pPr>
          </w:p>
        </w:tc>
        <w:tc>
          <w:tcPr>
            <w:tcW w:w="3261" w:type="dxa"/>
            <w:gridSpan w:val="2"/>
            <w:vAlign w:val="center"/>
          </w:tcPr>
          <w:p w:rsidR="000B5A57" w:rsidRPr="003F4BCB" w:rsidRDefault="000B5A57" w:rsidP="000E6B0A">
            <w:pPr>
              <w:spacing w:before="0"/>
              <w:ind w:left="993" w:hanging="993"/>
              <w:jc w:val="right"/>
              <w:rPr>
                <w:rFonts w:ascii="Calibri" w:hAnsi="Calibri"/>
                <w:sz w:val="18"/>
                <w:szCs w:val="18"/>
                <w:lang w:val="en-US"/>
              </w:rPr>
            </w:pPr>
          </w:p>
        </w:tc>
      </w:tr>
    </w:tbl>
    <w:p w:rsidR="000B5A57" w:rsidRPr="003F4BCB" w:rsidRDefault="000B5A57" w:rsidP="000E6B0A">
      <w:pPr>
        <w:tabs>
          <w:tab w:val="clear" w:pos="794"/>
          <w:tab w:val="clear" w:pos="1191"/>
          <w:tab w:val="clear" w:pos="1588"/>
          <w:tab w:val="clear" w:pos="1985"/>
          <w:tab w:val="left" w:pos="6480"/>
        </w:tabs>
        <w:rPr>
          <w:rFonts w:ascii="Calibri" w:hAnsi="Calibri"/>
          <w:sz w:val="23"/>
          <w:szCs w:val="23"/>
        </w:rPr>
      </w:pPr>
    </w:p>
    <w:p w:rsidR="002F3D1A" w:rsidRPr="003F4BCB" w:rsidRDefault="002F3D1A" w:rsidP="000E6B0A">
      <w:pPr>
        <w:tabs>
          <w:tab w:val="clear" w:pos="794"/>
          <w:tab w:val="clear" w:pos="1191"/>
          <w:tab w:val="clear" w:pos="1588"/>
          <w:tab w:val="clear" w:pos="1985"/>
          <w:tab w:val="left" w:pos="5739"/>
        </w:tabs>
        <w:rPr>
          <w:rFonts w:ascii="Calibri" w:hAnsi="Calibri"/>
          <w:szCs w:val="24"/>
          <w:lang w:eastAsia="zh-CN"/>
        </w:rPr>
      </w:pPr>
      <w:r w:rsidRPr="003F4BCB">
        <w:rPr>
          <w:rFonts w:ascii="Calibri" w:hAnsi="Calibri"/>
          <w:sz w:val="23"/>
          <w:szCs w:val="23"/>
        </w:rPr>
        <w:tab/>
      </w:r>
      <w:r w:rsidR="00992532" w:rsidRPr="003F4BCB">
        <w:rPr>
          <w:rFonts w:ascii="Calibri" w:hAnsi="Calibri"/>
          <w:szCs w:val="24"/>
          <w:lang w:eastAsia="zh-CN"/>
        </w:rPr>
        <w:t>2015</w:t>
      </w:r>
      <w:r w:rsidR="0033229B" w:rsidRPr="003F4BCB">
        <w:rPr>
          <w:rFonts w:ascii="Calibri" w:hAnsi="Calibri" w:hint="eastAsia"/>
          <w:szCs w:val="24"/>
          <w:lang w:eastAsia="zh-CN"/>
        </w:rPr>
        <w:t>年</w:t>
      </w:r>
      <w:r w:rsidR="00127C8B">
        <w:rPr>
          <w:rFonts w:ascii="Calibri" w:hAnsi="Calibri"/>
          <w:szCs w:val="24"/>
          <w:lang w:eastAsia="zh-CN"/>
        </w:rPr>
        <w:t>3</w:t>
      </w:r>
      <w:r w:rsidR="0033229B" w:rsidRPr="003F4BCB">
        <w:rPr>
          <w:rFonts w:ascii="Calibri" w:hAnsi="Calibri" w:hint="eastAsia"/>
          <w:szCs w:val="24"/>
          <w:lang w:eastAsia="zh-CN"/>
        </w:rPr>
        <w:t>月</w:t>
      </w:r>
      <w:r w:rsidR="00127C8B">
        <w:rPr>
          <w:rFonts w:ascii="Calibri" w:hAnsi="Calibri"/>
          <w:szCs w:val="24"/>
          <w:lang w:eastAsia="zh-CN"/>
        </w:rPr>
        <w:t>4</w:t>
      </w:r>
      <w:r w:rsidR="0033229B" w:rsidRPr="003F4BCB">
        <w:rPr>
          <w:rFonts w:ascii="Calibri" w:hAnsi="Calibri" w:hint="eastAsia"/>
          <w:szCs w:val="24"/>
          <w:lang w:eastAsia="zh-CN"/>
        </w:rPr>
        <w:t>日，</w:t>
      </w:r>
      <w:r w:rsidRPr="003F4BCB">
        <w:rPr>
          <w:rFonts w:ascii="Calibri" w:hAnsi="Calibri" w:hint="eastAsia"/>
          <w:szCs w:val="24"/>
          <w:lang w:eastAsia="zh-CN"/>
        </w:rPr>
        <w:t>日内瓦</w:t>
      </w:r>
    </w:p>
    <w:p w:rsidR="00E1779A" w:rsidRPr="003F4BCB" w:rsidRDefault="00E1779A" w:rsidP="000E6B0A">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685"/>
        <w:gridCol w:w="4536"/>
      </w:tblGrid>
      <w:tr w:rsidR="00E1779A" w:rsidRPr="003F4BCB" w:rsidTr="004967F5">
        <w:trPr>
          <w:cantSplit/>
          <w:trHeight w:val="340"/>
        </w:trPr>
        <w:tc>
          <w:tcPr>
            <w:tcW w:w="985" w:type="dxa"/>
          </w:tcPr>
          <w:p w:rsidR="00E1779A" w:rsidRPr="003F4BCB" w:rsidRDefault="00E1779A" w:rsidP="000E6B0A">
            <w:pPr>
              <w:spacing w:before="10"/>
              <w:ind w:left="57"/>
              <w:rPr>
                <w:rFonts w:ascii="Calibri" w:hAnsi="Calibri"/>
                <w:sz w:val="22"/>
                <w:lang w:eastAsia="zh-CN"/>
              </w:rPr>
            </w:pPr>
            <w:r w:rsidRPr="003F4BCB">
              <w:rPr>
                <w:rFonts w:ascii="Calibri" w:hAnsi="Calibri" w:hint="eastAsia"/>
                <w:sz w:val="22"/>
                <w:lang w:eastAsia="zh-CN"/>
              </w:rPr>
              <w:t>文号：</w:t>
            </w:r>
          </w:p>
          <w:p w:rsidR="00E1779A" w:rsidRPr="003F4BCB" w:rsidRDefault="00E1779A" w:rsidP="000E6B0A">
            <w:pPr>
              <w:tabs>
                <w:tab w:val="left" w:pos="4111"/>
              </w:tabs>
              <w:spacing w:before="10"/>
              <w:ind w:left="57"/>
              <w:rPr>
                <w:rFonts w:ascii="Calibri" w:hAnsi="Calibri"/>
                <w:sz w:val="22"/>
                <w:lang w:eastAsia="zh-CN"/>
              </w:rPr>
            </w:pPr>
          </w:p>
          <w:p w:rsidR="00E1779A" w:rsidRPr="003F4BCB" w:rsidRDefault="00E1779A" w:rsidP="000E6B0A">
            <w:pPr>
              <w:tabs>
                <w:tab w:val="left" w:pos="4111"/>
              </w:tabs>
              <w:spacing w:before="10"/>
              <w:ind w:left="57"/>
              <w:rPr>
                <w:rFonts w:ascii="Calibri" w:hAnsi="Calibri"/>
                <w:sz w:val="22"/>
                <w:lang w:eastAsia="zh-CN"/>
              </w:rPr>
            </w:pPr>
          </w:p>
          <w:p w:rsidR="004967F5" w:rsidRPr="003F4BCB" w:rsidRDefault="004967F5" w:rsidP="000E6B0A">
            <w:pPr>
              <w:tabs>
                <w:tab w:val="left" w:pos="4111"/>
              </w:tabs>
              <w:spacing w:before="100"/>
              <w:ind w:left="57"/>
              <w:rPr>
                <w:rFonts w:ascii="Calibri" w:hAnsi="Calibri"/>
                <w:sz w:val="22"/>
                <w:lang w:eastAsia="zh-CN"/>
              </w:rPr>
            </w:pPr>
            <w:r w:rsidRPr="003F4BCB">
              <w:rPr>
                <w:rFonts w:ascii="Calibri" w:hAnsi="Calibri" w:hint="eastAsia"/>
                <w:sz w:val="22"/>
                <w:lang w:eastAsia="zh-CN"/>
              </w:rPr>
              <w:t>联系人</w:t>
            </w:r>
            <w:r w:rsidRPr="003F4BCB">
              <w:rPr>
                <w:rFonts w:ascii="Calibri" w:hAnsi="Calibri"/>
                <w:sz w:val="22"/>
                <w:lang w:eastAsia="zh-CN"/>
              </w:rPr>
              <w:t>：</w:t>
            </w:r>
          </w:p>
          <w:p w:rsidR="00E1779A" w:rsidRPr="003F4BCB" w:rsidRDefault="00E1779A" w:rsidP="000E6B0A">
            <w:pPr>
              <w:tabs>
                <w:tab w:val="left" w:pos="4111"/>
              </w:tabs>
              <w:spacing w:before="0"/>
              <w:ind w:left="57"/>
              <w:rPr>
                <w:rFonts w:ascii="Calibri" w:hAnsi="Calibri"/>
                <w:sz w:val="22"/>
                <w:lang w:eastAsia="zh-CN"/>
              </w:rPr>
            </w:pPr>
            <w:r w:rsidRPr="003F4BCB">
              <w:rPr>
                <w:rFonts w:ascii="Calibri" w:hAnsi="Calibri" w:hint="eastAsia"/>
                <w:sz w:val="22"/>
                <w:lang w:eastAsia="zh-CN"/>
              </w:rPr>
              <w:t>电话：</w:t>
            </w:r>
            <w:r w:rsidRPr="003F4BCB">
              <w:rPr>
                <w:rFonts w:ascii="Calibri" w:hAnsi="Calibri"/>
                <w:sz w:val="22"/>
                <w:lang w:eastAsia="zh-CN"/>
              </w:rPr>
              <w:br/>
            </w:r>
            <w:r w:rsidRPr="003F4BCB">
              <w:rPr>
                <w:rFonts w:ascii="Calibri" w:hAnsi="Calibri" w:hint="eastAsia"/>
                <w:sz w:val="22"/>
                <w:lang w:eastAsia="zh-CN"/>
              </w:rPr>
              <w:t>传真：</w:t>
            </w:r>
          </w:p>
        </w:tc>
        <w:tc>
          <w:tcPr>
            <w:tcW w:w="4685" w:type="dxa"/>
          </w:tcPr>
          <w:p w:rsidR="00E1779A" w:rsidRPr="003F4BCB" w:rsidRDefault="00E1779A" w:rsidP="006D6897">
            <w:pPr>
              <w:tabs>
                <w:tab w:val="left" w:pos="4111"/>
              </w:tabs>
              <w:spacing w:before="0"/>
              <w:ind w:left="57"/>
              <w:rPr>
                <w:rFonts w:ascii="Calibri" w:hAnsi="Calibri"/>
                <w:b/>
                <w:lang w:eastAsia="zh-CN"/>
              </w:rPr>
            </w:pPr>
            <w:r w:rsidRPr="003F4BCB">
              <w:rPr>
                <w:rFonts w:ascii="Calibri" w:hAnsi="Calibri" w:hint="eastAsia"/>
                <w:b/>
                <w:bCs/>
                <w:iCs/>
                <w:lang w:eastAsia="zh-CN"/>
              </w:rPr>
              <w:t>电信标准化局第</w:t>
            </w:r>
            <w:r w:rsidR="00745457" w:rsidRPr="003F4BCB">
              <w:rPr>
                <w:rFonts w:ascii="Calibri" w:hAnsi="Calibri"/>
                <w:b/>
                <w:lang w:eastAsia="zh-CN"/>
              </w:rPr>
              <w:t>1</w:t>
            </w:r>
            <w:r w:rsidR="005D16F4" w:rsidRPr="003F4BCB">
              <w:rPr>
                <w:rFonts w:ascii="Calibri" w:hAnsi="Calibri" w:hint="eastAsia"/>
                <w:b/>
                <w:lang w:eastAsia="zh-CN"/>
              </w:rPr>
              <w:t>4</w:t>
            </w:r>
            <w:r w:rsidR="00127C8B">
              <w:rPr>
                <w:rFonts w:ascii="Calibri" w:hAnsi="Calibri"/>
                <w:b/>
                <w:lang w:eastAsia="zh-CN"/>
              </w:rPr>
              <w:t>2</w:t>
            </w:r>
            <w:r w:rsidRPr="003F4BCB">
              <w:rPr>
                <w:rFonts w:ascii="Calibri" w:hAnsi="Calibri" w:hint="eastAsia"/>
                <w:b/>
                <w:bCs/>
                <w:iCs/>
                <w:lang w:val="fr-CH" w:eastAsia="zh-CN"/>
              </w:rPr>
              <w:t>号</w:t>
            </w:r>
            <w:r w:rsidR="006D6897">
              <w:rPr>
                <w:rFonts w:ascii="Calibri" w:hAnsi="Calibri" w:hint="eastAsia"/>
                <w:b/>
                <w:lang w:eastAsia="zh-CN"/>
              </w:rPr>
              <w:t>通函</w:t>
            </w:r>
          </w:p>
          <w:p w:rsidR="00E1779A" w:rsidRPr="003F4BCB" w:rsidRDefault="00E1779A" w:rsidP="000E6B0A">
            <w:pPr>
              <w:tabs>
                <w:tab w:val="left" w:pos="4111"/>
              </w:tabs>
              <w:spacing w:before="0"/>
              <w:ind w:left="57"/>
              <w:rPr>
                <w:rFonts w:ascii="Calibri" w:hAnsi="Calibri"/>
                <w:bCs/>
                <w:lang w:eastAsia="zh-CN"/>
              </w:rPr>
            </w:pPr>
            <w:r w:rsidRPr="003F4BCB">
              <w:rPr>
                <w:rFonts w:ascii="Calibri" w:hAnsi="Calibri" w:hint="eastAsia"/>
                <w:bCs/>
                <w:lang w:eastAsia="zh-CN"/>
              </w:rPr>
              <w:t>TSB</w:t>
            </w:r>
            <w:r w:rsidRPr="003F4BCB">
              <w:rPr>
                <w:rFonts w:ascii="Calibri" w:hAnsi="Calibri"/>
                <w:bCs/>
                <w:lang w:eastAsia="zh-CN"/>
              </w:rPr>
              <w:t xml:space="preserve"> </w:t>
            </w:r>
            <w:r w:rsidRPr="003F4BCB">
              <w:rPr>
                <w:rFonts w:ascii="Calibri" w:hAnsi="Calibri"/>
                <w:bCs/>
                <w:lang w:val="en-US" w:eastAsia="zh-CN"/>
              </w:rPr>
              <w:t>Workshops</w:t>
            </w:r>
            <w:r w:rsidR="00127C8B" w:rsidRPr="00FB7804">
              <w:t>/T.K.</w:t>
            </w:r>
          </w:p>
          <w:p w:rsidR="00E1779A" w:rsidRPr="003F4BCB" w:rsidRDefault="00E1779A" w:rsidP="000E6B0A">
            <w:pPr>
              <w:pStyle w:val="BodyTextIndent"/>
              <w:rPr>
                <w:rFonts w:ascii="Calibri" w:hAnsi="Calibri"/>
                <w:lang w:eastAsia="zh-CN"/>
              </w:rPr>
            </w:pPr>
          </w:p>
          <w:p w:rsidR="004967F5" w:rsidRPr="003F4BCB" w:rsidRDefault="00127C8B" w:rsidP="000E6B0A">
            <w:pPr>
              <w:pStyle w:val="BodyTextIndent"/>
              <w:spacing w:before="40"/>
              <w:rPr>
                <w:rFonts w:ascii="Calibri" w:hAnsi="Calibri"/>
                <w:b/>
                <w:bCs/>
                <w:lang w:eastAsia="zh-CN"/>
              </w:rPr>
            </w:pPr>
            <w:r>
              <w:rPr>
                <w:b/>
              </w:rPr>
              <w:t>Tatiana Kurakova</w:t>
            </w:r>
          </w:p>
          <w:p w:rsidR="00E1779A" w:rsidRPr="003F4BCB" w:rsidRDefault="00E1779A" w:rsidP="006D6897">
            <w:pPr>
              <w:pStyle w:val="BodyTextIndent"/>
              <w:rPr>
                <w:rFonts w:ascii="Calibri" w:hAnsi="Calibri"/>
                <w:lang w:eastAsia="zh-CN"/>
              </w:rPr>
            </w:pPr>
            <w:r w:rsidRPr="003F4BCB">
              <w:rPr>
                <w:rFonts w:ascii="Calibri" w:hAnsi="Calibri"/>
                <w:lang w:eastAsia="zh-CN"/>
              </w:rPr>
              <w:t>+41 22 730</w:t>
            </w:r>
            <w:r w:rsidRPr="003F4BCB">
              <w:rPr>
                <w:rFonts w:ascii="Calibri" w:hAnsi="Calibri" w:hint="eastAsia"/>
                <w:lang w:eastAsia="zh-CN"/>
              </w:rPr>
              <w:t xml:space="preserve"> </w:t>
            </w:r>
            <w:r w:rsidR="005D16F4" w:rsidRPr="003F4BCB">
              <w:rPr>
                <w:rFonts w:ascii="Calibri" w:hAnsi="Calibri" w:hint="eastAsia"/>
                <w:lang w:eastAsia="zh-CN"/>
              </w:rPr>
              <w:t>5</w:t>
            </w:r>
            <w:r w:rsidR="006D6897">
              <w:rPr>
                <w:rFonts w:ascii="Calibri" w:hAnsi="Calibri"/>
                <w:lang w:eastAsia="zh-CN"/>
              </w:rPr>
              <w:t>126</w:t>
            </w:r>
            <w:r w:rsidRPr="003F4BCB">
              <w:rPr>
                <w:rFonts w:ascii="Calibri" w:hAnsi="Calibri"/>
                <w:lang w:eastAsia="zh-CN"/>
              </w:rPr>
              <w:br/>
              <w:t>+41 22 730 5853</w:t>
            </w:r>
          </w:p>
        </w:tc>
        <w:tc>
          <w:tcPr>
            <w:tcW w:w="4536" w:type="dxa"/>
          </w:tcPr>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E1779A" w:rsidRPr="003F4BCB" w:rsidRDefault="00E1779A" w:rsidP="00292881">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0017497B" w:rsidRPr="003F4BCB">
              <w:rPr>
                <w:rFonts w:ascii="Calibri" w:hAnsi="Calibri"/>
                <w:lang w:eastAsia="zh-CN"/>
              </w:rPr>
              <w:br/>
              <w:t>-</w:t>
            </w:r>
            <w:r w:rsidR="0017497B" w:rsidRPr="003F4BCB">
              <w:rPr>
                <w:rFonts w:ascii="Calibri" w:hAnsi="Calibri" w:hint="eastAsia"/>
                <w:lang w:eastAsia="zh-CN"/>
              </w:rPr>
              <w:tab/>
            </w:r>
            <w:r w:rsidR="0017497B" w:rsidRPr="003F4BCB">
              <w:rPr>
                <w:rFonts w:ascii="Calibri" w:hAnsi="Calibri" w:hint="eastAsia"/>
                <w:lang w:eastAsia="zh-CN"/>
              </w:rPr>
              <w:t>致</w:t>
            </w:r>
            <w:r w:rsidR="0017497B" w:rsidRPr="003F4BCB">
              <w:rPr>
                <w:rFonts w:ascii="Calibri" w:hAnsi="Calibri"/>
                <w:lang w:eastAsia="zh-CN"/>
              </w:rPr>
              <w:t>ITU-T</w:t>
            </w:r>
            <w:r w:rsidR="0017497B" w:rsidRPr="003F4BCB">
              <w:rPr>
                <w:rFonts w:ascii="Calibri" w:hAnsi="Calibri" w:hint="eastAsia"/>
                <w:lang w:eastAsia="zh-CN"/>
              </w:rPr>
              <w:t>学术成员</w:t>
            </w:r>
          </w:p>
          <w:p w:rsidR="00E1779A" w:rsidRPr="003F4BCB" w:rsidRDefault="00E1779A" w:rsidP="000E6B0A">
            <w:pPr>
              <w:tabs>
                <w:tab w:val="clear" w:pos="794"/>
                <w:tab w:val="left" w:pos="284"/>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0E6B0A">
            <w:pPr>
              <w:spacing w:before="40"/>
              <w:ind w:left="57"/>
              <w:rPr>
                <w:rFonts w:ascii="Calibri" w:hAnsi="Calibri"/>
                <w:sz w:val="22"/>
                <w:lang w:eastAsia="zh-CN"/>
              </w:rPr>
            </w:pPr>
            <w:r w:rsidRPr="003F4BCB">
              <w:rPr>
                <w:rFonts w:ascii="Calibri" w:hAnsi="Calibri" w:hint="eastAsia"/>
                <w:sz w:val="22"/>
                <w:lang w:eastAsia="zh-CN"/>
              </w:rPr>
              <w:t>电子</w:t>
            </w:r>
            <w:r w:rsidRPr="003F4BCB">
              <w:rPr>
                <w:rFonts w:ascii="Calibri" w:hAnsi="Calibri"/>
                <w:sz w:val="22"/>
                <w:lang w:eastAsia="zh-CN"/>
              </w:rPr>
              <w:br/>
            </w:r>
            <w:r w:rsidRPr="003F4BCB">
              <w:rPr>
                <w:rFonts w:ascii="Calibri" w:hAnsi="Calibri" w:hint="eastAsia"/>
                <w:sz w:val="22"/>
                <w:lang w:eastAsia="zh-CN"/>
              </w:rPr>
              <w:t>邮件：</w:t>
            </w:r>
            <w:r w:rsidRPr="003F4BCB">
              <w:rPr>
                <w:rFonts w:ascii="Calibri" w:hAnsi="Calibri"/>
                <w:sz w:val="22"/>
                <w:lang w:eastAsia="zh-CN"/>
              </w:rPr>
              <w:br/>
            </w:r>
          </w:p>
        </w:tc>
        <w:tc>
          <w:tcPr>
            <w:tcW w:w="4685" w:type="dxa"/>
          </w:tcPr>
          <w:p w:rsidR="00E1779A" w:rsidRPr="003F4BCB" w:rsidRDefault="009C1E2E" w:rsidP="000E6B0A">
            <w:pPr>
              <w:tabs>
                <w:tab w:val="left" w:pos="4111"/>
              </w:tabs>
              <w:spacing w:before="0"/>
              <w:ind w:left="57"/>
              <w:rPr>
                <w:rFonts w:ascii="Calibri" w:hAnsi="Calibri"/>
                <w:lang w:eastAsia="zh-CN"/>
              </w:rPr>
            </w:pPr>
            <w:r w:rsidRPr="003F4BCB">
              <w:rPr>
                <w:rFonts w:ascii="Calibri" w:hAnsi="Calibri"/>
              </w:rPr>
              <w:br/>
            </w:r>
            <w:hyperlink r:id="rId10" w:history="1">
              <w:r w:rsidR="005D16F4" w:rsidRPr="003F4BCB">
                <w:rPr>
                  <w:rStyle w:val="Hyperlink"/>
                  <w:rFonts w:ascii="Calibri" w:hAnsi="Calibri"/>
                  <w:szCs w:val="22"/>
                </w:rPr>
                <w:t>tsbworkshops@itu.int</w:t>
              </w:r>
            </w:hyperlink>
          </w:p>
        </w:tc>
        <w:tc>
          <w:tcPr>
            <w:tcW w:w="4536"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r w:rsidRPr="003F4BCB">
              <w:rPr>
                <w:rFonts w:ascii="Calibri" w:hAnsi="Calibri" w:hint="eastAsia"/>
                <w:b/>
                <w:bCs/>
                <w:lang w:eastAsia="zh-CN"/>
              </w:rPr>
              <w:t>抄送：</w:t>
            </w:r>
          </w:p>
          <w:p w:rsidR="00E1779A" w:rsidRPr="003F4BCB" w:rsidRDefault="00E1779A" w:rsidP="000E6B0A">
            <w:pPr>
              <w:tabs>
                <w:tab w:val="clear" w:pos="794"/>
                <w:tab w:val="left" w:pos="284"/>
                <w:tab w:val="left" w:pos="4111"/>
              </w:tabs>
              <w:spacing w:before="0"/>
              <w:ind w:left="61"/>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r>
            <w:r w:rsidR="001579CD" w:rsidRPr="003F4BCB">
              <w:rPr>
                <w:rFonts w:ascii="Calibri" w:hAnsi="Calibri" w:hint="eastAsia"/>
                <w:lang w:eastAsia="zh-CN"/>
              </w:rPr>
              <w:t>ITU-T</w:t>
            </w:r>
            <w:r w:rsidR="006D6897">
              <w:rPr>
                <w:rFonts w:ascii="Calibri" w:hAnsi="Calibri" w:hint="eastAsia"/>
                <w:lang w:eastAsia="zh-CN"/>
              </w:rPr>
              <w:t>各</w:t>
            </w:r>
            <w:r w:rsidRPr="003F4BCB">
              <w:rPr>
                <w:rFonts w:ascii="Calibri" w:hAnsi="Calibri" w:hint="eastAsia"/>
                <w:lang w:eastAsia="zh-CN"/>
              </w:rPr>
              <w:t>研究组正副主席；</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5D16F4" w:rsidRPr="003F4BCB" w:rsidRDefault="00E1779A" w:rsidP="00292881">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p>
          <w:p w:rsidR="00E1779A" w:rsidRPr="003F4BCB" w:rsidRDefault="00E1779A" w:rsidP="000E6B0A">
            <w:pPr>
              <w:tabs>
                <w:tab w:val="clear" w:pos="794"/>
                <w:tab w:val="left" w:pos="141"/>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0E6B0A">
            <w:pPr>
              <w:spacing w:before="60"/>
              <w:ind w:left="57"/>
              <w:rPr>
                <w:rFonts w:ascii="Calibri" w:hAnsi="Calibri"/>
                <w:sz w:val="22"/>
                <w:lang w:eastAsia="zh-CN"/>
              </w:rPr>
            </w:pPr>
          </w:p>
        </w:tc>
        <w:tc>
          <w:tcPr>
            <w:tcW w:w="4685" w:type="dxa"/>
          </w:tcPr>
          <w:p w:rsidR="00E1779A" w:rsidRPr="003F4BCB" w:rsidRDefault="00E1779A" w:rsidP="000E6B0A">
            <w:pPr>
              <w:tabs>
                <w:tab w:val="left" w:pos="4111"/>
              </w:tabs>
              <w:ind w:left="57"/>
              <w:rPr>
                <w:rFonts w:ascii="Calibri" w:hAnsi="Calibri"/>
                <w:lang w:eastAsia="zh-CN"/>
              </w:rPr>
            </w:pPr>
          </w:p>
        </w:tc>
        <w:tc>
          <w:tcPr>
            <w:tcW w:w="4536"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p>
        </w:tc>
      </w:tr>
    </w:tbl>
    <w:p w:rsidR="00E1779A" w:rsidRPr="003F4BCB" w:rsidRDefault="00E1779A" w:rsidP="000E6B0A">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E1779A" w:rsidRPr="003F4BCB" w:rsidTr="005966EC">
        <w:trPr>
          <w:cantSplit/>
          <w:trHeight w:val="680"/>
        </w:trPr>
        <w:tc>
          <w:tcPr>
            <w:tcW w:w="822" w:type="dxa"/>
          </w:tcPr>
          <w:p w:rsidR="00E1779A" w:rsidRPr="003F4BCB" w:rsidRDefault="00E1779A" w:rsidP="000E6B0A">
            <w:pPr>
              <w:tabs>
                <w:tab w:val="left" w:pos="4111"/>
              </w:tabs>
              <w:spacing w:before="10"/>
              <w:ind w:left="57"/>
              <w:rPr>
                <w:rFonts w:ascii="Calibri" w:hAnsi="Calibri"/>
                <w:sz w:val="20"/>
                <w:lang w:eastAsia="zh-CN"/>
              </w:rPr>
            </w:pPr>
            <w:bookmarkStart w:id="1" w:name="Addressee_E"/>
            <w:bookmarkEnd w:id="1"/>
            <w:r w:rsidRPr="003F4BCB">
              <w:rPr>
                <w:rFonts w:ascii="Calibri" w:hAnsi="Calibri" w:hint="eastAsia"/>
                <w:sz w:val="22"/>
                <w:lang w:eastAsia="zh-CN"/>
              </w:rPr>
              <w:t>事由：</w:t>
            </w:r>
          </w:p>
        </w:tc>
        <w:tc>
          <w:tcPr>
            <w:tcW w:w="6825" w:type="dxa"/>
          </w:tcPr>
          <w:p w:rsidR="00127C8B" w:rsidRPr="00127C8B" w:rsidRDefault="00493AC6" w:rsidP="000E6B0A">
            <w:pPr>
              <w:tabs>
                <w:tab w:val="left" w:pos="4111"/>
              </w:tabs>
              <w:spacing w:before="0"/>
              <w:ind w:left="57"/>
              <w:rPr>
                <w:rFonts w:ascii="Calibri" w:hAnsi="Calibri"/>
                <w:b/>
                <w:bCs/>
                <w:lang w:eastAsia="zh-CN"/>
              </w:rPr>
            </w:pPr>
            <w:r>
              <w:rPr>
                <w:rFonts w:ascii="Calibri" w:hAnsi="Calibri" w:hint="eastAsia"/>
                <w:b/>
                <w:bCs/>
                <w:lang w:eastAsia="zh-CN"/>
              </w:rPr>
              <w:t>国际电联有关</w:t>
            </w:r>
            <w:r w:rsidR="005966EC">
              <w:rPr>
                <w:rFonts w:ascii="Calibri" w:hAnsi="Calibri" w:hint="eastAsia"/>
                <w:b/>
                <w:bCs/>
                <w:lang w:eastAsia="zh-CN"/>
              </w:rPr>
              <w:t>“未来信任和知识基础设施”的讲习班，第</w:t>
            </w:r>
            <w:r w:rsidR="005966EC" w:rsidRPr="00127C8B">
              <w:rPr>
                <w:rFonts w:ascii="Calibri" w:hAnsi="Calibri"/>
                <w:b/>
                <w:bCs/>
                <w:lang w:eastAsia="zh-CN"/>
              </w:rPr>
              <w:t>1</w:t>
            </w:r>
            <w:r w:rsidR="005966EC">
              <w:rPr>
                <w:rFonts w:ascii="Calibri" w:hAnsi="Calibri" w:hint="eastAsia"/>
                <w:b/>
                <w:bCs/>
                <w:lang w:eastAsia="zh-CN"/>
              </w:rPr>
              <w:t>阶段</w:t>
            </w:r>
            <w:r w:rsidR="00127C8B" w:rsidRPr="00127C8B">
              <w:rPr>
                <w:rFonts w:ascii="Calibri" w:hAnsi="Calibri"/>
                <w:b/>
                <w:bCs/>
                <w:lang w:eastAsia="zh-CN"/>
              </w:rPr>
              <w:t xml:space="preserve"> </w:t>
            </w:r>
          </w:p>
          <w:p w:rsidR="00E1779A" w:rsidRPr="003F4BCB" w:rsidRDefault="006D6897" w:rsidP="006D6897">
            <w:pPr>
              <w:tabs>
                <w:tab w:val="left" w:pos="4111"/>
              </w:tabs>
              <w:spacing w:before="0"/>
              <w:ind w:left="57"/>
              <w:rPr>
                <w:rFonts w:ascii="Calibri" w:hAnsi="Calibri"/>
                <w:b/>
                <w:bCs/>
                <w:lang w:eastAsia="zh-CN"/>
              </w:rPr>
            </w:pPr>
            <w:r>
              <w:rPr>
                <w:rFonts w:ascii="Calibri" w:hAnsi="Calibri" w:hint="eastAsia"/>
                <w:b/>
                <w:bCs/>
                <w:lang w:eastAsia="zh-CN"/>
              </w:rPr>
              <w:t>（</w:t>
            </w:r>
            <w:r w:rsidR="00127C8B" w:rsidRPr="00127C8B">
              <w:rPr>
                <w:rFonts w:ascii="Calibri" w:hAnsi="Calibri"/>
                <w:b/>
                <w:bCs/>
                <w:lang w:eastAsia="zh-CN"/>
              </w:rPr>
              <w:t>2015</w:t>
            </w:r>
            <w:r w:rsidR="005966EC">
              <w:rPr>
                <w:rFonts w:ascii="Calibri" w:hAnsi="Calibri" w:hint="eastAsia"/>
                <w:b/>
                <w:bCs/>
                <w:lang w:eastAsia="zh-CN"/>
              </w:rPr>
              <w:t>年</w:t>
            </w:r>
            <w:r w:rsidR="005966EC">
              <w:rPr>
                <w:rFonts w:ascii="Calibri" w:hAnsi="Calibri" w:hint="eastAsia"/>
                <w:b/>
                <w:bCs/>
                <w:lang w:eastAsia="zh-CN"/>
              </w:rPr>
              <w:t>4</w:t>
            </w:r>
            <w:r w:rsidR="005966EC">
              <w:rPr>
                <w:rFonts w:ascii="Calibri" w:hAnsi="Calibri" w:hint="eastAsia"/>
                <w:b/>
                <w:bCs/>
                <w:lang w:eastAsia="zh-CN"/>
              </w:rPr>
              <w:t>月</w:t>
            </w:r>
            <w:r w:rsidR="005966EC" w:rsidRPr="00127C8B">
              <w:rPr>
                <w:rFonts w:ascii="Calibri" w:hAnsi="Calibri"/>
                <w:b/>
                <w:bCs/>
                <w:lang w:eastAsia="zh-CN"/>
              </w:rPr>
              <w:t>24</w:t>
            </w:r>
            <w:r w:rsidR="005966EC">
              <w:rPr>
                <w:rFonts w:ascii="Calibri" w:hAnsi="Calibri" w:hint="eastAsia"/>
                <w:b/>
                <w:bCs/>
                <w:lang w:eastAsia="zh-CN"/>
              </w:rPr>
              <w:t>日，瑞士日内瓦</w:t>
            </w:r>
            <w:r>
              <w:rPr>
                <w:rFonts w:ascii="Calibri" w:hAnsi="Calibri" w:hint="eastAsia"/>
                <w:b/>
                <w:bCs/>
                <w:lang w:eastAsia="zh-CN"/>
              </w:rPr>
              <w:t>）</w:t>
            </w:r>
          </w:p>
        </w:tc>
      </w:tr>
    </w:tbl>
    <w:p w:rsidR="000068A6" w:rsidRPr="003F4BCB" w:rsidRDefault="000068A6" w:rsidP="000E6B0A">
      <w:pPr>
        <w:spacing w:before="100" w:after="20"/>
        <w:rPr>
          <w:rFonts w:ascii="Calibri" w:hAnsi="Calibri"/>
          <w:lang w:eastAsia="zh-CN"/>
        </w:rPr>
      </w:pPr>
    </w:p>
    <w:p w:rsidR="00127C8B" w:rsidRDefault="00127C8B" w:rsidP="000E6B0A">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127C8B" w:rsidRDefault="00127C8B" w:rsidP="006D6897">
      <w:pPr>
        <w:rPr>
          <w:lang w:eastAsia="zh-CN"/>
        </w:rPr>
      </w:pPr>
      <w:r>
        <w:rPr>
          <w:bCs/>
          <w:lang w:eastAsia="zh-CN"/>
        </w:rPr>
        <w:t>1</w:t>
      </w:r>
      <w:r>
        <w:rPr>
          <w:lang w:eastAsia="zh-CN"/>
        </w:rPr>
        <w:tab/>
      </w:r>
      <w:r>
        <w:rPr>
          <w:rFonts w:hint="eastAsia"/>
          <w:lang w:eastAsia="zh-CN"/>
        </w:rPr>
        <w:t>我谨</w:t>
      </w:r>
      <w:r w:rsidR="006D6897">
        <w:rPr>
          <w:rFonts w:hint="eastAsia"/>
          <w:lang w:eastAsia="zh-CN"/>
        </w:rPr>
        <w:t>在此</w:t>
      </w:r>
      <w:r>
        <w:rPr>
          <w:rFonts w:hint="eastAsia"/>
          <w:lang w:eastAsia="zh-CN"/>
        </w:rPr>
        <w:t>通知您，“</w:t>
      </w:r>
      <w:r w:rsidR="005966EC" w:rsidRPr="005966EC">
        <w:rPr>
          <w:rFonts w:hint="eastAsia"/>
          <w:b/>
          <w:bCs/>
          <w:lang w:eastAsia="zh-CN"/>
        </w:rPr>
        <w:t>未来信任和知识基础设施</w:t>
      </w:r>
      <w:r>
        <w:rPr>
          <w:rFonts w:hint="eastAsia"/>
          <w:lang w:eastAsia="zh-CN"/>
        </w:rPr>
        <w:t>”讲习班</w:t>
      </w:r>
      <w:r w:rsidR="006D6897">
        <w:rPr>
          <w:rFonts w:hint="eastAsia"/>
          <w:lang w:eastAsia="zh-CN"/>
        </w:rPr>
        <w:t>的</w:t>
      </w:r>
      <w:r w:rsidR="00B20272" w:rsidRPr="006D6897">
        <w:rPr>
          <w:rFonts w:hint="eastAsia"/>
          <w:b/>
          <w:bCs/>
          <w:lang w:eastAsia="zh-CN"/>
        </w:rPr>
        <w:t>第</w:t>
      </w:r>
      <w:r w:rsidR="00B20272" w:rsidRPr="006D6897">
        <w:rPr>
          <w:rFonts w:hint="eastAsia"/>
          <w:b/>
          <w:bCs/>
          <w:lang w:eastAsia="zh-CN"/>
        </w:rPr>
        <w:t>1</w:t>
      </w:r>
      <w:r w:rsidR="00B20272" w:rsidRPr="006D6897">
        <w:rPr>
          <w:rFonts w:hint="eastAsia"/>
          <w:b/>
          <w:bCs/>
          <w:lang w:eastAsia="zh-CN"/>
        </w:rPr>
        <w:t>阶段</w:t>
      </w:r>
      <w:r>
        <w:rPr>
          <w:rFonts w:hint="eastAsia"/>
          <w:lang w:eastAsia="zh-CN"/>
        </w:rPr>
        <w:t>将</w:t>
      </w:r>
      <w:r w:rsidR="00B20272">
        <w:rPr>
          <w:rFonts w:hint="eastAsia"/>
          <w:lang w:eastAsia="zh-CN"/>
        </w:rPr>
        <w:t>在</w:t>
      </w:r>
      <w:r w:rsidR="00B20272">
        <w:rPr>
          <w:lang w:eastAsia="zh-CN"/>
        </w:rPr>
        <w:t>ITU-T</w:t>
      </w:r>
      <w:r w:rsidR="00B20272">
        <w:rPr>
          <w:rFonts w:hint="eastAsia"/>
          <w:lang w:eastAsia="zh-CN"/>
        </w:rPr>
        <w:t>第</w:t>
      </w:r>
      <w:r w:rsidR="00B20272">
        <w:rPr>
          <w:lang w:eastAsia="zh-CN"/>
        </w:rPr>
        <w:t>13</w:t>
      </w:r>
      <w:r w:rsidR="00B20272">
        <w:rPr>
          <w:rFonts w:hint="eastAsia"/>
          <w:lang w:eastAsia="zh-CN"/>
        </w:rPr>
        <w:t>研究组</w:t>
      </w:r>
      <w:r w:rsidR="00B20272">
        <w:rPr>
          <w:lang w:eastAsia="zh-CN"/>
        </w:rPr>
        <w:t>2015</w:t>
      </w:r>
      <w:r w:rsidR="00B20272">
        <w:rPr>
          <w:rFonts w:hint="eastAsia"/>
          <w:lang w:eastAsia="zh-CN"/>
        </w:rPr>
        <w:t>年</w:t>
      </w:r>
      <w:r w:rsidR="00B20272">
        <w:rPr>
          <w:rFonts w:hint="eastAsia"/>
          <w:lang w:eastAsia="zh-CN"/>
        </w:rPr>
        <w:t>4</w:t>
      </w:r>
      <w:r w:rsidR="00B20272">
        <w:rPr>
          <w:rFonts w:hint="eastAsia"/>
          <w:lang w:eastAsia="zh-CN"/>
        </w:rPr>
        <w:t>月</w:t>
      </w:r>
      <w:r w:rsidR="00B20272">
        <w:rPr>
          <w:lang w:eastAsia="zh-CN"/>
        </w:rPr>
        <w:t>20</w:t>
      </w:r>
      <w:r w:rsidR="00B20272">
        <w:rPr>
          <w:rFonts w:hint="eastAsia"/>
          <w:lang w:eastAsia="zh-CN"/>
        </w:rPr>
        <w:t>至</w:t>
      </w:r>
      <w:r w:rsidR="00B20272">
        <w:rPr>
          <w:rFonts w:hint="eastAsia"/>
          <w:lang w:eastAsia="zh-CN"/>
        </w:rPr>
        <w:t>5</w:t>
      </w:r>
      <w:r w:rsidR="00B20272">
        <w:rPr>
          <w:rFonts w:hint="eastAsia"/>
          <w:lang w:eastAsia="zh-CN"/>
        </w:rPr>
        <w:t>月</w:t>
      </w:r>
      <w:r w:rsidR="00B20272">
        <w:rPr>
          <w:lang w:eastAsia="zh-CN"/>
        </w:rPr>
        <w:t>1</w:t>
      </w:r>
      <w:r w:rsidR="00B20272">
        <w:rPr>
          <w:rFonts w:hint="eastAsia"/>
          <w:lang w:eastAsia="zh-CN"/>
        </w:rPr>
        <w:t>日会议期间于</w:t>
      </w:r>
      <w:r w:rsidR="00B20272">
        <w:rPr>
          <w:lang w:eastAsia="zh-CN"/>
        </w:rPr>
        <w:t>2015</w:t>
      </w:r>
      <w:r w:rsidR="00B20272">
        <w:rPr>
          <w:rFonts w:hint="eastAsia"/>
          <w:lang w:eastAsia="zh-CN"/>
        </w:rPr>
        <w:t>年</w:t>
      </w:r>
      <w:r w:rsidR="00B20272">
        <w:rPr>
          <w:rFonts w:hint="eastAsia"/>
          <w:lang w:eastAsia="zh-CN"/>
        </w:rPr>
        <w:t>4</w:t>
      </w:r>
      <w:r w:rsidR="00B20272">
        <w:rPr>
          <w:rFonts w:hint="eastAsia"/>
          <w:lang w:eastAsia="zh-CN"/>
        </w:rPr>
        <w:t>月</w:t>
      </w:r>
      <w:r w:rsidR="00B20272">
        <w:rPr>
          <w:lang w:eastAsia="zh-CN"/>
        </w:rPr>
        <w:t>24</w:t>
      </w:r>
      <w:r w:rsidR="00B20272">
        <w:rPr>
          <w:rFonts w:hint="eastAsia"/>
          <w:lang w:eastAsia="zh-CN"/>
        </w:rPr>
        <w:t>日</w:t>
      </w:r>
      <w:r>
        <w:rPr>
          <w:rFonts w:hint="eastAsia"/>
          <w:lang w:eastAsia="zh-CN"/>
        </w:rPr>
        <w:t>在日内瓦国际电联总部举办。</w:t>
      </w:r>
      <w:r w:rsidR="006D6897">
        <w:rPr>
          <w:rFonts w:cs="Segoe UI" w:hint="eastAsia"/>
          <w:color w:val="000000"/>
          <w:lang w:eastAsia="zh-CN"/>
        </w:rPr>
        <w:t>该</w:t>
      </w:r>
      <w:r w:rsidR="00B20272">
        <w:rPr>
          <w:rFonts w:cs="Segoe UI" w:hint="eastAsia"/>
          <w:color w:val="000000"/>
          <w:lang w:eastAsia="zh-CN"/>
        </w:rPr>
        <w:t>讲习班</w:t>
      </w:r>
      <w:r w:rsidR="00B20272" w:rsidRPr="00B20272">
        <w:rPr>
          <w:rFonts w:cs="Segoe UI" w:hint="eastAsia"/>
          <w:color w:val="000000"/>
          <w:lang w:eastAsia="zh-CN"/>
        </w:rPr>
        <w:t>是</w:t>
      </w:r>
      <w:hyperlink r:id="rId11" w:history="1">
        <w:r w:rsidR="00B20272">
          <w:rPr>
            <w:rStyle w:val="Hyperlink"/>
            <w:rFonts w:cs="Segoe UI" w:hint="eastAsia"/>
            <w:lang w:eastAsia="zh-CN"/>
          </w:rPr>
          <w:t>国际电联成立</w:t>
        </w:r>
        <w:r w:rsidR="00B20272" w:rsidRPr="00B87365">
          <w:rPr>
            <w:rStyle w:val="Hyperlink"/>
            <w:rFonts w:cs="Segoe UI"/>
            <w:lang w:eastAsia="zh-CN"/>
          </w:rPr>
          <w:t>150</w:t>
        </w:r>
        <w:r w:rsidR="00B20272">
          <w:rPr>
            <w:rStyle w:val="Hyperlink"/>
            <w:rFonts w:cs="Segoe UI" w:hint="eastAsia"/>
            <w:lang w:eastAsia="zh-CN"/>
          </w:rPr>
          <w:t>周年</w:t>
        </w:r>
      </w:hyperlink>
      <w:r w:rsidR="00B20272">
        <w:rPr>
          <w:rFonts w:cs="Segoe UI" w:hint="eastAsia"/>
          <w:color w:val="000000"/>
          <w:lang w:eastAsia="zh-CN"/>
        </w:rPr>
        <w:t>庆祝活动</w:t>
      </w:r>
      <w:r w:rsidR="00B20272" w:rsidRPr="00B20272">
        <w:rPr>
          <w:rFonts w:cs="Segoe UI" w:hint="eastAsia"/>
          <w:color w:val="000000"/>
          <w:lang w:eastAsia="zh-CN"/>
        </w:rPr>
        <w:t>计划的一部分。</w:t>
      </w:r>
    </w:p>
    <w:p w:rsidR="00127C8B" w:rsidRDefault="006D6897" w:rsidP="006D6897">
      <w:pPr>
        <w:ind w:firstLineChars="200" w:firstLine="480"/>
        <w:rPr>
          <w:lang w:eastAsia="zh-CN"/>
        </w:rPr>
      </w:pPr>
      <w:r>
        <w:rPr>
          <w:rFonts w:hint="eastAsia"/>
          <w:lang w:eastAsia="zh-CN"/>
        </w:rPr>
        <w:t>讲习班</w:t>
      </w:r>
      <w:r w:rsidR="00127C8B">
        <w:rPr>
          <w:rFonts w:hint="eastAsia"/>
          <w:lang w:eastAsia="zh-CN"/>
        </w:rPr>
        <w:t>将于</w:t>
      </w:r>
      <w:r w:rsidR="00127C8B">
        <w:rPr>
          <w:lang w:eastAsia="zh-CN"/>
        </w:rPr>
        <w:t>09</w:t>
      </w:r>
      <w:r w:rsidR="00127C8B">
        <w:rPr>
          <w:rFonts w:hint="eastAsia"/>
          <w:lang w:eastAsia="zh-CN"/>
        </w:rPr>
        <w:t>:</w:t>
      </w:r>
      <w:r w:rsidR="00127C8B">
        <w:rPr>
          <w:lang w:eastAsia="zh-CN"/>
        </w:rPr>
        <w:t>00</w:t>
      </w:r>
      <w:r w:rsidR="00127C8B">
        <w:rPr>
          <w:rFonts w:hint="eastAsia"/>
          <w:lang w:eastAsia="zh-CN"/>
        </w:rPr>
        <w:t>开始。</w:t>
      </w:r>
      <w:r w:rsidR="00127C8B">
        <w:rPr>
          <w:rFonts w:hint="eastAsia"/>
          <w:lang w:val="en-US" w:eastAsia="zh-CN"/>
        </w:rPr>
        <w:t>与会者</w:t>
      </w:r>
      <w:r w:rsidR="00127C8B" w:rsidRPr="00C868BD">
        <w:rPr>
          <w:rFonts w:hint="eastAsia"/>
          <w:lang w:val="en-US" w:eastAsia="zh-CN"/>
        </w:rPr>
        <w:t>的注册</w:t>
      </w:r>
      <w:r w:rsidR="00127C8B">
        <w:rPr>
          <w:rFonts w:hint="eastAsia"/>
          <w:lang w:val="en-US" w:eastAsia="zh-CN"/>
        </w:rPr>
        <w:t>工作将自</w:t>
      </w:r>
      <w:r w:rsidR="00127C8B" w:rsidRPr="00C868BD">
        <w:rPr>
          <w:rFonts w:hint="eastAsia"/>
          <w:lang w:val="en-US" w:eastAsia="zh-CN"/>
        </w:rPr>
        <w:t>08</w:t>
      </w:r>
      <w:r w:rsidR="00127C8B" w:rsidRPr="00C868BD">
        <w:rPr>
          <w:lang w:val="en-US" w:eastAsia="zh-CN"/>
        </w:rPr>
        <w:t>:</w:t>
      </w:r>
      <w:r w:rsidR="00127C8B" w:rsidRPr="00C868BD">
        <w:rPr>
          <w:rFonts w:hint="eastAsia"/>
          <w:lang w:val="en-US" w:eastAsia="zh-CN"/>
        </w:rPr>
        <w:t>30</w:t>
      </w:r>
      <w:r w:rsidR="00127C8B">
        <w:rPr>
          <w:rFonts w:hint="eastAsia"/>
          <w:lang w:val="en-US" w:eastAsia="zh-CN"/>
        </w:rPr>
        <w:t>在</w:t>
      </w:r>
      <w:proofErr w:type="spellStart"/>
      <w:r w:rsidR="00127C8B" w:rsidRPr="00C868BD">
        <w:rPr>
          <w:rFonts w:hint="eastAsia"/>
          <w:lang w:val="en-US" w:eastAsia="zh-CN"/>
        </w:rPr>
        <w:t>Montbrillant</w:t>
      </w:r>
      <w:proofErr w:type="spellEnd"/>
      <w:r w:rsidR="00127C8B">
        <w:rPr>
          <w:rFonts w:hint="eastAsia"/>
          <w:lang w:val="en-US" w:eastAsia="zh-CN"/>
        </w:rPr>
        <w:t>办公</w:t>
      </w:r>
      <w:r w:rsidR="00127C8B" w:rsidRPr="00C868BD">
        <w:rPr>
          <w:rFonts w:hint="eastAsia"/>
          <w:lang w:val="en-US" w:eastAsia="zh-CN"/>
        </w:rPr>
        <w:t>楼入口</w:t>
      </w:r>
      <w:r w:rsidR="00127C8B">
        <w:rPr>
          <w:rFonts w:hint="eastAsia"/>
          <w:lang w:val="en-US" w:eastAsia="zh-CN"/>
        </w:rPr>
        <w:t>处</w:t>
      </w:r>
      <w:r w:rsidR="00127C8B" w:rsidRPr="00C868BD">
        <w:rPr>
          <w:rFonts w:hint="eastAsia"/>
          <w:lang w:val="en-US" w:eastAsia="zh-CN"/>
        </w:rPr>
        <w:t>开始。</w:t>
      </w:r>
      <w:r w:rsidR="00127C8B">
        <w:rPr>
          <w:rFonts w:hint="eastAsia"/>
          <w:szCs w:val="23"/>
          <w:lang w:eastAsia="zh-CN"/>
        </w:rPr>
        <w:t>有关会议厅的详尽信息将在国际电联总部各入口处的屏幕上显示。</w:t>
      </w:r>
    </w:p>
    <w:p w:rsidR="00127C8B" w:rsidRPr="009273EC" w:rsidRDefault="00127C8B" w:rsidP="006D6897">
      <w:pPr>
        <w:rPr>
          <w:lang w:eastAsia="zh-CN"/>
        </w:rPr>
      </w:pPr>
      <w:r>
        <w:rPr>
          <w:bCs/>
          <w:lang w:eastAsia="zh-CN"/>
        </w:rPr>
        <w:t>2</w:t>
      </w:r>
      <w:r>
        <w:rPr>
          <w:lang w:eastAsia="zh-CN"/>
        </w:rPr>
        <w:tab/>
      </w:r>
      <w:r w:rsidR="006D6897">
        <w:rPr>
          <w:rFonts w:hint="eastAsia"/>
          <w:lang w:eastAsia="zh-CN"/>
        </w:rPr>
        <w:t>此次</w:t>
      </w:r>
      <w:r w:rsidR="006D6897">
        <w:rPr>
          <w:lang w:eastAsia="zh-CN"/>
        </w:rPr>
        <w:t>讲习班</w:t>
      </w:r>
      <w:r>
        <w:rPr>
          <w:rFonts w:hint="eastAsia"/>
          <w:lang w:eastAsia="zh-CN"/>
        </w:rPr>
        <w:t>将仅用英文进行。</w:t>
      </w:r>
    </w:p>
    <w:p w:rsidR="00127C8B" w:rsidRDefault="00127C8B" w:rsidP="000E6B0A">
      <w:pPr>
        <w:rPr>
          <w:lang w:eastAsia="zh-CN"/>
        </w:rPr>
      </w:pPr>
      <w:r>
        <w:rPr>
          <w:lang w:eastAsia="zh-CN"/>
        </w:rPr>
        <w:t>3</w:t>
      </w:r>
      <w:r>
        <w:rPr>
          <w:lang w:eastAsia="zh-CN"/>
        </w:rPr>
        <w:tab/>
      </w:r>
      <w:r>
        <w:rPr>
          <w:rFonts w:hint="eastAsia"/>
          <w:lang w:eastAsia="zh-CN"/>
        </w:rPr>
        <w:t>国际电联成员国、部门成员、部门准成员和学术机构以及愿参加此工作的来自国际电联成员国的任何个人均可参加此讲习班。这里所指的“个人”亦包括作为国际、区域和国家组织成员的个人。讲习班不收取任何费用，但亦不发放与会补贴。</w:t>
      </w:r>
    </w:p>
    <w:p w:rsidR="00127C8B" w:rsidRPr="00F932FD" w:rsidRDefault="00127C8B" w:rsidP="000E6B0A">
      <w:pPr>
        <w:shd w:val="clear" w:color="auto" w:fill="FFFFFF"/>
        <w:spacing w:before="100" w:after="100"/>
        <w:rPr>
          <w:rFonts w:cs="Segoe UI"/>
          <w:color w:val="000000"/>
          <w:szCs w:val="24"/>
          <w:lang w:val="en-US" w:eastAsia="zh-CN"/>
        </w:rPr>
      </w:pPr>
      <w:r w:rsidRPr="006F7E2C">
        <w:rPr>
          <w:szCs w:val="24"/>
          <w:lang w:eastAsia="zh-CN"/>
        </w:rPr>
        <w:t>4</w:t>
      </w:r>
      <w:r w:rsidRPr="006F7E2C">
        <w:rPr>
          <w:szCs w:val="24"/>
          <w:lang w:eastAsia="zh-CN"/>
        </w:rPr>
        <w:tab/>
      </w:r>
      <w:r w:rsidR="00436FEB">
        <w:rPr>
          <w:rFonts w:cs="Segoe UI" w:hint="eastAsia"/>
          <w:color w:val="000000"/>
          <w:szCs w:val="24"/>
          <w:lang w:val="en-US" w:eastAsia="zh-CN"/>
        </w:rPr>
        <w:t>此次讲习班</w:t>
      </w:r>
      <w:r w:rsidR="00B20272" w:rsidRPr="00B20272">
        <w:rPr>
          <w:rFonts w:cs="Segoe UI" w:hint="eastAsia"/>
          <w:color w:val="000000"/>
          <w:szCs w:val="24"/>
          <w:lang w:val="en-US" w:eastAsia="zh-CN"/>
        </w:rPr>
        <w:t>将为</w:t>
      </w:r>
      <w:r w:rsidR="00B20272">
        <w:rPr>
          <w:rFonts w:cs="Segoe UI" w:hint="eastAsia"/>
          <w:color w:val="000000"/>
          <w:szCs w:val="24"/>
          <w:lang w:val="en-US" w:eastAsia="zh-CN"/>
        </w:rPr>
        <w:t>有关未来融合</w:t>
      </w:r>
      <w:r w:rsidR="00436FEB">
        <w:rPr>
          <w:rFonts w:cs="Segoe UI" w:hint="eastAsia"/>
          <w:color w:val="000000"/>
          <w:szCs w:val="24"/>
          <w:lang w:val="en-US" w:eastAsia="zh-CN"/>
        </w:rPr>
        <w:t>的</w:t>
      </w:r>
      <w:r w:rsidR="00436FEB" w:rsidRPr="00F932FD">
        <w:rPr>
          <w:rFonts w:cs="Segoe UI"/>
          <w:color w:val="000000"/>
          <w:szCs w:val="24"/>
          <w:lang w:val="en-US" w:eastAsia="zh-CN"/>
        </w:rPr>
        <w:t>ICT</w:t>
      </w:r>
      <w:r w:rsidR="00B20272" w:rsidRPr="00B20272">
        <w:rPr>
          <w:rFonts w:cs="Segoe UI" w:hint="eastAsia"/>
          <w:color w:val="000000"/>
          <w:szCs w:val="24"/>
          <w:lang w:val="en-US" w:eastAsia="zh-CN"/>
        </w:rPr>
        <w:t>服务和信息基础设施的讨论</w:t>
      </w:r>
      <w:r w:rsidR="00B20272">
        <w:rPr>
          <w:rFonts w:cs="Segoe UI" w:hint="eastAsia"/>
          <w:color w:val="000000"/>
          <w:szCs w:val="24"/>
          <w:lang w:val="en-US" w:eastAsia="zh-CN"/>
        </w:rPr>
        <w:t>提供一个</w:t>
      </w:r>
      <w:r w:rsidR="00B20272" w:rsidRPr="00B20272">
        <w:rPr>
          <w:rFonts w:cs="Segoe UI" w:hint="eastAsia"/>
          <w:color w:val="000000"/>
          <w:szCs w:val="24"/>
          <w:lang w:val="en-US" w:eastAsia="zh-CN"/>
        </w:rPr>
        <w:t>平台。此外，未来</w:t>
      </w:r>
      <w:r w:rsidR="00B20272">
        <w:rPr>
          <w:rFonts w:cs="Segoe UI" w:hint="eastAsia"/>
          <w:color w:val="000000"/>
          <w:szCs w:val="24"/>
          <w:lang w:val="en-US" w:eastAsia="zh-CN"/>
        </w:rPr>
        <w:t>基于</w:t>
      </w:r>
      <w:r w:rsidR="00436FEB" w:rsidRPr="00F932FD">
        <w:rPr>
          <w:rFonts w:cs="Segoe UI"/>
          <w:color w:val="000000"/>
          <w:szCs w:val="24"/>
          <w:lang w:val="en-US" w:eastAsia="zh-CN"/>
        </w:rPr>
        <w:t>ICT</w:t>
      </w:r>
      <w:r w:rsidR="00B20272" w:rsidRPr="00B20272">
        <w:rPr>
          <w:rFonts w:cs="Segoe UI" w:hint="eastAsia"/>
          <w:color w:val="000000"/>
          <w:szCs w:val="24"/>
          <w:lang w:val="en-US" w:eastAsia="zh-CN"/>
        </w:rPr>
        <w:t>的“生态社会”被</w:t>
      </w:r>
      <w:r w:rsidR="00B20272">
        <w:rPr>
          <w:rFonts w:cs="Segoe UI" w:hint="eastAsia"/>
          <w:color w:val="000000"/>
          <w:szCs w:val="24"/>
          <w:lang w:val="en-US" w:eastAsia="zh-CN"/>
        </w:rPr>
        <w:t>视为</w:t>
      </w:r>
      <w:r w:rsidR="006D6897">
        <w:rPr>
          <w:rFonts w:cs="Segoe UI" w:hint="eastAsia"/>
          <w:color w:val="000000"/>
          <w:szCs w:val="24"/>
          <w:lang w:val="en-US" w:eastAsia="zh-CN"/>
        </w:rPr>
        <w:t>对</w:t>
      </w:r>
      <w:r w:rsidR="00B20272" w:rsidRPr="00B20272">
        <w:rPr>
          <w:rFonts w:cs="Segoe UI" w:hint="eastAsia"/>
          <w:color w:val="000000"/>
          <w:szCs w:val="24"/>
          <w:lang w:val="en-US" w:eastAsia="zh-CN"/>
        </w:rPr>
        <w:t>信息基础设施功能和能力的</w:t>
      </w:r>
      <w:r w:rsidR="00B20272">
        <w:rPr>
          <w:rFonts w:cs="Segoe UI" w:hint="eastAsia"/>
          <w:color w:val="000000"/>
          <w:szCs w:val="24"/>
          <w:lang w:val="en-US" w:eastAsia="zh-CN"/>
        </w:rPr>
        <w:t>增强</w:t>
      </w:r>
      <w:r w:rsidR="00B20272" w:rsidRPr="00B20272">
        <w:rPr>
          <w:rFonts w:cs="Segoe UI" w:hint="eastAsia"/>
          <w:color w:val="000000"/>
          <w:szCs w:val="24"/>
          <w:lang w:val="en-US" w:eastAsia="zh-CN"/>
        </w:rPr>
        <w:t>。因此，</w:t>
      </w:r>
      <w:r w:rsidR="00B20272">
        <w:rPr>
          <w:rFonts w:cs="Segoe UI" w:hint="eastAsia"/>
          <w:color w:val="000000"/>
          <w:szCs w:val="24"/>
          <w:lang w:val="en-US" w:eastAsia="zh-CN"/>
        </w:rPr>
        <w:t>此次讲习班</w:t>
      </w:r>
      <w:r w:rsidR="00B20272" w:rsidRPr="00B20272">
        <w:rPr>
          <w:rFonts w:cs="Segoe UI" w:hint="eastAsia"/>
          <w:color w:val="000000"/>
          <w:szCs w:val="24"/>
          <w:lang w:val="en-US" w:eastAsia="zh-CN"/>
        </w:rPr>
        <w:t>将致力于：</w:t>
      </w:r>
    </w:p>
    <w:p w:rsidR="00127C8B" w:rsidRPr="00B20272" w:rsidRDefault="00127C8B" w:rsidP="000E6B0A">
      <w:pPr>
        <w:pStyle w:val="enumlev1"/>
        <w:rPr>
          <w:szCs w:val="24"/>
          <w:lang w:eastAsia="zh-CN"/>
        </w:rPr>
      </w:pPr>
      <w:r w:rsidRPr="00461135">
        <w:rPr>
          <w:lang w:val="en-US" w:eastAsia="zh-CN"/>
        </w:rPr>
        <w:t>•</w:t>
      </w:r>
      <w:r>
        <w:rPr>
          <w:lang w:val="en-US" w:eastAsia="zh-CN"/>
        </w:rPr>
        <w:tab/>
      </w:r>
      <w:r w:rsidR="00B20272">
        <w:rPr>
          <w:rFonts w:hint="eastAsia"/>
          <w:szCs w:val="24"/>
          <w:lang w:eastAsia="zh-CN"/>
        </w:rPr>
        <w:t>确定</w:t>
      </w:r>
      <w:r w:rsidR="00B20272" w:rsidRPr="00B20272">
        <w:rPr>
          <w:rFonts w:hint="eastAsia"/>
          <w:szCs w:val="24"/>
          <w:lang w:eastAsia="zh-CN"/>
        </w:rPr>
        <w:t>未来</w:t>
      </w:r>
      <w:r w:rsidR="00B20272" w:rsidRPr="00B20272">
        <w:rPr>
          <w:rFonts w:hint="eastAsia"/>
          <w:szCs w:val="24"/>
          <w:lang w:eastAsia="zh-CN"/>
        </w:rPr>
        <w:t>ICT</w:t>
      </w:r>
      <w:r w:rsidR="00B20272" w:rsidRPr="00B20272">
        <w:rPr>
          <w:rFonts w:hint="eastAsia"/>
          <w:szCs w:val="24"/>
          <w:lang w:eastAsia="zh-CN"/>
        </w:rPr>
        <w:t>基础设施的战略和技术优先事项</w:t>
      </w:r>
      <w:r w:rsidR="00B20272">
        <w:rPr>
          <w:rFonts w:hint="eastAsia"/>
          <w:szCs w:val="24"/>
          <w:lang w:eastAsia="zh-CN"/>
        </w:rPr>
        <w:t>；</w:t>
      </w:r>
    </w:p>
    <w:p w:rsidR="00127C8B" w:rsidRDefault="00127C8B" w:rsidP="000E6B0A">
      <w:pPr>
        <w:pStyle w:val="enumlev1"/>
        <w:rPr>
          <w:lang w:eastAsia="zh-CN"/>
        </w:rPr>
      </w:pPr>
      <w:r w:rsidRPr="00461135">
        <w:rPr>
          <w:lang w:val="en-US" w:eastAsia="zh-CN"/>
        </w:rPr>
        <w:t>•</w:t>
      </w:r>
      <w:r>
        <w:rPr>
          <w:lang w:val="en-US" w:eastAsia="zh-CN"/>
        </w:rPr>
        <w:tab/>
      </w:r>
      <w:r w:rsidR="00B20272">
        <w:rPr>
          <w:rFonts w:hint="eastAsia"/>
          <w:szCs w:val="24"/>
          <w:lang w:eastAsia="zh-CN"/>
        </w:rPr>
        <w:t>明确确定当前在</w:t>
      </w:r>
      <w:r w:rsidR="00436FEB">
        <w:rPr>
          <w:rFonts w:hint="eastAsia"/>
          <w:szCs w:val="24"/>
          <w:lang w:eastAsia="zh-CN"/>
        </w:rPr>
        <w:t>社交网络服务、</w:t>
      </w:r>
      <w:r w:rsidR="00B20272" w:rsidRPr="00B20272">
        <w:rPr>
          <w:rFonts w:hint="eastAsia"/>
          <w:szCs w:val="24"/>
          <w:lang w:eastAsia="zh-CN"/>
        </w:rPr>
        <w:t>移动服务和云计算平台</w:t>
      </w:r>
      <w:r w:rsidR="00436FEB">
        <w:rPr>
          <w:rFonts w:hint="eastAsia"/>
          <w:szCs w:val="24"/>
          <w:lang w:eastAsia="zh-CN"/>
        </w:rPr>
        <w:t>的</w:t>
      </w:r>
      <w:r w:rsidR="00B20272" w:rsidRPr="00B20272">
        <w:rPr>
          <w:rFonts w:hint="eastAsia"/>
          <w:szCs w:val="24"/>
          <w:lang w:eastAsia="zh-CN"/>
        </w:rPr>
        <w:t>驱动</w:t>
      </w:r>
      <w:r w:rsidR="00B20272">
        <w:rPr>
          <w:rFonts w:hint="eastAsia"/>
          <w:szCs w:val="24"/>
          <w:lang w:eastAsia="zh-CN"/>
        </w:rPr>
        <w:t>下</w:t>
      </w:r>
      <w:r w:rsidR="00436FEB">
        <w:rPr>
          <w:rFonts w:hint="eastAsia"/>
          <w:szCs w:val="24"/>
          <w:lang w:eastAsia="zh-CN"/>
        </w:rPr>
        <w:t>，</w:t>
      </w:r>
      <w:r w:rsidR="00B20272" w:rsidRPr="00B20272">
        <w:rPr>
          <w:rFonts w:hint="eastAsia"/>
          <w:szCs w:val="24"/>
          <w:lang w:eastAsia="zh-CN"/>
        </w:rPr>
        <w:t>市场和服务的社会经济发展趋势</w:t>
      </w:r>
      <w:r w:rsidR="00B20272">
        <w:rPr>
          <w:rFonts w:hint="eastAsia"/>
          <w:szCs w:val="24"/>
          <w:lang w:eastAsia="zh-CN"/>
        </w:rPr>
        <w:t>；</w:t>
      </w:r>
    </w:p>
    <w:p w:rsidR="00127C8B" w:rsidRPr="00202B97" w:rsidRDefault="00127C8B" w:rsidP="000E6B0A">
      <w:pPr>
        <w:pStyle w:val="enumlev1"/>
        <w:rPr>
          <w:lang w:eastAsia="zh-CN"/>
        </w:rPr>
      </w:pPr>
      <w:r w:rsidRPr="00461135">
        <w:rPr>
          <w:lang w:val="en-US" w:eastAsia="zh-CN"/>
        </w:rPr>
        <w:t>•</w:t>
      </w:r>
      <w:r>
        <w:rPr>
          <w:lang w:val="en-US" w:eastAsia="zh-CN"/>
        </w:rPr>
        <w:tab/>
      </w:r>
      <w:r w:rsidR="00B20272" w:rsidRPr="00B20272">
        <w:rPr>
          <w:rFonts w:hint="eastAsia"/>
          <w:szCs w:val="24"/>
          <w:lang w:eastAsia="zh-CN"/>
        </w:rPr>
        <w:t>从知识和信任</w:t>
      </w:r>
      <w:r w:rsidR="004952E4">
        <w:rPr>
          <w:rFonts w:hint="eastAsia"/>
          <w:szCs w:val="24"/>
          <w:lang w:eastAsia="zh-CN"/>
        </w:rPr>
        <w:t>角度</w:t>
      </w:r>
      <w:r w:rsidR="004952E4" w:rsidRPr="00B20272">
        <w:rPr>
          <w:rFonts w:hint="eastAsia"/>
          <w:szCs w:val="24"/>
          <w:lang w:eastAsia="zh-CN"/>
        </w:rPr>
        <w:t>确定</w:t>
      </w:r>
      <w:r w:rsidR="00B20272" w:rsidRPr="00B20272">
        <w:rPr>
          <w:rFonts w:hint="eastAsia"/>
          <w:szCs w:val="24"/>
          <w:lang w:eastAsia="zh-CN"/>
        </w:rPr>
        <w:t>未来信息社会</w:t>
      </w:r>
      <w:r w:rsidR="004952E4" w:rsidRPr="00B20272">
        <w:rPr>
          <w:rFonts w:hint="eastAsia"/>
          <w:szCs w:val="24"/>
          <w:lang w:eastAsia="zh-CN"/>
        </w:rPr>
        <w:t>和基础设施</w:t>
      </w:r>
      <w:r w:rsidR="00B20272" w:rsidRPr="00B20272">
        <w:rPr>
          <w:rFonts w:hint="eastAsia"/>
          <w:szCs w:val="24"/>
          <w:lang w:eastAsia="zh-CN"/>
        </w:rPr>
        <w:t>的</w:t>
      </w:r>
      <w:r w:rsidR="004952E4" w:rsidRPr="00B20272">
        <w:rPr>
          <w:rFonts w:hint="eastAsia"/>
          <w:szCs w:val="24"/>
          <w:lang w:eastAsia="zh-CN"/>
        </w:rPr>
        <w:t>愿景和</w:t>
      </w:r>
      <w:r w:rsidR="00B20272" w:rsidRPr="00B20272">
        <w:rPr>
          <w:rFonts w:hint="eastAsia"/>
          <w:szCs w:val="24"/>
          <w:lang w:eastAsia="zh-CN"/>
        </w:rPr>
        <w:t>形式</w:t>
      </w:r>
      <w:r w:rsidR="004952E4">
        <w:rPr>
          <w:rFonts w:hint="eastAsia"/>
          <w:szCs w:val="24"/>
          <w:lang w:eastAsia="zh-CN"/>
        </w:rPr>
        <w:t>；</w:t>
      </w:r>
    </w:p>
    <w:p w:rsidR="00127C8B" w:rsidRPr="00F932FD" w:rsidRDefault="00127C8B" w:rsidP="000E6B0A">
      <w:pPr>
        <w:pStyle w:val="enumlev1"/>
        <w:rPr>
          <w:lang w:val="en-US" w:eastAsia="zh-CN"/>
        </w:rPr>
      </w:pPr>
      <w:r w:rsidRPr="00461135">
        <w:rPr>
          <w:lang w:val="en-US" w:eastAsia="zh-CN"/>
        </w:rPr>
        <w:t>•</w:t>
      </w:r>
      <w:r>
        <w:rPr>
          <w:lang w:val="en-US" w:eastAsia="zh-CN"/>
        </w:rPr>
        <w:tab/>
      </w:r>
      <w:r w:rsidR="004952E4" w:rsidRPr="00B20272">
        <w:rPr>
          <w:rFonts w:hint="eastAsia"/>
          <w:szCs w:val="24"/>
          <w:lang w:eastAsia="zh-CN"/>
        </w:rPr>
        <w:t>确定标准</w:t>
      </w:r>
      <w:r w:rsidR="002A51C2">
        <w:rPr>
          <w:rFonts w:hint="eastAsia"/>
          <w:szCs w:val="24"/>
          <w:lang w:eastAsia="zh-CN"/>
        </w:rPr>
        <w:t>制定</w:t>
      </w:r>
      <w:r w:rsidR="004952E4" w:rsidRPr="00B20272">
        <w:rPr>
          <w:rFonts w:hint="eastAsia"/>
          <w:szCs w:val="24"/>
          <w:lang w:eastAsia="zh-CN"/>
        </w:rPr>
        <w:t>工作</w:t>
      </w:r>
      <w:r w:rsidR="002A51C2">
        <w:rPr>
          <w:rFonts w:hint="eastAsia"/>
          <w:szCs w:val="24"/>
          <w:lang w:eastAsia="zh-CN"/>
        </w:rPr>
        <w:t>条件成熟的领域</w:t>
      </w:r>
      <w:r w:rsidR="004952E4" w:rsidRPr="00B20272">
        <w:rPr>
          <w:rFonts w:hint="eastAsia"/>
          <w:szCs w:val="24"/>
          <w:lang w:eastAsia="zh-CN"/>
        </w:rPr>
        <w:t>，以实现未来信任和</w:t>
      </w:r>
      <w:r w:rsidR="002A51C2">
        <w:rPr>
          <w:rFonts w:hint="eastAsia"/>
          <w:szCs w:val="24"/>
          <w:lang w:eastAsia="zh-CN"/>
        </w:rPr>
        <w:t>知识</w:t>
      </w:r>
      <w:r w:rsidR="002A51C2" w:rsidRPr="00F932FD">
        <w:rPr>
          <w:lang w:val="en-US" w:eastAsia="zh-CN"/>
        </w:rPr>
        <w:t>ICT</w:t>
      </w:r>
      <w:r w:rsidR="004952E4" w:rsidRPr="00B20272">
        <w:rPr>
          <w:rFonts w:hint="eastAsia"/>
          <w:szCs w:val="24"/>
          <w:lang w:eastAsia="zh-CN"/>
        </w:rPr>
        <w:t>基础设施</w:t>
      </w:r>
      <w:r w:rsidR="00436FEB">
        <w:rPr>
          <w:rFonts w:hint="eastAsia"/>
          <w:szCs w:val="24"/>
          <w:lang w:eastAsia="zh-CN"/>
        </w:rPr>
        <w:t>。</w:t>
      </w:r>
    </w:p>
    <w:p w:rsidR="00B20272" w:rsidRPr="001C00E5" w:rsidRDefault="00436FEB" w:rsidP="000E6B0A">
      <w:pPr>
        <w:ind w:firstLineChars="200" w:firstLine="480"/>
        <w:rPr>
          <w:szCs w:val="24"/>
          <w:lang w:eastAsia="zh-CN"/>
        </w:rPr>
      </w:pPr>
      <w:r>
        <w:rPr>
          <w:rFonts w:cs="Segoe UI" w:hint="eastAsia"/>
          <w:color w:val="000000"/>
          <w:szCs w:val="24"/>
          <w:lang w:eastAsia="zh-CN"/>
        </w:rPr>
        <w:lastRenderedPageBreak/>
        <w:t>从对所述议题感兴趣的普通大众到</w:t>
      </w:r>
      <w:r w:rsidRPr="00B20272">
        <w:rPr>
          <w:rFonts w:hint="eastAsia"/>
          <w:szCs w:val="24"/>
          <w:lang w:eastAsia="zh-CN"/>
        </w:rPr>
        <w:t>能够</w:t>
      </w:r>
      <w:r>
        <w:rPr>
          <w:rFonts w:hint="eastAsia"/>
          <w:szCs w:val="24"/>
          <w:lang w:eastAsia="zh-CN"/>
        </w:rPr>
        <w:t>为这一新概念各</w:t>
      </w:r>
      <w:r w:rsidRPr="00B20272">
        <w:rPr>
          <w:rFonts w:hint="eastAsia"/>
          <w:szCs w:val="24"/>
          <w:lang w:eastAsia="zh-CN"/>
        </w:rPr>
        <w:t>方面</w:t>
      </w:r>
      <w:r>
        <w:rPr>
          <w:rFonts w:hint="eastAsia"/>
          <w:szCs w:val="24"/>
          <w:lang w:eastAsia="zh-CN"/>
        </w:rPr>
        <w:t>的发展助一臂之力的专家，</w:t>
      </w:r>
      <w:r w:rsidR="002A51C2">
        <w:rPr>
          <w:rFonts w:cs="Segoe UI" w:hint="eastAsia"/>
          <w:color w:val="000000"/>
          <w:szCs w:val="24"/>
          <w:lang w:eastAsia="zh-CN"/>
        </w:rPr>
        <w:t>此次讲习班目标受众</w:t>
      </w:r>
      <w:r>
        <w:rPr>
          <w:rFonts w:cs="Segoe UI" w:hint="eastAsia"/>
          <w:color w:val="000000"/>
          <w:szCs w:val="24"/>
          <w:lang w:eastAsia="zh-CN"/>
        </w:rPr>
        <w:t>非常</w:t>
      </w:r>
      <w:r w:rsidR="002A51C2">
        <w:rPr>
          <w:rFonts w:cs="Segoe UI" w:hint="eastAsia"/>
          <w:color w:val="000000"/>
          <w:szCs w:val="24"/>
          <w:lang w:eastAsia="zh-CN"/>
        </w:rPr>
        <w:t>广泛</w:t>
      </w:r>
      <w:r w:rsidR="00B20272" w:rsidRPr="00B20272">
        <w:rPr>
          <w:rFonts w:hint="eastAsia"/>
          <w:szCs w:val="24"/>
          <w:lang w:eastAsia="zh-CN"/>
        </w:rPr>
        <w:t>。</w:t>
      </w:r>
    </w:p>
    <w:p w:rsidR="00127C8B" w:rsidRDefault="00127C8B" w:rsidP="006D6897">
      <w:pPr>
        <w:rPr>
          <w:lang w:eastAsia="zh-CN"/>
        </w:rPr>
      </w:pPr>
      <w:r>
        <w:rPr>
          <w:lang w:eastAsia="zh-CN"/>
        </w:rPr>
        <w:t>5</w:t>
      </w:r>
      <w:r>
        <w:rPr>
          <w:lang w:eastAsia="zh-CN"/>
        </w:rPr>
        <w:tab/>
      </w:r>
      <w:r w:rsidR="002A51C2">
        <w:rPr>
          <w:rFonts w:hint="eastAsia"/>
          <w:lang w:eastAsia="zh-CN"/>
        </w:rPr>
        <w:t>讲习班</w:t>
      </w:r>
      <w:r>
        <w:rPr>
          <w:rFonts w:hint="eastAsia"/>
          <w:lang w:eastAsia="zh-CN"/>
        </w:rPr>
        <w:t>的议程草案见本</w:t>
      </w:r>
      <w:r w:rsidR="002A51C2">
        <w:rPr>
          <w:rFonts w:hint="eastAsia"/>
          <w:lang w:eastAsia="zh-CN"/>
        </w:rPr>
        <w:t>邀请函</w:t>
      </w:r>
      <w:r w:rsidRPr="00180EF1">
        <w:rPr>
          <w:rFonts w:hint="eastAsia"/>
          <w:b/>
          <w:bCs/>
          <w:lang w:eastAsia="zh-CN"/>
        </w:rPr>
        <w:t>附件</w:t>
      </w:r>
      <w:r>
        <w:rPr>
          <w:rFonts w:hint="eastAsia"/>
          <w:b/>
          <w:bCs/>
          <w:lang w:eastAsia="zh-CN"/>
        </w:rPr>
        <w:t>1</w:t>
      </w:r>
      <w:r w:rsidR="002A51C2" w:rsidRPr="002A51C2">
        <w:rPr>
          <w:rFonts w:hint="eastAsia"/>
          <w:lang w:eastAsia="zh-CN"/>
        </w:rPr>
        <w:t>以及</w:t>
      </w:r>
      <w:r>
        <w:rPr>
          <w:lang w:eastAsia="zh-CN"/>
        </w:rPr>
        <w:t>ITU-T</w:t>
      </w:r>
      <w:r w:rsidR="002A51C2">
        <w:rPr>
          <w:rFonts w:hint="eastAsia"/>
          <w:lang w:eastAsia="zh-CN"/>
        </w:rPr>
        <w:t>网站：</w:t>
      </w:r>
      <w:r w:rsidR="00A6428E">
        <w:fldChar w:fldCharType="begin"/>
      </w:r>
      <w:r w:rsidR="00A6428E">
        <w:instrText xml:space="preserve"> HYPERLINK "http://www.itu.int/en/ITU-T/Workshops-and-Seminars/24042015/Pages/default.aspx" </w:instrText>
      </w:r>
      <w:r w:rsidR="00A6428E">
        <w:fldChar w:fldCharType="separate"/>
      </w:r>
      <w:r>
        <w:rPr>
          <w:rStyle w:val="Hyperlink"/>
          <w:lang w:eastAsia="zh-CN"/>
        </w:rPr>
        <w:t>http://www.itu.int/en/ITU-T/Workshops-and-Seminars/24042015/Pages/default.aspx</w:t>
      </w:r>
      <w:r w:rsidR="00A6428E">
        <w:rPr>
          <w:rStyle w:val="Hyperlink"/>
          <w:lang w:eastAsia="zh-CN"/>
        </w:rPr>
        <w:fldChar w:fldCharType="end"/>
      </w:r>
      <w:r w:rsidR="002A51C2">
        <w:rPr>
          <w:rFonts w:hint="eastAsia"/>
          <w:color w:val="1F497D"/>
          <w:lang w:eastAsia="zh-CN"/>
        </w:rPr>
        <w:t>。</w:t>
      </w:r>
      <w:r w:rsidRPr="003F4BCB">
        <w:rPr>
          <w:rFonts w:ascii="Calibri" w:hAnsi="Calibri"/>
          <w:color w:val="000000"/>
          <w:lang w:eastAsia="zh-CN"/>
        </w:rPr>
        <w:t>该网站将随时更新</w:t>
      </w:r>
      <w:r w:rsidR="006D6897">
        <w:rPr>
          <w:rFonts w:ascii="Calibri" w:hAnsi="Calibri" w:hint="eastAsia"/>
          <w:color w:val="000000"/>
          <w:lang w:eastAsia="zh-CN"/>
        </w:rPr>
        <w:t>、</w:t>
      </w:r>
      <w:r w:rsidRPr="003F4BCB">
        <w:rPr>
          <w:rFonts w:ascii="Calibri" w:hAnsi="Calibri"/>
          <w:color w:val="000000"/>
          <w:lang w:eastAsia="zh-CN"/>
        </w:rPr>
        <w:t>增添或修改信息。</w:t>
      </w:r>
      <w:r w:rsidR="002A51C2">
        <w:rPr>
          <w:rFonts w:ascii="Calibri" w:hAnsi="Calibri" w:hint="eastAsia"/>
          <w:color w:val="000000"/>
          <w:lang w:eastAsia="zh-CN"/>
        </w:rPr>
        <w:t>请与会者定期查</w:t>
      </w:r>
      <w:r w:rsidR="00F87B61">
        <w:rPr>
          <w:rFonts w:ascii="Calibri" w:hAnsi="Calibri" w:hint="eastAsia"/>
          <w:color w:val="000000"/>
          <w:lang w:eastAsia="zh-CN"/>
        </w:rPr>
        <w:t>看最新信息。</w:t>
      </w:r>
    </w:p>
    <w:p w:rsidR="00127C8B" w:rsidRDefault="00127C8B" w:rsidP="006D6897">
      <w:pPr>
        <w:tabs>
          <w:tab w:val="left" w:pos="1418"/>
          <w:tab w:val="left" w:pos="1702"/>
          <w:tab w:val="left" w:pos="2160"/>
        </w:tabs>
        <w:ind w:right="92"/>
        <w:rPr>
          <w:lang w:eastAsia="zh-CN"/>
        </w:rPr>
      </w:pPr>
      <w:r>
        <w:rPr>
          <w:lang w:eastAsia="zh-CN"/>
        </w:rPr>
        <w:t>6</w:t>
      </w:r>
      <w:r>
        <w:rPr>
          <w:lang w:eastAsia="zh-CN"/>
        </w:rPr>
        <w:tab/>
      </w:r>
      <w:r w:rsidRPr="00E1779A">
        <w:rPr>
          <w:rFonts w:hint="eastAsia"/>
          <w:lang w:val="en-US" w:eastAsia="zh-CN"/>
        </w:rPr>
        <w:t>国际电联的主要会议厅内均设有无线局域网设施，供代表使用。详细信息见</w:t>
      </w:r>
      <w:r w:rsidRPr="00E1779A">
        <w:rPr>
          <w:rFonts w:hint="eastAsia"/>
          <w:lang w:val="en-US" w:eastAsia="zh-CN"/>
        </w:rPr>
        <w:t>ITU-T</w:t>
      </w:r>
      <w:r w:rsidRPr="00E1779A">
        <w:rPr>
          <w:rFonts w:hint="eastAsia"/>
          <w:lang w:val="en-US" w:eastAsia="zh-CN"/>
        </w:rPr>
        <w:t>网站</w:t>
      </w:r>
      <w:r>
        <w:rPr>
          <w:rFonts w:hint="eastAsia"/>
          <w:szCs w:val="24"/>
          <w:lang w:eastAsia="zh-CN"/>
        </w:rPr>
        <w:t>（</w:t>
      </w:r>
      <w:hyperlink r:id="rId12" w:history="1">
        <w:r w:rsidRPr="00C868BD">
          <w:rPr>
            <w:rStyle w:val="Hyperlink"/>
            <w:szCs w:val="24"/>
            <w:lang w:eastAsia="zh-CN"/>
          </w:rPr>
          <w:t>http://www.itu.int/ITU-T/edh/faqs-support.html</w:t>
        </w:r>
      </w:hyperlink>
      <w:r>
        <w:rPr>
          <w:rFonts w:hint="eastAsia"/>
          <w:szCs w:val="24"/>
          <w:lang w:eastAsia="zh-CN"/>
        </w:rPr>
        <w:t>）</w:t>
      </w:r>
      <w:r w:rsidRPr="00C868BD">
        <w:rPr>
          <w:rFonts w:hint="eastAsia"/>
          <w:szCs w:val="24"/>
          <w:lang w:eastAsia="zh-CN"/>
        </w:rPr>
        <w:t>。</w:t>
      </w:r>
    </w:p>
    <w:p w:rsidR="00127C8B" w:rsidRDefault="00127C8B" w:rsidP="000E6B0A">
      <w:pPr>
        <w:tabs>
          <w:tab w:val="left" w:pos="1418"/>
          <w:tab w:val="left" w:pos="1702"/>
          <w:tab w:val="left" w:pos="2160"/>
        </w:tabs>
        <w:ind w:right="92"/>
      </w:pPr>
      <w:r>
        <w:t>7</w:t>
      </w:r>
      <w:r>
        <w:tab/>
      </w:r>
      <w:r>
        <w:rPr>
          <w:rFonts w:hint="eastAsia"/>
          <w:b/>
          <w:bCs/>
          <w:szCs w:val="23"/>
          <w:lang w:eastAsia="zh-CN"/>
        </w:rPr>
        <w:t>附件</w:t>
      </w:r>
      <w:r>
        <w:rPr>
          <w:b/>
          <w:bCs/>
          <w:szCs w:val="23"/>
          <w:lang w:eastAsia="zh-CN"/>
        </w:rPr>
        <w:t>2</w:t>
      </w:r>
      <w:r>
        <w:rPr>
          <w:rFonts w:hint="eastAsia"/>
          <w:szCs w:val="23"/>
          <w:lang w:eastAsia="zh-CN"/>
        </w:rPr>
        <w:t>中有一份酒店确认单（酒店清单见</w:t>
      </w:r>
      <w:r w:rsidR="00A6428E">
        <w:fldChar w:fldCharType="begin"/>
      </w:r>
      <w:r w:rsidR="00A6428E">
        <w:instrText xml:space="preserve"> HYPERLINK "http://www.itu.int/travel/" </w:instrText>
      </w:r>
      <w:r w:rsidR="00A6428E">
        <w:fldChar w:fldCharType="separate"/>
      </w:r>
      <w:r w:rsidRPr="006609BF">
        <w:rPr>
          <w:rStyle w:val="Hyperlink"/>
          <w:szCs w:val="23"/>
          <w:lang w:eastAsia="zh-CN"/>
        </w:rPr>
        <w:t>http://www.itu.int/travel/</w:t>
      </w:r>
      <w:r w:rsidR="00A6428E">
        <w:rPr>
          <w:rStyle w:val="Hyperlink"/>
          <w:szCs w:val="23"/>
          <w:lang w:eastAsia="zh-CN"/>
        </w:rPr>
        <w:fldChar w:fldCharType="end"/>
      </w:r>
      <w:r>
        <w:rPr>
          <w:rFonts w:hint="eastAsia"/>
          <w:szCs w:val="23"/>
          <w:lang w:eastAsia="zh-CN"/>
        </w:rPr>
        <w:t>）</w:t>
      </w:r>
      <w:r>
        <w:rPr>
          <w:rFonts w:hint="eastAsia"/>
          <w:szCs w:val="23"/>
          <w:lang w:val="en-US" w:eastAsia="zh-CN"/>
        </w:rPr>
        <w:t>，</w:t>
      </w:r>
      <w:r>
        <w:rPr>
          <w:rFonts w:hint="eastAsia"/>
          <w:szCs w:val="23"/>
          <w:lang w:eastAsia="zh-CN"/>
        </w:rPr>
        <w:t>供参考。</w:t>
      </w:r>
    </w:p>
    <w:p w:rsidR="00127C8B" w:rsidRPr="00C932AC" w:rsidRDefault="00127C8B" w:rsidP="006D6897">
      <w:pPr>
        <w:pStyle w:val="Index1"/>
        <w:rPr>
          <w:b/>
          <w:bCs/>
          <w:lang w:eastAsia="zh-CN"/>
        </w:rPr>
      </w:pPr>
      <w:r>
        <w:t>8</w:t>
      </w:r>
      <w:r>
        <w:tab/>
      </w:r>
      <w:r w:rsidR="006D6897">
        <w:rPr>
          <w:rFonts w:hint="eastAsia"/>
          <w:lang w:eastAsia="zh-CN"/>
        </w:rPr>
        <w:t>为便于电信标准化局就讲习班的组织做出必要安排，</w:t>
      </w:r>
      <w:r>
        <w:rPr>
          <w:rFonts w:hint="eastAsia"/>
          <w:lang w:eastAsia="zh-CN"/>
        </w:rPr>
        <w:t>希望您能通过</w:t>
      </w:r>
      <w:hyperlink r:id="rId13" w:history="1">
        <w:r>
          <w:rPr>
            <w:rStyle w:val="Hyperlink"/>
          </w:rPr>
          <w:t>http://www.itu.int/en/ITU-T/Workshops-and-Seminars/24042015/Pages/default.aspx</w:t>
        </w:r>
      </w:hyperlink>
      <w:r>
        <w:rPr>
          <w:rFonts w:hint="eastAsia"/>
          <w:lang w:eastAsia="zh-CN"/>
        </w:rPr>
        <w:t>网址</w:t>
      </w:r>
      <w:r>
        <w:rPr>
          <w:rFonts w:hint="eastAsia"/>
          <w:lang w:val="en-US" w:eastAsia="zh-CN"/>
        </w:rPr>
        <w:t>以</w:t>
      </w:r>
      <w:r>
        <w:rPr>
          <w:rFonts w:hint="eastAsia"/>
          <w:lang w:eastAsia="zh-CN"/>
        </w:rPr>
        <w:t>在线形式尽早、</w:t>
      </w:r>
      <w:r w:rsidRPr="00461135">
        <w:rPr>
          <w:rFonts w:hint="eastAsia"/>
          <w:b/>
          <w:bCs/>
          <w:lang w:eastAsia="zh-CN"/>
        </w:rPr>
        <w:t>但不迟于</w:t>
      </w:r>
      <w:r w:rsidRPr="00461135">
        <w:rPr>
          <w:rFonts w:hint="eastAsia"/>
          <w:b/>
          <w:bCs/>
          <w:lang w:eastAsia="zh-CN"/>
        </w:rPr>
        <w:t>2</w:t>
      </w:r>
      <w:r w:rsidRPr="00461135">
        <w:rPr>
          <w:b/>
          <w:bCs/>
          <w:lang w:eastAsia="zh-CN"/>
        </w:rPr>
        <w:t>015</w:t>
      </w:r>
      <w:r w:rsidRPr="00461135">
        <w:rPr>
          <w:rFonts w:hint="eastAsia"/>
          <w:b/>
          <w:bCs/>
          <w:lang w:eastAsia="zh-CN"/>
        </w:rPr>
        <w:t>年</w:t>
      </w:r>
      <w:r w:rsidRPr="00461135">
        <w:rPr>
          <w:rFonts w:hint="eastAsia"/>
          <w:b/>
          <w:bCs/>
          <w:lang w:eastAsia="zh-CN"/>
        </w:rPr>
        <w:t>4</w:t>
      </w:r>
      <w:r w:rsidRPr="00461135">
        <w:rPr>
          <w:rFonts w:hint="eastAsia"/>
          <w:b/>
          <w:bCs/>
          <w:lang w:eastAsia="zh-CN"/>
        </w:rPr>
        <w:t>月</w:t>
      </w:r>
      <w:r w:rsidRPr="00461135">
        <w:rPr>
          <w:rFonts w:hint="eastAsia"/>
          <w:b/>
          <w:bCs/>
          <w:lang w:eastAsia="zh-CN"/>
        </w:rPr>
        <w:t>7</w:t>
      </w:r>
      <w:r w:rsidRPr="00461135">
        <w:rPr>
          <w:rFonts w:hint="eastAsia"/>
          <w:b/>
          <w:bCs/>
          <w:lang w:eastAsia="zh-CN"/>
        </w:rPr>
        <w:t>日进行注册。</w:t>
      </w:r>
      <w:r>
        <w:rPr>
          <w:rFonts w:hint="eastAsia"/>
          <w:b/>
          <w:bCs/>
          <w:lang w:eastAsia="zh-CN"/>
        </w:rPr>
        <w:t>请注意，讲习班与会者的预注册仅以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r w:rsidRPr="003F4BCB">
        <w:rPr>
          <w:rFonts w:ascii="Calibri" w:hAnsi="Calibri" w:hint="eastAsia"/>
          <w:b/>
          <w:bCs/>
          <w:lang w:eastAsia="zh-CN"/>
        </w:rPr>
        <w:t>也将提供远程参会服务。详细信息将适时在活动网站上公布。</w:t>
      </w:r>
    </w:p>
    <w:p w:rsidR="00127C8B" w:rsidRDefault="00127C8B" w:rsidP="000E6B0A">
      <w:pPr>
        <w:pStyle w:val="BodyText2"/>
        <w:rPr>
          <w:rFonts w:ascii="Calibri" w:eastAsia="SimSun" w:hAnsi="Calibri"/>
          <w:lang w:eastAsia="zh-CN"/>
        </w:rPr>
      </w:pPr>
      <w:r w:rsidRPr="00127C8B">
        <w:rPr>
          <w:rFonts w:ascii="Calibri" w:eastAsia="SimSun" w:hAnsi="Calibri"/>
          <w:lang w:eastAsia="zh-CN"/>
        </w:rPr>
        <w:t>9</w:t>
      </w:r>
      <w:r w:rsidRPr="00127C8B">
        <w:rPr>
          <w:rFonts w:ascii="Calibri" w:eastAsia="SimSun" w:hAnsi="Calibri"/>
          <w:lang w:eastAsia="zh-CN"/>
        </w:rPr>
        <w:tab/>
      </w:r>
      <w:r w:rsidRPr="00127C8B">
        <w:rPr>
          <w:rFonts w:ascii="Calibri" w:eastAsia="SimSun" w:hAnsi="Calibri"/>
          <w:lang w:eastAsia="zh-CN"/>
        </w:rPr>
        <w:t>我</w:t>
      </w:r>
      <w:r w:rsidRPr="00127C8B">
        <w:rPr>
          <w:rFonts w:ascii="Calibri" w:eastAsia="SimSun" w:hAnsi="Calibri" w:cs="Microsoft YaHei"/>
          <w:lang w:eastAsia="zh-CN"/>
        </w:rPr>
        <w:t>谨</w:t>
      </w:r>
      <w:r w:rsidRPr="00127C8B">
        <w:rPr>
          <w:rFonts w:ascii="Calibri" w:eastAsia="SimSun" w:hAnsi="Calibri"/>
          <w:lang w:eastAsia="zh-CN"/>
        </w:rPr>
        <w:t>在此提醒您，一些国家的公民需要获得签证才能入境瑞士并在此逗留。</w:t>
      </w:r>
      <w:r w:rsidRPr="007C6F52">
        <w:rPr>
          <w:rFonts w:ascii="Calibri" w:eastAsia="SimSun" w:hAnsi="Calibri" w:cs="Microsoft YaHei"/>
          <w:b/>
          <w:bCs/>
          <w:lang w:eastAsia="zh-CN"/>
        </w:rPr>
        <w:t>签证必须至少在会议召开日的四（</w:t>
      </w:r>
      <w:r w:rsidRPr="007C6F52">
        <w:rPr>
          <w:rFonts w:ascii="Calibri" w:eastAsia="SimSun" w:hAnsi="Calibri"/>
          <w:b/>
          <w:bCs/>
          <w:lang w:eastAsia="zh-CN"/>
        </w:rPr>
        <w:t>4</w:t>
      </w:r>
      <w:r w:rsidRPr="007C6F52">
        <w:rPr>
          <w:rFonts w:ascii="Calibri" w:eastAsia="SimSun" w:hAnsi="Calibri" w:cs="Microsoft YaHei"/>
          <w:b/>
          <w:bCs/>
          <w:lang w:eastAsia="zh-CN"/>
        </w:rPr>
        <w:t>）个星期前向驻贵国的瑞士代表机构（使馆或领事馆）申请，并随后领取</w:t>
      </w:r>
      <w:r w:rsidRPr="00127C8B">
        <w:rPr>
          <w:rFonts w:ascii="Calibri" w:eastAsia="SimSun" w:hAnsi="Calibri" w:cs="Microsoft YaHei"/>
          <w:lang w:eastAsia="zh-CN"/>
        </w:rPr>
        <w:t>。</w:t>
      </w:r>
      <w:r w:rsidRPr="00127C8B">
        <w:rPr>
          <w:rFonts w:ascii="Calibri" w:eastAsia="SimSun" w:hAnsi="Calibri"/>
          <w:lang w:eastAsia="zh-CN"/>
        </w:rPr>
        <w:t>如贵国没有此类机构，则请向驻离贵国最近的国家的此类机构申请并领取</w:t>
      </w:r>
    </w:p>
    <w:p w:rsidR="00127C8B" w:rsidRPr="00127C8B" w:rsidRDefault="00127C8B" w:rsidP="006D6897">
      <w:pPr>
        <w:pStyle w:val="BodyText2"/>
        <w:ind w:firstLineChars="200" w:firstLine="480"/>
        <w:rPr>
          <w:rFonts w:ascii="Calibri" w:eastAsia="SimSun" w:hAnsi="Calibri"/>
          <w:lang w:eastAsia="zh-CN"/>
        </w:rPr>
      </w:pPr>
      <w:r w:rsidRPr="00127C8B">
        <w:rPr>
          <w:rFonts w:eastAsia="SimSun" w:hint="eastAsia"/>
          <w:szCs w:val="23"/>
          <w:lang w:eastAsia="zh-CN"/>
        </w:rPr>
        <w:t>如果</w:t>
      </w:r>
      <w:r w:rsidRPr="00127C8B">
        <w:rPr>
          <w:rFonts w:eastAsia="SimSun" w:hint="eastAsia"/>
          <w:b/>
          <w:bCs/>
          <w:szCs w:val="23"/>
          <w:lang w:eastAsia="zh-CN"/>
        </w:rPr>
        <w:t>国际电联成员国、部门成员、部门准成员或学术机构</w:t>
      </w:r>
      <w:r w:rsidRPr="00127C8B">
        <w:rPr>
          <w:rFonts w:eastAsia="SimSun" w:hint="eastAsia"/>
          <w:szCs w:val="23"/>
          <w:lang w:eastAsia="zh-CN"/>
        </w:rPr>
        <w:t>遇到了问题，国际电联可根据他们向电信标准化局提出的正式请求与相关瑞士当局接触，以便为发放签证提供方便，但仅限于在所述的四个星期内办理。此类请求必须</w:t>
      </w:r>
      <w:r w:rsidRPr="00127C8B">
        <w:rPr>
          <w:rFonts w:eastAsia="SimSun"/>
          <w:szCs w:val="23"/>
          <w:lang w:eastAsia="zh-CN"/>
        </w:rPr>
        <w:t>通过您所代表的主管部门或公司发出的正式信函</w:t>
      </w:r>
      <w:r w:rsidRPr="00127C8B">
        <w:rPr>
          <w:rFonts w:eastAsia="SimSun" w:hint="eastAsia"/>
          <w:szCs w:val="23"/>
          <w:lang w:eastAsia="zh-CN"/>
        </w:rPr>
        <w:t>提出。</w:t>
      </w:r>
      <w:r w:rsidRPr="00127C8B">
        <w:rPr>
          <w:rFonts w:eastAsia="SimSun"/>
          <w:szCs w:val="23"/>
          <w:lang w:eastAsia="zh-CN"/>
        </w:rPr>
        <w:t>该函必须</w:t>
      </w:r>
      <w:r w:rsidRPr="00127C8B">
        <w:rPr>
          <w:rFonts w:eastAsia="SimSun" w:hint="eastAsia"/>
          <w:szCs w:val="23"/>
          <w:lang w:eastAsia="zh-CN"/>
        </w:rPr>
        <w:t>说明申请签证人员的姓名和职务、出生日期、护照号码以及护照颁发日期和截止日期，并需附有一份经</w:t>
      </w:r>
      <w:r w:rsidRPr="00127C8B">
        <w:rPr>
          <w:rFonts w:eastAsia="SimSun"/>
          <w:szCs w:val="23"/>
          <w:lang w:eastAsia="zh-CN"/>
        </w:rPr>
        <w:t>ITU-T</w:t>
      </w:r>
      <w:r w:rsidRPr="00127C8B">
        <w:rPr>
          <w:rFonts w:eastAsia="SimSun" w:hint="eastAsia"/>
          <w:szCs w:val="23"/>
          <w:lang w:eastAsia="zh-CN"/>
        </w:rPr>
        <w:t>所述讲习班批准的注册确认通知，而且必须通过传真（传真号码：</w:t>
      </w:r>
      <w:r w:rsidRPr="00127C8B">
        <w:rPr>
          <w:rFonts w:eastAsia="SimSun" w:hint="eastAsia"/>
          <w:szCs w:val="23"/>
          <w:lang w:eastAsia="zh-CN"/>
        </w:rPr>
        <w:t>+41 22 730 5853</w:t>
      </w:r>
      <w:r w:rsidRPr="00127C8B">
        <w:rPr>
          <w:rFonts w:eastAsia="SimSun" w:hint="eastAsia"/>
          <w:szCs w:val="23"/>
          <w:lang w:eastAsia="zh-CN"/>
        </w:rPr>
        <w:t>）或电子邮件（</w:t>
      </w:r>
      <w:r w:rsidR="00A6428E">
        <w:fldChar w:fldCharType="begin"/>
      </w:r>
      <w:r w:rsidR="00A6428E">
        <w:instrText xml:space="preserve"> HYPERLINK "mailto:tsbreg@itu.int" </w:instrText>
      </w:r>
      <w:r w:rsidR="00A6428E">
        <w:fldChar w:fldCharType="separate"/>
      </w:r>
      <w:r w:rsidRPr="00BC75EE">
        <w:rPr>
          <w:rStyle w:val="Hyperlink"/>
          <w:rFonts w:hint="eastAsia"/>
          <w:lang w:eastAsia="zh-CN"/>
        </w:rPr>
        <w:t>tsbreg@itu.int</w:t>
      </w:r>
      <w:r w:rsidR="00A6428E">
        <w:rPr>
          <w:rStyle w:val="Hyperlink"/>
          <w:lang w:eastAsia="zh-CN"/>
        </w:rPr>
        <w:fldChar w:fldCharType="end"/>
      </w:r>
      <w:r w:rsidRPr="00127C8B">
        <w:rPr>
          <w:rFonts w:eastAsia="SimSun" w:hint="eastAsia"/>
          <w:szCs w:val="23"/>
          <w:lang w:eastAsia="zh-CN"/>
        </w:rPr>
        <w:t>）发至电信标准化局，上面注明</w:t>
      </w:r>
      <w:r w:rsidRPr="00127C8B">
        <w:rPr>
          <w:rFonts w:eastAsia="SimSun" w:hint="eastAsia"/>
          <w:b/>
          <w:bCs/>
          <w:szCs w:val="23"/>
          <w:lang w:eastAsia="zh-CN"/>
        </w:rPr>
        <w:t>“</w:t>
      </w:r>
      <w:r w:rsidRPr="00127C8B">
        <w:rPr>
          <w:rFonts w:eastAsia="SimSun" w:hint="eastAsia"/>
          <w:b/>
          <w:bCs/>
          <w:szCs w:val="23"/>
          <w:lang w:eastAsia="zh-CN"/>
        </w:rPr>
        <w:t>visa request</w:t>
      </w:r>
      <w:r w:rsidRPr="00127C8B">
        <w:rPr>
          <w:rFonts w:eastAsia="SimSun" w:hint="eastAsia"/>
          <w:b/>
          <w:bCs/>
          <w:szCs w:val="23"/>
          <w:lang w:eastAsia="zh-CN"/>
        </w:rPr>
        <w:t>”（“签证申请”）。</w:t>
      </w:r>
      <w:r w:rsidRPr="006D6897">
        <w:rPr>
          <w:rFonts w:eastAsia="SimSun" w:hint="eastAsia"/>
          <w:b/>
          <w:bCs/>
          <w:szCs w:val="23"/>
          <w:u w:val="single"/>
          <w:lang w:eastAsia="zh-CN"/>
        </w:rPr>
        <w:t>另请注意，国际电联仅能向国际电联成员国、国际电联部门成员、国际电联部门准成员和</w:t>
      </w:r>
      <w:r w:rsidR="006D6897" w:rsidRPr="006D6897">
        <w:rPr>
          <w:rFonts w:eastAsia="SimSun" w:hint="eastAsia"/>
          <w:b/>
          <w:bCs/>
          <w:szCs w:val="23"/>
          <w:u w:val="single"/>
          <w:lang w:eastAsia="zh-CN"/>
        </w:rPr>
        <w:t>国际电联</w:t>
      </w:r>
      <w:r w:rsidRPr="006D6897">
        <w:rPr>
          <w:rFonts w:eastAsia="SimSun" w:hint="eastAsia"/>
          <w:b/>
          <w:bCs/>
          <w:szCs w:val="23"/>
          <w:u w:val="single"/>
          <w:lang w:eastAsia="zh-CN"/>
        </w:rPr>
        <w:t>学术机构的代表提供帮助。</w:t>
      </w:r>
    </w:p>
    <w:p w:rsidR="00127C8B" w:rsidRDefault="00127C8B" w:rsidP="000E6B0A">
      <w:pPr>
        <w:rPr>
          <w:lang w:eastAsia="zh-CN"/>
        </w:rPr>
      </w:pPr>
    </w:p>
    <w:p w:rsidR="00127C8B" w:rsidRDefault="00127C8B" w:rsidP="000E6B0A">
      <w:pPr>
        <w:rPr>
          <w:lang w:eastAsia="zh-CN"/>
        </w:rPr>
      </w:pPr>
      <w:r w:rsidRPr="00C868BD">
        <w:rPr>
          <w:rFonts w:hint="eastAsia"/>
          <w:lang w:eastAsia="zh-CN"/>
        </w:rPr>
        <w:t>顺致敬意！</w:t>
      </w:r>
    </w:p>
    <w:p w:rsidR="00127C8B" w:rsidRDefault="00127C8B" w:rsidP="000E6B0A">
      <w:pPr>
        <w:rPr>
          <w:lang w:eastAsia="zh-CN"/>
        </w:rPr>
      </w:pPr>
      <w:bookmarkStart w:id="2" w:name="_GoBack"/>
      <w:bookmarkEnd w:id="2"/>
    </w:p>
    <w:p w:rsidR="007C6F52" w:rsidRDefault="007C6F52" w:rsidP="000E6B0A">
      <w:pPr>
        <w:rPr>
          <w:lang w:eastAsia="zh-CN"/>
        </w:rPr>
      </w:pPr>
    </w:p>
    <w:p w:rsidR="00127C8B" w:rsidRDefault="00127C8B" w:rsidP="00531538">
      <w:pPr>
        <w:tabs>
          <w:tab w:val="clear" w:pos="794"/>
          <w:tab w:val="left" w:pos="210"/>
        </w:tabs>
        <w:spacing w:before="480"/>
        <w:rPr>
          <w:rFonts w:ascii="SimSun" w:hAnsi="SimSun"/>
          <w:lang w:eastAsia="zh-CN"/>
        </w:rPr>
      </w:pPr>
      <w:r w:rsidRPr="00C868BD">
        <w:rPr>
          <w:rFonts w:hint="eastAsia"/>
          <w:lang w:eastAsia="zh-CN"/>
        </w:rPr>
        <w:t>电信标准化局主任</w:t>
      </w:r>
      <w:r>
        <w:rPr>
          <w:lang w:eastAsia="zh-CN"/>
        </w:rPr>
        <w:br/>
      </w:r>
      <w:r>
        <w:rPr>
          <w:rFonts w:ascii="SimSun" w:hAnsi="SimSun" w:hint="eastAsia"/>
          <w:lang w:eastAsia="zh-CN"/>
        </w:rPr>
        <w:t>李在摄</w:t>
      </w:r>
    </w:p>
    <w:p w:rsidR="00127C8B" w:rsidRDefault="00127C8B" w:rsidP="000E6B0A">
      <w:pPr>
        <w:tabs>
          <w:tab w:val="clear" w:pos="794"/>
          <w:tab w:val="left" w:pos="210"/>
        </w:tabs>
        <w:rPr>
          <w:rFonts w:ascii="SimSun" w:hAnsi="SimSun"/>
          <w:lang w:eastAsia="zh-CN"/>
        </w:rPr>
      </w:pPr>
    </w:p>
    <w:p w:rsidR="00127C8B" w:rsidRDefault="00127C8B" w:rsidP="000E6B0A">
      <w:pPr>
        <w:tabs>
          <w:tab w:val="clear" w:pos="794"/>
          <w:tab w:val="left" w:pos="210"/>
        </w:tabs>
        <w:rPr>
          <w:rFonts w:ascii="SimSun" w:hAnsi="SimSun"/>
          <w:lang w:eastAsia="zh-CN"/>
        </w:rPr>
      </w:pPr>
    </w:p>
    <w:p w:rsidR="00127C8B" w:rsidRDefault="00127C8B" w:rsidP="000E6B0A">
      <w:pPr>
        <w:tabs>
          <w:tab w:val="clear" w:pos="794"/>
          <w:tab w:val="left" w:pos="210"/>
        </w:tabs>
        <w:rPr>
          <w:rFonts w:ascii="SimSun" w:hAnsi="SimSun"/>
          <w:lang w:eastAsia="zh-CN"/>
        </w:rPr>
      </w:pPr>
    </w:p>
    <w:p w:rsidR="000068A6" w:rsidRPr="007C6F52" w:rsidRDefault="00127C8B" w:rsidP="000E6B0A">
      <w:pPr>
        <w:tabs>
          <w:tab w:val="clear" w:pos="794"/>
          <w:tab w:val="left" w:pos="210"/>
        </w:tabs>
        <w:rPr>
          <w:b/>
          <w:lang w:val="en-US" w:eastAsia="zh-CN"/>
        </w:rPr>
      </w:pPr>
      <w:r>
        <w:rPr>
          <w:rFonts w:hint="eastAsia"/>
          <w:b/>
          <w:lang w:val="en-US" w:eastAsia="zh-CN"/>
        </w:rPr>
        <w:t>附件：</w:t>
      </w:r>
      <w:bookmarkStart w:id="3" w:name="Duties"/>
      <w:bookmarkEnd w:id="3"/>
      <w:r w:rsidRPr="00037534">
        <w:rPr>
          <w:b/>
          <w:lang w:val="en-US"/>
        </w:rPr>
        <w:t>2</w:t>
      </w:r>
      <w:r w:rsidR="006D6897" w:rsidRPr="00037534">
        <w:rPr>
          <w:rFonts w:hint="eastAsia"/>
          <w:b/>
          <w:lang w:val="en-US" w:eastAsia="zh-CN"/>
        </w:rPr>
        <w:t>件</w:t>
      </w:r>
    </w:p>
    <w:p w:rsidR="00127C8B" w:rsidRDefault="00127C8B" w:rsidP="000E6B0A">
      <w:pPr>
        <w:tabs>
          <w:tab w:val="clear" w:pos="794"/>
          <w:tab w:val="clear" w:pos="1191"/>
          <w:tab w:val="clear" w:pos="1588"/>
          <w:tab w:val="clear" w:pos="1985"/>
        </w:tabs>
        <w:spacing w:before="0"/>
        <w:rPr>
          <w:lang w:eastAsia="zh-CN"/>
        </w:rPr>
      </w:pPr>
      <w:r>
        <w:rPr>
          <w:lang w:eastAsia="zh-CN"/>
        </w:rPr>
        <w:br w:type="page"/>
      </w:r>
    </w:p>
    <w:p w:rsidR="00127C8B" w:rsidRPr="00A961BD" w:rsidRDefault="00127C8B" w:rsidP="000E6B0A">
      <w:pPr>
        <w:jc w:val="center"/>
        <w:rPr>
          <w:b/>
          <w:bCs/>
          <w:color w:val="000000"/>
          <w:szCs w:val="24"/>
          <w:u w:val="single"/>
        </w:rPr>
      </w:pPr>
      <w:r>
        <w:rPr>
          <w:rStyle w:val="LineNumber"/>
        </w:rPr>
        <w:lastRenderedPageBreak/>
        <w:t>ANNEX 1</w:t>
      </w:r>
      <w:r>
        <w:rPr>
          <w:rStyle w:val="LineNumber"/>
        </w:rPr>
        <w:br/>
        <w:t>(to TSB Circular 142</w:t>
      </w:r>
      <w:proofErr w:type="gramStart"/>
      <w:r w:rsidRPr="00435404">
        <w:rPr>
          <w:rStyle w:val="LineNumber"/>
        </w:rPr>
        <w:t>)</w:t>
      </w:r>
      <w:proofErr w:type="gramEnd"/>
      <w:r w:rsidRPr="00435404">
        <w:rPr>
          <w:rStyle w:val="LineNumber"/>
        </w:rPr>
        <w:br/>
      </w:r>
      <w:r>
        <w:rPr>
          <w:b/>
          <w:bCs/>
          <w:u w:val="single"/>
        </w:rPr>
        <w:br/>
      </w:r>
      <w:r w:rsidRPr="00A961BD">
        <w:rPr>
          <w:b/>
          <w:bCs/>
          <w:u w:val="single"/>
        </w:rPr>
        <w:t xml:space="preserve">“Future Trust and Knowledge Infrastructure”, Phase 1 </w:t>
      </w:r>
      <w:r w:rsidRPr="00A961BD">
        <w:rPr>
          <w:b/>
          <w:bCs/>
          <w:u w:val="single"/>
        </w:rPr>
        <w:br/>
      </w:r>
    </w:p>
    <w:p w:rsidR="00127C8B" w:rsidRPr="00941BC3" w:rsidRDefault="00127C8B" w:rsidP="000E6B0A">
      <w:pPr>
        <w:shd w:val="clear" w:color="auto" w:fill="FFFFFF"/>
        <w:spacing w:before="100" w:after="100"/>
        <w:rPr>
          <w:rFonts w:cs="Segoe UI"/>
          <w:color w:val="000000"/>
          <w:szCs w:val="24"/>
          <w:u w:val="single"/>
          <w:lang w:val="en-US" w:eastAsia="zh-CN"/>
        </w:rPr>
      </w:pPr>
      <w:r w:rsidRPr="00941BC3">
        <w:rPr>
          <w:rFonts w:cs="Segoe UI"/>
          <w:color w:val="000000"/>
          <w:szCs w:val="24"/>
          <w:u w:val="single"/>
          <w:lang w:val="en-US" w:eastAsia="zh-CN"/>
        </w:rPr>
        <w:t>Workshop Objectives</w:t>
      </w:r>
    </w:p>
    <w:p w:rsidR="00127C8B" w:rsidRPr="00A961BD" w:rsidRDefault="00127C8B" w:rsidP="000E6B0A">
      <w:pPr>
        <w:shd w:val="clear" w:color="auto" w:fill="FFFFFF"/>
        <w:spacing w:before="100" w:after="100"/>
        <w:rPr>
          <w:rFonts w:cs="Segoe UI"/>
          <w:color w:val="000000"/>
          <w:szCs w:val="24"/>
          <w:lang w:val="en-US"/>
        </w:rPr>
      </w:pPr>
      <w:r w:rsidRPr="00A961BD">
        <w:rPr>
          <w:rFonts w:cs="Segoe UI"/>
          <w:color w:val="000000"/>
          <w:szCs w:val="24"/>
          <w:lang w:val="en-US"/>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127C8B" w:rsidRPr="00A961BD" w:rsidRDefault="00127C8B" w:rsidP="000E6B0A">
      <w:pPr>
        <w:rPr>
          <w:szCs w:val="24"/>
        </w:rPr>
      </w:pPr>
      <w:r w:rsidRPr="00A961BD">
        <w:rPr>
          <w:szCs w:val="24"/>
        </w:rPr>
        <w:t xml:space="preserve"> Accordingly, the workshop will aim to: </w:t>
      </w:r>
    </w:p>
    <w:p w:rsidR="00127C8B" w:rsidRPr="00A961BD" w:rsidRDefault="00127C8B" w:rsidP="000E6B0A">
      <w:pPr>
        <w:numPr>
          <w:ilvl w:val="0"/>
          <w:numId w:val="3"/>
        </w:numPr>
        <w:shd w:val="clear" w:color="auto" w:fill="FFFFFF"/>
        <w:tabs>
          <w:tab w:val="clear" w:pos="794"/>
          <w:tab w:val="clear" w:pos="1191"/>
          <w:tab w:val="clear" w:pos="1588"/>
          <w:tab w:val="clear" w:pos="1985"/>
        </w:tabs>
        <w:spacing w:before="100" w:beforeAutospacing="1" w:after="100" w:afterAutospacing="1"/>
        <w:rPr>
          <w:rFonts w:cs="Segoe UI"/>
          <w:color w:val="000000"/>
          <w:szCs w:val="24"/>
          <w:lang w:val="en-US"/>
        </w:rPr>
      </w:pPr>
      <w:r w:rsidRPr="00A961BD">
        <w:rPr>
          <w:rFonts w:cs="Segoe UI"/>
          <w:color w:val="000000"/>
          <w:szCs w:val="24"/>
          <w:lang w:val="en-US"/>
        </w:rPr>
        <w:t>Define the strategic and technical priorities for future ICT infrastructure;</w:t>
      </w:r>
    </w:p>
    <w:p w:rsidR="00127C8B" w:rsidRPr="00A961BD" w:rsidRDefault="00127C8B" w:rsidP="000E6B0A">
      <w:pPr>
        <w:numPr>
          <w:ilvl w:val="0"/>
          <w:numId w:val="3"/>
        </w:numPr>
        <w:shd w:val="clear" w:color="auto" w:fill="FFFFFF"/>
        <w:tabs>
          <w:tab w:val="clear" w:pos="794"/>
          <w:tab w:val="clear" w:pos="1191"/>
          <w:tab w:val="clear" w:pos="1588"/>
          <w:tab w:val="clear" w:pos="1985"/>
        </w:tabs>
        <w:spacing w:before="100" w:beforeAutospacing="1" w:after="100" w:afterAutospacing="1"/>
        <w:rPr>
          <w:rFonts w:cs="Segoe UI"/>
          <w:color w:val="000000"/>
          <w:szCs w:val="24"/>
          <w:lang w:val="en-US"/>
        </w:rPr>
      </w:pPr>
      <w:r w:rsidRPr="00A961BD">
        <w:rPr>
          <w:rFonts w:cs="Segoe UI"/>
          <w:color w:val="000000"/>
          <w:szCs w:val="24"/>
          <w:lang w:val="en-US"/>
        </w:rPr>
        <w:t>Clearly identify the current socio-economic trends of markets and services, driven by social network service, mobile service and cloud computing platform;</w:t>
      </w:r>
    </w:p>
    <w:p w:rsidR="00127C8B" w:rsidRPr="00A961BD" w:rsidRDefault="00127C8B" w:rsidP="000E6B0A">
      <w:pPr>
        <w:numPr>
          <w:ilvl w:val="0"/>
          <w:numId w:val="3"/>
        </w:numPr>
        <w:shd w:val="clear" w:color="auto" w:fill="FFFFFF"/>
        <w:tabs>
          <w:tab w:val="clear" w:pos="794"/>
          <w:tab w:val="clear" w:pos="1191"/>
          <w:tab w:val="clear" w:pos="1588"/>
          <w:tab w:val="clear" w:pos="1985"/>
        </w:tabs>
        <w:spacing w:before="100" w:beforeAutospacing="1" w:after="100" w:afterAutospacing="1"/>
        <w:rPr>
          <w:rFonts w:cs="Segoe UI"/>
          <w:color w:val="000000"/>
          <w:szCs w:val="24"/>
          <w:lang w:val="en-US"/>
        </w:rPr>
      </w:pPr>
      <w:r w:rsidRPr="00A961BD">
        <w:rPr>
          <w:rFonts w:cs="Segoe UI"/>
          <w:color w:val="000000"/>
          <w:szCs w:val="24"/>
          <w:lang w:val="en-US"/>
        </w:rPr>
        <w:t>Identify visions and forms of future Information Society and infrastructure from knowledge and trust perspectives; and</w:t>
      </w:r>
    </w:p>
    <w:p w:rsidR="00127C8B" w:rsidRPr="00A961BD" w:rsidRDefault="00127C8B" w:rsidP="000E6B0A">
      <w:pPr>
        <w:numPr>
          <w:ilvl w:val="0"/>
          <w:numId w:val="3"/>
        </w:numPr>
        <w:shd w:val="clear" w:color="auto" w:fill="FFFFFF"/>
        <w:tabs>
          <w:tab w:val="clear" w:pos="794"/>
          <w:tab w:val="clear" w:pos="1191"/>
          <w:tab w:val="clear" w:pos="1588"/>
          <w:tab w:val="clear" w:pos="1985"/>
        </w:tabs>
        <w:spacing w:before="100" w:beforeAutospacing="1" w:after="100" w:afterAutospacing="1"/>
        <w:rPr>
          <w:szCs w:val="24"/>
        </w:rPr>
      </w:pPr>
      <w:r w:rsidRPr="00A961BD">
        <w:rPr>
          <w:rFonts w:cs="Segoe UI"/>
          <w:color w:val="000000"/>
          <w:szCs w:val="24"/>
          <w:lang w:val="en-US"/>
        </w:rPr>
        <w:t>Identify areas ripe for standards- development work to realize future trust and knowledge ICT infrastructure.</w:t>
      </w:r>
    </w:p>
    <w:p w:rsidR="00127C8B" w:rsidRPr="00A961BD" w:rsidRDefault="00127C8B" w:rsidP="000E6B0A">
      <w:pPr>
        <w:shd w:val="clear" w:color="auto" w:fill="FFFFFF"/>
        <w:spacing w:before="100" w:beforeAutospacing="1" w:after="100" w:afterAutospacing="1"/>
        <w:jc w:val="center"/>
        <w:rPr>
          <w:szCs w:val="24"/>
        </w:rPr>
      </w:pPr>
      <w:r w:rsidRPr="00DD0155">
        <w:rPr>
          <w:rFonts w:cstheme="majorBidi"/>
          <w:b/>
          <w:bCs/>
          <w:szCs w:val="24"/>
          <w:u w:val="single"/>
          <w:lang w:val="en-US"/>
        </w:rPr>
        <w:t xml:space="preserve">Draft </w:t>
      </w:r>
      <w:proofErr w:type="spellStart"/>
      <w:r w:rsidRPr="00DD0155">
        <w:rPr>
          <w:rFonts w:cstheme="majorBidi"/>
          <w:b/>
          <w:bCs/>
          <w:szCs w:val="24"/>
          <w:u w:val="single"/>
          <w:lang w:val="en-US"/>
        </w:rPr>
        <w:t>Programme</w:t>
      </w:r>
      <w:proofErr w:type="spellEnd"/>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127C8B" w:rsidRPr="00E0015F" w:rsidTr="00C777B2">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127C8B" w:rsidRPr="0074276E" w:rsidTr="00C777B2">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127C8B" w:rsidRPr="0074276E" w:rsidRDefault="00127C8B" w:rsidP="000E6B0A">
                  <w:pPr>
                    <w:jc w:val="right"/>
                    <w:rPr>
                      <w:rFonts w:cstheme="majorBidi"/>
                      <w:b/>
                      <w:bCs/>
                      <w:szCs w:val="24"/>
                    </w:rPr>
                  </w:pPr>
                  <w:r w:rsidRPr="0074276E">
                    <w:rPr>
                      <w:rFonts w:cstheme="majorBidi"/>
                      <w:b/>
                      <w:bCs/>
                      <w:szCs w:val="24"/>
                    </w:rPr>
                    <w:t>24 April 2015</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szCs w:val="24"/>
                    </w:rPr>
                  </w:pPr>
                  <w:r>
                    <w:rPr>
                      <w:rFonts w:cstheme="majorBidi"/>
                      <w:b/>
                      <w:bCs/>
                      <w:szCs w:val="24"/>
                    </w:rPr>
                    <w:t>08:30 - 12</w:t>
                  </w:r>
                  <w:r w:rsidRPr="0074276E">
                    <w:rPr>
                      <w:rFonts w:cstheme="majorBidi"/>
                      <w:b/>
                      <w:bCs/>
                      <w:szCs w:val="24"/>
                    </w:rPr>
                    <w:t>:00</w:t>
                  </w:r>
                  <w:r>
                    <w:rPr>
                      <w:rFonts w:cstheme="majorBidi"/>
                      <w:b/>
                      <w:bCs/>
                      <w:szCs w:val="24"/>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rPr>
                      <w:rFonts w:cstheme="majorBidi"/>
                      <w:szCs w:val="24"/>
                    </w:rPr>
                  </w:pPr>
                  <w:r w:rsidRPr="0074276E">
                    <w:rPr>
                      <w:rFonts w:cstheme="majorBidi"/>
                      <w:b/>
                      <w:bCs/>
                      <w:szCs w:val="24"/>
                    </w:rPr>
                    <w:t>Registration</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spacing w:after="100"/>
                    <w:jc w:val="center"/>
                    <w:rPr>
                      <w:rFonts w:cstheme="majorBidi"/>
                      <w:b/>
                      <w:bCs/>
                      <w:szCs w:val="24"/>
                    </w:rPr>
                  </w:pPr>
                  <w:r w:rsidRPr="0074276E">
                    <w:rPr>
                      <w:rFonts w:cstheme="majorBidi"/>
                      <w:b/>
                      <w:bCs/>
                      <w:szCs w:val="24"/>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spacing w:after="100"/>
                    <w:rPr>
                      <w:rFonts w:cstheme="majorBidi"/>
                      <w:b/>
                      <w:bCs/>
                      <w:szCs w:val="24"/>
                    </w:rPr>
                  </w:pPr>
                  <w:r w:rsidRPr="0074276E">
                    <w:rPr>
                      <w:rFonts w:cstheme="majorBidi"/>
                      <w:b/>
                      <w:bCs/>
                      <w:szCs w:val="24"/>
                      <w:lang w:val="en-US"/>
                    </w:rPr>
                    <w:t xml:space="preserve">Opening and Keynote Session </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spacing w:after="100"/>
                    <w:jc w:val="center"/>
                    <w:rPr>
                      <w:rFonts w:cstheme="majorBidi"/>
                      <w:b/>
                      <w:bCs/>
                      <w:szCs w:val="24"/>
                    </w:rPr>
                  </w:pPr>
                  <w:r w:rsidRPr="0074276E">
                    <w:rPr>
                      <w:rFonts w:cstheme="majorBidi"/>
                      <w:b/>
                      <w:bCs/>
                      <w:szCs w:val="24"/>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spacing w:after="100"/>
                    <w:rPr>
                      <w:rFonts w:cstheme="majorBidi"/>
                      <w:b/>
                      <w:bCs/>
                      <w:szCs w:val="24"/>
                      <w:lang w:val="en-US"/>
                    </w:rPr>
                  </w:pPr>
                  <w:r w:rsidRPr="0074276E">
                    <w:rPr>
                      <w:rFonts w:cstheme="majorBidi"/>
                      <w:b/>
                      <w:bCs/>
                      <w:szCs w:val="24"/>
                    </w:rPr>
                    <w:t>Session 1 :</w:t>
                  </w:r>
                  <w:r w:rsidRPr="0074276E">
                    <w:rPr>
                      <w:rFonts w:cstheme="majorBidi"/>
                      <w:b/>
                      <w:bCs/>
                      <w:szCs w:val="24"/>
                      <w:lang w:val="en-US"/>
                    </w:rPr>
                    <w:t xml:space="preserve"> Data Sciences for Knowledge Society</w:t>
                  </w:r>
                </w:p>
                <w:p w:rsidR="00127C8B" w:rsidRPr="0074276E" w:rsidRDefault="00127C8B" w:rsidP="000E6B0A">
                  <w:pPr>
                    <w:spacing w:after="100"/>
                    <w:rPr>
                      <w:rFonts w:cstheme="majorBidi"/>
                      <w:b/>
                      <w:bCs/>
                      <w:szCs w:val="24"/>
                    </w:rPr>
                  </w:pPr>
                  <w:r w:rsidRPr="0074276E">
                    <w:rPr>
                      <w:rFonts w:cstheme="majorBidi"/>
                      <w:b/>
                      <w:bCs/>
                      <w:szCs w:val="24"/>
                    </w:rPr>
                    <w:t xml:space="preserve">Objectives: </w:t>
                  </w:r>
                  <w:r w:rsidRPr="0074276E">
                    <w:rPr>
                      <w:rFonts w:cstheme="majorBidi"/>
                      <w:szCs w:val="24"/>
                    </w:rPr>
                    <w:t xml:space="preserve">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 </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27C8B" w:rsidRPr="0074276E" w:rsidRDefault="00127C8B" w:rsidP="000E6B0A">
                  <w:pPr>
                    <w:spacing w:after="100"/>
                    <w:jc w:val="center"/>
                    <w:rPr>
                      <w:rFonts w:cstheme="majorBidi"/>
                      <w:b/>
                      <w:bCs/>
                      <w:szCs w:val="24"/>
                    </w:rPr>
                  </w:pPr>
                  <w:r w:rsidRPr="0074276E">
                    <w:rPr>
                      <w:rFonts w:cstheme="majorBidi"/>
                      <w:b/>
                      <w:bCs/>
                      <w:szCs w:val="24"/>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27C8B" w:rsidRPr="0074276E" w:rsidRDefault="00127C8B" w:rsidP="000E6B0A">
                  <w:pPr>
                    <w:spacing w:after="100"/>
                    <w:rPr>
                      <w:rFonts w:cstheme="majorBidi"/>
                      <w:b/>
                      <w:bCs/>
                      <w:szCs w:val="24"/>
                    </w:rPr>
                  </w:pPr>
                  <w:r w:rsidRPr="0074276E">
                    <w:rPr>
                      <w:rFonts w:cstheme="majorBidi"/>
                      <w:b/>
                      <w:bCs/>
                      <w:szCs w:val="24"/>
                    </w:rPr>
                    <w:t>Coffee break</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szCs w:val="24"/>
                    </w:rPr>
                  </w:pPr>
                  <w:r w:rsidRPr="0074276E">
                    <w:rPr>
                      <w:rFonts w:cstheme="majorBidi"/>
                      <w:b/>
                      <w:bCs/>
                      <w:szCs w:val="24"/>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spacing w:after="100"/>
                    <w:rPr>
                      <w:rFonts w:cstheme="majorBidi"/>
                      <w:b/>
                      <w:bCs/>
                      <w:szCs w:val="24"/>
                    </w:rPr>
                  </w:pPr>
                  <w:r w:rsidRPr="0074276E">
                    <w:rPr>
                      <w:rFonts w:cstheme="majorBidi"/>
                      <w:b/>
                      <w:bCs/>
                      <w:szCs w:val="24"/>
                    </w:rPr>
                    <w:t>Session 2 : Requirements and Expectations for future ICT Infrastructure</w:t>
                  </w:r>
                </w:p>
                <w:p w:rsidR="00127C8B" w:rsidRPr="0074276E" w:rsidRDefault="00127C8B" w:rsidP="000E6B0A">
                  <w:pPr>
                    <w:spacing w:after="100"/>
                    <w:rPr>
                      <w:rFonts w:cstheme="majorBidi"/>
                      <w:b/>
                      <w:bCs/>
                      <w:szCs w:val="24"/>
                    </w:rPr>
                  </w:pPr>
                  <w:r w:rsidRPr="0074276E">
                    <w:rPr>
                      <w:rFonts w:cstheme="majorBidi"/>
                      <w:b/>
                      <w:bCs/>
                      <w:szCs w:val="24"/>
                    </w:rPr>
                    <w:t xml:space="preserve">Objectives: </w:t>
                  </w:r>
                  <w:r w:rsidRPr="0074276E">
                    <w:rPr>
                      <w:rFonts w:cstheme="majorBidi"/>
                      <w:szCs w:val="24"/>
                    </w:rPr>
                    <w:t xml:space="preserve">This session will provide the requirements and expectation for future ICT infrastructure. More than </w:t>
                  </w:r>
                  <w:proofErr w:type="spellStart"/>
                  <w:r w:rsidRPr="0074276E">
                    <w:rPr>
                      <w:rFonts w:cstheme="majorBidi"/>
                      <w:szCs w:val="24"/>
                    </w:rPr>
                    <w:t>zetabytes</w:t>
                  </w:r>
                  <w:proofErr w:type="spellEnd"/>
                  <w:r w:rsidRPr="0074276E">
                    <w:rPr>
                      <w:rFonts w:cstheme="majorBidi"/>
                      <w:szCs w:val="24"/>
                    </w:rPr>
                    <w:t xml:space="preserve"> traffics will be transferred within acceptable performance. More than 10 billion equipment including </w:t>
                  </w:r>
                  <w:proofErr w:type="spellStart"/>
                  <w:r w:rsidRPr="0074276E">
                    <w:rPr>
                      <w:rFonts w:cstheme="majorBidi"/>
                      <w:szCs w:val="24"/>
                    </w:rPr>
                    <w:t>IoT</w:t>
                  </w:r>
                  <w:proofErr w:type="spellEnd"/>
                  <w:r w:rsidRPr="0074276E">
                    <w:rPr>
                      <w:rFonts w:cstheme="majorBidi"/>
                      <w:szCs w:val="24"/>
                    </w:rPr>
                    <w:t xml:space="preserve"> devices will be plug-in at the ICT network. The requirements of ICT infrastructure will be </w:t>
                  </w:r>
                  <w:proofErr w:type="spellStart"/>
                  <w:r w:rsidRPr="0074276E">
                    <w:rPr>
                      <w:rFonts w:cstheme="majorBidi"/>
                      <w:szCs w:val="24"/>
                    </w:rPr>
                    <w:t>analyzed</w:t>
                  </w:r>
                  <w:proofErr w:type="spellEnd"/>
                  <w:r w:rsidRPr="0074276E">
                    <w:rPr>
                      <w:rFonts w:cstheme="majorBidi"/>
                      <w:szCs w:val="24"/>
                    </w:rPr>
                    <w:t xml:space="preserve"> for other industries including energy, transportation, and health, etc. </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szCs w:val="24"/>
                    </w:rPr>
                  </w:pPr>
                  <w:r w:rsidRPr="0074276E">
                    <w:rPr>
                      <w:rFonts w:cstheme="majorBidi"/>
                      <w:b/>
                      <w:bCs/>
                      <w:szCs w:val="24"/>
                    </w:rPr>
                    <w:lastRenderedPageBreak/>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rPr>
                      <w:rFonts w:cstheme="majorBidi"/>
                      <w:szCs w:val="24"/>
                    </w:rPr>
                  </w:pPr>
                  <w:r w:rsidRPr="0074276E">
                    <w:rPr>
                      <w:rFonts w:cstheme="majorBidi"/>
                      <w:b/>
                      <w:bCs/>
                      <w:szCs w:val="24"/>
                    </w:rPr>
                    <w:t>Lunch break</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szCs w:val="24"/>
                    </w:rPr>
                  </w:pPr>
                  <w:r w:rsidRPr="0074276E">
                    <w:rPr>
                      <w:rFonts w:cstheme="majorBidi"/>
                      <w:b/>
                      <w:bCs/>
                      <w:szCs w:val="24"/>
                    </w:rPr>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rPr>
                      <w:rFonts w:cstheme="majorBidi"/>
                      <w:b/>
                      <w:bCs/>
                      <w:szCs w:val="24"/>
                      <w:lang w:val="en-US"/>
                    </w:rPr>
                  </w:pPr>
                  <w:r w:rsidRPr="0074276E">
                    <w:rPr>
                      <w:rFonts w:cstheme="majorBidi"/>
                      <w:b/>
                      <w:bCs/>
                      <w:szCs w:val="24"/>
                    </w:rPr>
                    <w:t xml:space="preserve">Session 3: </w:t>
                  </w:r>
                  <w:r w:rsidRPr="0074276E">
                    <w:rPr>
                      <w:rFonts w:cstheme="majorBidi"/>
                      <w:b/>
                      <w:bCs/>
                      <w:szCs w:val="24"/>
                      <w:lang w:val="en-US"/>
                    </w:rPr>
                    <w:t>Paradox between “Open and Secure”</w:t>
                  </w:r>
                </w:p>
                <w:p w:rsidR="00127C8B" w:rsidRPr="0074276E" w:rsidRDefault="00127C8B" w:rsidP="000E6B0A">
                  <w:pPr>
                    <w:rPr>
                      <w:rFonts w:cstheme="majorBidi"/>
                      <w:szCs w:val="24"/>
                      <w:lang w:val="fr-CH"/>
                    </w:rPr>
                  </w:pPr>
                  <w:r w:rsidRPr="0074276E">
                    <w:rPr>
                      <w:rFonts w:cstheme="majorBidi"/>
                      <w:b/>
                      <w:bCs/>
                      <w:szCs w:val="24"/>
                    </w:rPr>
                    <w:t>Objectives:</w:t>
                  </w:r>
                  <w:r w:rsidRPr="0074276E">
                    <w:rPr>
                      <w:rFonts w:cstheme="majorBidi"/>
                      <w:szCs w:val="24"/>
                    </w:rPr>
                    <w:t xml:space="preserve"> This session will discuss the paradox between “Open and Security” taking into account recent trends of businesses and threats using data and information.  Different views between public and private sectors are compared. </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color w:val="000000"/>
                      <w:szCs w:val="24"/>
                    </w:rPr>
                  </w:pPr>
                  <w:r w:rsidRPr="0074276E">
                    <w:rPr>
                      <w:rFonts w:cstheme="majorBidi"/>
                      <w:b/>
                      <w:bCs/>
                      <w:color w:val="000000"/>
                      <w:szCs w:val="24"/>
                    </w:rPr>
                    <w:t xml:space="preserve">15:30 </w:t>
                  </w:r>
                  <w:r w:rsidRPr="0074276E">
                    <w:rPr>
                      <w:rFonts w:cstheme="majorBidi"/>
                      <w:b/>
                      <w:bCs/>
                      <w:szCs w:val="24"/>
                    </w:rPr>
                    <w:t>-</w:t>
                  </w:r>
                  <w:r w:rsidRPr="0074276E">
                    <w:rPr>
                      <w:rFonts w:cstheme="majorBidi"/>
                      <w:b/>
                      <w:bCs/>
                      <w:color w:val="000000"/>
                      <w:szCs w:val="24"/>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rPr>
                      <w:rFonts w:cstheme="majorBidi"/>
                      <w:szCs w:val="24"/>
                    </w:rPr>
                  </w:pPr>
                  <w:r w:rsidRPr="0074276E">
                    <w:rPr>
                      <w:rFonts w:cstheme="majorBidi"/>
                      <w:b/>
                      <w:bCs/>
                      <w:szCs w:val="24"/>
                    </w:rPr>
                    <w:t>Coffee break</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27C8B" w:rsidRPr="0074276E" w:rsidRDefault="00127C8B" w:rsidP="000E6B0A">
                  <w:pPr>
                    <w:spacing w:after="100"/>
                    <w:jc w:val="center"/>
                    <w:rPr>
                      <w:rFonts w:cstheme="majorBidi"/>
                      <w:b/>
                      <w:bCs/>
                      <w:color w:val="000000"/>
                      <w:szCs w:val="24"/>
                    </w:rPr>
                  </w:pPr>
                  <w:r w:rsidRPr="0074276E">
                    <w:rPr>
                      <w:rFonts w:cstheme="majorBidi"/>
                      <w:b/>
                      <w:bCs/>
                      <w:color w:val="000000"/>
                      <w:szCs w:val="24"/>
                    </w:rPr>
                    <w:t xml:space="preserve">15:50 </w:t>
                  </w:r>
                  <w:r w:rsidRPr="0074276E">
                    <w:rPr>
                      <w:rFonts w:cstheme="majorBidi"/>
                      <w:b/>
                      <w:bCs/>
                      <w:szCs w:val="24"/>
                    </w:rPr>
                    <w:t>-</w:t>
                  </w:r>
                  <w:r w:rsidRPr="0074276E">
                    <w:rPr>
                      <w:rFonts w:cstheme="majorBidi"/>
                      <w:b/>
                      <w:bCs/>
                      <w:color w:val="000000"/>
                      <w:szCs w:val="24"/>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27C8B" w:rsidRPr="0074276E" w:rsidRDefault="00127C8B" w:rsidP="000E6B0A">
                  <w:pPr>
                    <w:spacing w:before="100" w:after="100"/>
                    <w:rPr>
                      <w:rFonts w:cstheme="majorBidi"/>
                      <w:b/>
                      <w:bCs/>
                      <w:szCs w:val="24"/>
                      <w:lang w:val="en-US"/>
                    </w:rPr>
                  </w:pPr>
                  <w:r w:rsidRPr="0074276E">
                    <w:rPr>
                      <w:rFonts w:cstheme="majorBidi"/>
                      <w:b/>
                      <w:bCs/>
                      <w:szCs w:val="24"/>
                    </w:rPr>
                    <w:t xml:space="preserve">Session 4: Open Data </w:t>
                  </w:r>
                  <w:r w:rsidRPr="0074276E">
                    <w:rPr>
                      <w:rFonts w:cstheme="majorBidi"/>
                      <w:b/>
                      <w:bCs/>
                      <w:szCs w:val="24"/>
                      <w:lang w:val="en-US"/>
                    </w:rPr>
                    <w:t xml:space="preserve">Platforms </w:t>
                  </w:r>
                </w:p>
                <w:p w:rsidR="00127C8B" w:rsidRPr="0074276E" w:rsidRDefault="00127C8B" w:rsidP="000E6B0A">
                  <w:pPr>
                    <w:spacing w:before="100" w:after="100"/>
                    <w:rPr>
                      <w:rFonts w:cstheme="majorBidi"/>
                      <w:szCs w:val="24"/>
                      <w:lang w:val="it-IT"/>
                    </w:rPr>
                  </w:pPr>
                  <w:r w:rsidRPr="0074276E">
                    <w:rPr>
                      <w:rFonts w:cstheme="majorBidi"/>
                      <w:b/>
                      <w:bCs/>
                      <w:szCs w:val="24"/>
                    </w:rPr>
                    <w:t xml:space="preserve">Objectives: </w:t>
                  </w:r>
                  <w:r w:rsidRPr="0074276E">
                    <w:rPr>
                      <w:rFonts w:cstheme="majorBidi"/>
                      <w:szCs w:val="24"/>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127C8B" w:rsidRPr="0074276E" w:rsidRDefault="00127C8B" w:rsidP="000E6B0A">
            <w:pPr>
              <w:rPr>
                <w:color w:val="000000"/>
                <w:szCs w:val="24"/>
              </w:rPr>
            </w:pPr>
          </w:p>
        </w:tc>
      </w:tr>
      <w:tr w:rsidR="00127C8B" w:rsidRPr="00E0015F" w:rsidTr="00C777B2">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27C8B" w:rsidRPr="0074276E" w:rsidRDefault="00127C8B" w:rsidP="000E6B0A">
            <w:pPr>
              <w:jc w:val="center"/>
              <w:rPr>
                <w:rFonts w:cstheme="majorBidi"/>
                <w:b/>
                <w:bCs/>
                <w:color w:val="000000"/>
                <w:szCs w:val="24"/>
              </w:rPr>
            </w:pPr>
            <w:r w:rsidRPr="0074276E">
              <w:rPr>
                <w:rFonts w:cstheme="majorBidi"/>
                <w:b/>
                <w:bCs/>
                <w:color w:val="000000"/>
                <w:szCs w:val="24"/>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27C8B" w:rsidRPr="0074276E" w:rsidRDefault="00127C8B" w:rsidP="000E6B0A">
            <w:pPr>
              <w:rPr>
                <w:rFonts w:cstheme="majorBidi"/>
                <w:b/>
                <w:bCs/>
                <w:szCs w:val="24"/>
                <w:lang w:val="en-US"/>
              </w:rPr>
            </w:pPr>
            <w:r w:rsidRPr="0074276E">
              <w:rPr>
                <w:rFonts w:cstheme="majorBidi"/>
                <w:b/>
                <w:bCs/>
                <w:szCs w:val="24"/>
                <w:lang w:val="en-US"/>
              </w:rPr>
              <w:t>Panel Session: Action Plans for Future ICT Infrastructure</w:t>
            </w:r>
          </w:p>
          <w:p w:rsidR="00127C8B" w:rsidRPr="0074276E" w:rsidRDefault="00127C8B" w:rsidP="000E6B0A">
            <w:pPr>
              <w:rPr>
                <w:rFonts w:cstheme="majorBidi"/>
                <w:szCs w:val="24"/>
              </w:rPr>
            </w:pPr>
            <w:r w:rsidRPr="0074276E">
              <w:rPr>
                <w:rFonts w:cstheme="majorBidi"/>
                <w:b/>
                <w:bCs/>
                <w:szCs w:val="24"/>
              </w:rPr>
              <w:t xml:space="preserve">Objectives: </w:t>
            </w:r>
            <w:r w:rsidRPr="0074276E">
              <w:rPr>
                <w:rFonts w:cstheme="majorBidi"/>
                <w:szCs w:val="24"/>
              </w:rPr>
              <w:t>This session will summarized key issues from each session and identify action items with key milestones which will be done through ITU-T including collaboration and coordination with others.</w:t>
            </w:r>
          </w:p>
          <w:p w:rsidR="00127C8B" w:rsidRPr="0074276E" w:rsidRDefault="00127C8B" w:rsidP="000E6B0A">
            <w:pPr>
              <w:rPr>
                <w:rFonts w:cstheme="majorBidi"/>
                <w:b/>
                <w:bCs/>
                <w:szCs w:val="24"/>
              </w:rPr>
            </w:pPr>
          </w:p>
        </w:tc>
      </w:tr>
    </w:tbl>
    <w:p w:rsidR="00127C8B" w:rsidRDefault="00127C8B" w:rsidP="000E6B0A">
      <w:pPr>
        <w:spacing w:before="0"/>
        <w:rPr>
          <w:lang w:val="en-US"/>
        </w:rPr>
      </w:pPr>
    </w:p>
    <w:p w:rsidR="00127C8B" w:rsidRDefault="00127C8B" w:rsidP="000E6B0A">
      <w:pPr>
        <w:spacing w:before="0"/>
        <w:rPr>
          <w:lang w:val="en-US"/>
        </w:rPr>
      </w:pPr>
      <w:r>
        <w:rPr>
          <w:lang w:val="en-US"/>
        </w:rPr>
        <w:br w:type="page"/>
      </w:r>
    </w:p>
    <w:p w:rsidR="00127C8B" w:rsidRDefault="00127C8B" w:rsidP="000E6B0A">
      <w:pPr>
        <w:spacing w:before="0" w:after="200"/>
        <w:jc w:val="center"/>
        <w:rPr>
          <w:sz w:val="16"/>
        </w:rPr>
      </w:pPr>
      <w:r>
        <w:rPr>
          <w:rStyle w:val="LineNumber"/>
        </w:rPr>
        <w:lastRenderedPageBreak/>
        <w:t>ANNEX 2</w:t>
      </w:r>
      <w:r>
        <w:rPr>
          <w:rStyle w:val="LineNumber"/>
        </w:rPr>
        <w:br/>
        <w:t>(to TSB Circular 142</w:t>
      </w:r>
      <w:r w:rsidRPr="00435404">
        <w:rPr>
          <w:rStyle w:val="LineNumber"/>
        </w:rPr>
        <w:t>)</w:t>
      </w:r>
      <w:r w:rsidRPr="00435404">
        <w:rPr>
          <w:rStyle w:val="LineNumber"/>
        </w:rPr>
        <w:br/>
      </w:r>
    </w:p>
    <w:tbl>
      <w:tblPr>
        <w:tblW w:w="0" w:type="auto"/>
        <w:jc w:val="center"/>
        <w:tblLayout w:type="fixed"/>
        <w:tblLook w:val="0000" w:firstRow="0" w:lastRow="0" w:firstColumn="0" w:lastColumn="0" w:noHBand="0" w:noVBand="0"/>
      </w:tblPr>
      <w:tblGrid>
        <w:gridCol w:w="9781"/>
      </w:tblGrid>
      <w:tr w:rsidR="00127C8B" w:rsidRPr="00C67AB9" w:rsidTr="00C777B2">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27C8B" w:rsidRPr="00C67AB9" w:rsidRDefault="00127C8B" w:rsidP="000E6B0A">
            <w:pPr>
              <w:tabs>
                <w:tab w:val="left" w:pos="1440"/>
                <w:tab w:val="left" w:pos="8647"/>
              </w:tabs>
              <w:spacing w:before="0"/>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127C8B" w:rsidRPr="00C67AB9" w:rsidRDefault="00127C8B" w:rsidP="000E6B0A">
      <w:pPr>
        <w:tabs>
          <w:tab w:val="center" w:pos="9639"/>
        </w:tabs>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127C8B" w:rsidTr="00C777B2">
        <w:trPr>
          <w:cantSplit/>
          <w:jc w:val="center"/>
        </w:trPr>
        <w:tc>
          <w:tcPr>
            <w:tcW w:w="1291" w:type="dxa"/>
            <w:vAlign w:val="center"/>
          </w:tcPr>
          <w:p w:rsidR="00127C8B" w:rsidRDefault="00127C8B" w:rsidP="000E6B0A">
            <w:pPr>
              <w:tabs>
                <w:tab w:val="center" w:pos="9639"/>
              </w:tabs>
              <w:spacing w:before="57"/>
              <w:ind w:right="-176"/>
              <w:jc w:val="center"/>
              <w:rPr>
                <w:sz w:val="28"/>
              </w:rPr>
            </w:pPr>
            <w:r>
              <w:rPr>
                <w:noProof/>
                <w:sz w:val="28"/>
                <w:lang w:val="en-US" w:eastAsia="zh-CN"/>
              </w:rPr>
              <w:drawing>
                <wp:inline distT="0" distB="0" distL="0" distR="0" wp14:anchorId="0EA7632F" wp14:editId="4694CA28">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27C8B" w:rsidRPr="001F5A0A" w:rsidRDefault="00127C8B" w:rsidP="000E6B0A">
            <w:pPr>
              <w:tabs>
                <w:tab w:val="center" w:pos="9639"/>
              </w:tabs>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127C8B" w:rsidRDefault="00127C8B" w:rsidP="000E6B0A">
            <w:pPr>
              <w:tabs>
                <w:tab w:val="center" w:pos="9639"/>
              </w:tabs>
              <w:spacing w:before="57"/>
              <w:ind w:left="-142" w:right="-74"/>
              <w:jc w:val="center"/>
              <w:rPr>
                <w:sz w:val="28"/>
              </w:rPr>
            </w:pPr>
            <w:r>
              <w:rPr>
                <w:noProof/>
                <w:sz w:val="28"/>
                <w:lang w:val="en-US" w:eastAsia="zh-CN"/>
              </w:rPr>
              <w:drawing>
                <wp:inline distT="0" distB="0" distL="0" distR="0" wp14:anchorId="551C3054" wp14:editId="3576F18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27C8B" w:rsidRDefault="00127C8B" w:rsidP="000E6B0A">
      <w:pPr>
        <w:tabs>
          <w:tab w:val="center" w:pos="4678"/>
        </w:tabs>
        <w:spacing w:before="240" w:after="240"/>
        <w:ind w:left="284" w:right="-142"/>
        <w:jc w:val="center"/>
        <w:rPr>
          <w:b/>
          <w:bCs/>
          <w:szCs w:val="24"/>
          <w:lang w:val="en-US"/>
        </w:rPr>
      </w:pPr>
      <w:r w:rsidRPr="00A271F0">
        <w:rPr>
          <w:b/>
          <w:bCs/>
          <w:szCs w:val="24"/>
          <w:lang w:val="en-US"/>
        </w:rPr>
        <w:t>TELECOMMUNICATION STANDARDIZATION SECTOR</w:t>
      </w:r>
    </w:p>
    <w:p w:rsidR="00127C8B" w:rsidRPr="00917FF3" w:rsidRDefault="00127C8B" w:rsidP="000E6B0A">
      <w:pPr>
        <w:tabs>
          <w:tab w:val="center" w:pos="4678"/>
        </w:tabs>
        <w:spacing w:before="0" w:after="240"/>
        <w:ind w:right="-142"/>
        <w:jc w:val="center"/>
        <w:rPr>
          <w:rStyle w:val="LineNumber"/>
        </w:rPr>
      </w:pPr>
      <w:r>
        <w:rPr>
          <w:b/>
          <w:bCs/>
        </w:rPr>
        <w:t>ITU W</w:t>
      </w:r>
      <w:r w:rsidRPr="009B6449">
        <w:rPr>
          <w:b/>
          <w:bCs/>
        </w:rPr>
        <w:t>orkshop on</w:t>
      </w:r>
      <w:r>
        <w:rPr>
          <w:b/>
          <w:bCs/>
        </w:rPr>
        <w:t xml:space="preserve"> “Future Trust and Knowledge Infrastructure”, Phase 1 </w:t>
      </w:r>
      <w:proofErr w:type="gramStart"/>
      <w:r>
        <w:rPr>
          <w:b/>
          <w:bCs/>
        </w:rPr>
        <w:t>-  Geneva</w:t>
      </w:r>
      <w:proofErr w:type="gramEnd"/>
      <w:r>
        <w:rPr>
          <w:b/>
          <w:bCs/>
        </w:rPr>
        <w:t>, 24 April 2015</w:t>
      </w:r>
    </w:p>
    <w:p w:rsidR="00127C8B" w:rsidRPr="00917FF3" w:rsidRDefault="00127C8B" w:rsidP="000E6B0A">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127C8B" w:rsidRPr="00917FF3" w:rsidRDefault="00127C8B" w:rsidP="000E6B0A">
      <w:pPr>
        <w:spacing w:before="360" w:after="240"/>
        <w:jc w:val="both"/>
        <w:rPr>
          <w:rStyle w:val="LineNumber"/>
        </w:rPr>
      </w:pPr>
      <w:proofErr w:type="gramStart"/>
      <w:r w:rsidRPr="00917FF3">
        <w:rPr>
          <w:rStyle w:val="LineNumber"/>
          <w:b/>
          <w:bCs/>
          <w:u w:val="single"/>
        </w:rPr>
        <w:t>at</w:t>
      </w:r>
      <w:proofErr w:type="gramEnd"/>
      <w:r w:rsidRPr="00917FF3">
        <w:rPr>
          <w:rStyle w:val="LineNumber"/>
          <w:b/>
          <w:bCs/>
          <w:u w:val="single"/>
        </w:rPr>
        <w:t xml:space="preserve"> the ITU preferential tariff</w:t>
      </w:r>
      <w:r>
        <w:rPr>
          <w:rStyle w:val="LineNumber"/>
          <w:b/>
          <w:bCs/>
          <w:u w:val="single"/>
        </w:rPr>
        <w:t xml:space="preserve"> </w:t>
      </w:r>
      <w:r w:rsidRPr="00917FF3">
        <w:rPr>
          <w:rStyle w:val="LineNumber"/>
        </w:rPr>
        <w:t>____________ single/double room(s)</w:t>
      </w:r>
      <w:r>
        <w:rPr>
          <w:rStyle w:val="LineNumber"/>
        </w:rPr>
        <w:t xml:space="preserve"> </w:t>
      </w:r>
    </w:p>
    <w:p w:rsidR="00127C8B" w:rsidRPr="00917FF3" w:rsidRDefault="00127C8B" w:rsidP="000E6B0A">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127C8B" w:rsidRPr="00917FF3" w:rsidRDefault="00127C8B" w:rsidP="000E6B0A">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Pr>
        <w:t>Versoix</w:t>
      </w:r>
      <w:proofErr w:type="spellEnd"/>
      <w:r w:rsidRPr="00917FF3">
        <w:rPr>
          <w:rStyle w:val="LineNumber"/>
        </w:rPr>
        <w:t xml:space="preserve"> and the airport. </w:t>
      </w:r>
    </w:p>
    <w:p w:rsidR="00127C8B" w:rsidRPr="00917FF3" w:rsidRDefault="00127C8B" w:rsidP="000E6B0A">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127C8B" w:rsidRPr="00917FF3" w:rsidRDefault="00127C8B" w:rsidP="000E6B0A">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127C8B" w:rsidRPr="00917FF3" w:rsidRDefault="00127C8B" w:rsidP="000E6B0A">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127C8B" w:rsidRPr="00917FF3" w:rsidRDefault="00127C8B" w:rsidP="000E6B0A">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127C8B" w:rsidRPr="00917FF3" w:rsidRDefault="00127C8B" w:rsidP="000E6B0A">
      <w:pPr>
        <w:jc w:val="both"/>
        <w:rPr>
          <w:rStyle w:val="LineNumber"/>
        </w:rPr>
      </w:pPr>
      <w:r w:rsidRPr="00917FF3">
        <w:rPr>
          <w:rStyle w:val="LineNumber"/>
        </w:rPr>
        <w:t>________________________________________</w:t>
      </w:r>
      <w:r>
        <w:rPr>
          <w:rStyle w:val="LineNumber"/>
        </w:rPr>
        <w:t>_</w:t>
      </w:r>
      <w:r w:rsidRPr="00917FF3">
        <w:rPr>
          <w:rStyle w:val="LineNumber"/>
        </w:rPr>
        <w:tab/>
      </w:r>
      <w:proofErr w:type="spellStart"/>
      <w:r w:rsidRPr="00917FF3">
        <w:rPr>
          <w:rStyle w:val="LineNumber"/>
        </w:rPr>
        <w:t>E_mail</w:t>
      </w:r>
      <w:proofErr w:type="spellEnd"/>
      <w:r w:rsidRPr="00917FF3">
        <w:rPr>
          <w:rStyle w:val="LineNumber"/>
        </w:rPr>
        <w:t>:</w:t>
      </w:r>
      <w:r w:rsidRPr="00917FF3">
        <w:rPr>
          <w:rStyle w:val="LineNumber"/>
        </w:rPr>
        <w:tab/>
        <w:t>________________________________</w:t>
      </w:r>
    </w:p>
    <w:p w:rsidR="00127C8B" w:rsidRPr="00917FF3" w:rsidRDefault="00127C8B" w:rsidP="000E6B0A">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Pr>
          <w:rStyle w:val="LineNumber"/>
        </w:rPr>
        <w:t>_____________________</w:t>
      </w:r>
    </w:p>
    <w:p w:rsidR="00127C8B" w:rsidRPr="00917FF3" w:rsidRDefault="00127C8B" w:rsidP="000E6B0A">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proofErr w:type="gramStart"/>
      <w:r>
        <w:rPr>
          <w:rStyle w:val="LineNumber"/>
        </w:rPr>
        <w:t>:_</w:t>
      </w:r>
      <w:proofErr w:type="gramEnd"/>
      <w:r>
        <w:rPr>
          <w:rStyle w:val="LineNumber"/>
        </w:rPr>
        <w:t>_</w:t>
      </w:r>
      <w:r w:rsidRPr="00917FF3">
        <w:rPr>
          <w:rStyle w:val="LineNumber"/>
        </w:rPr>
        <w:t>____________________________</w:t>
      </w:r>
    </w:p>
    <w:p w:rsidR="00127C8B" w:rsidRDefault="00127C8B" w:rsidP="000E6B0A">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rsidR="00127C8B" w:rsidRPr="008817F2" w:rsidRDefault="00127C8B" w:rsidP="000E6B0A"/>
    <w:p w:rsidR="006D6897" w:rsidRDefault="006D6897" w:rsidP="0032202E">
      <w:pPr>
        <w:pStyle w:val="Reasons"/>
      </w:pPr>
    </w:p>
    <w:p w:rsidR="006D6897" w:rsidRDefault="006D6897">
      <w:pPr>
        <w:jc w:val="center"/>
      </w:pPr>
      <w:r>
        <w:t>______________</w:t>
      </w:r>
    </w:p>
    <w:sectPr w:rsidR="006D6897" w:rsidSect="00D03088">
      <w:headerReference w:type="even" r:id="rId15"/>
      <w:headerReference w:type="default" r:id="rId16"/>
      <w:footerReference w:type="even" r:id="rId17"/>
      <w:footerReference w:type="default" r:id="rId18"/>
      <w:footerReference w:type="first" r:id="rId19"/>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AD6" w:rsidRDefault="00712AD6">
      <w:r>
        <w:separator/>
      </w:r>
    </w:p>
  </w:endnote>
  <w:endnote w:type="continuationSeparator" w:id="0">
    <w:p w:rsidR="00712AD6" w:rsidRDefault="007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Default="006019D8" w:rsidP="006019D8">
    <w:pPr>
      <w:pStyle w:val="Footer"/>
    </w:pPr>
    <w:r w:rsidRPr="001C00E5">
      <w:rPr>
        <w:sz w:val="18"/>
        <w:szCs w:val="18"/>
        <w:lang w:val="fr-CH"/>
      </w:rPr>
      <w:t>ITU-T\BUREAU\CIRC\142</w:t>
    </w:r>
    <w:r>
      <w:rPr>
        <w:sz w:val="18"/>
        <w:szCs w:val="18"/>
        <w:lang w:val="fr-CH"/>
      </w:rPr>
      <w:t>C</w:t>
    </w:r>
    <w:r w:rsidRPr="001C00E5">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9D8" w:rsidRDefault="006019D8" w:rsidP="006019D8">
    <w:pPr>
      <w:pStyle w:val="Footer"/>
    </w:pPr>
    <w:r w:rsidRPr="001C00E5">
      <w:rPr>
        <w:sz w:val="18"/>
        <w:szCs w:val="18"/>
        <w:lang w:val="fr-CH"/>
      </w:rPr>
      <w:t>ITU-T\BUREAU\CIRC\142</w:t>
    </w:r>
    <w:r>
      <w:rPr>
        <w:sz w:val="18"/>
        <w:szCs w:val="18"/>
        <w:lang w:val="fr-CH"/>
      </w:rPr>
      <w:t>C</w:t>
    </w:r>
    <w:r w:rsidRPr="001C00E5">
      <w:rPr>
        <w:sz w:val="18"/>
        <w:szCs w:val="18"/>
        <w:lang w:val="fr-CH"/>
      </w:rPr>
      <w:t>.DOC</w:t>
    </w:r>
  </w:p>
  <w:p w:rsidR="00D03088" w:rsidRPr="00F03452" w:rsidRDefault="007C6F52" w:rsidP="006019D8">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8241A2" w:rsidRDefault="00EF6A1E" w:rsidP="00DA6AF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r w:rsidR="00567D94">
      <w:rPr>
        <w:color w:val="3E8EDE"/>
        <w:sz w:val="18"/>
        <w:szCs w:val="2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AD6" w:rsidRDefault="00712AD6">
      <w:pPr>
        <w:rPr>
          <w:sz w:val="23"/>
          <w:szCs w:val="23"/>
        </w:rPr>
      </w:pPr>
      <w:r>
        <w:rPr>
          <w:sz w:val="23"/>
          <w:szCs w:val="23"/>
        </w:rPr>
        <w:t>____________________</w:t>
      </w:r>
    </w:p>
  </w:footnote>
  <w:footnote w:type="continuationSeparator" w:id="0">
    <w:p w:rsidR="00712AD6" w:rsidRDefault="0071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Default="00D03088"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6428E">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5" w:rsidRPr="00E123C0" w:rsidRDefault="00340578"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6428E">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35C49"/>
    <w:rsid w:val="00037534"/>
    <w:rsid w:val="000567DD"/>
    <w:rsid w:val="00065140"/>
    <w:rsid w:val="000A403A"/>
    <w:rsid w:val="000A7D6D"/>
    <w:rsid w:val="000B5A57"/>
    <w:rsid w:val="000D050F"/>
    <w:rsid w:val="000D23F4"/>
    <w:rsid w:val="000D2950"/>
    <w:rsid w:val="000D76B8"/>
    <w:rsid w:val="000E6B0A"/>
    <w:rsid w:val="00102407"/>
    <w:rsid w:val="00107352"/>
    <w:rsid w:val="001213E2"/>
    <w:rsid w:val="0012214B"/>
    <w:rsid w:val="00127C8B"/>
    <w:rsid w:val="001360A8"/>
    <w:rsid w:val="001517FE"/>
    <w:rsid w:val="001522C1"/>
    <w:rsid w:val="001579CD"/>
    <w:rsid w:val="0016384A"/>
    <w:rsid w:val="00165D3D"/>
    <w:rsid w:val="00170349"/>
    <w:rsid w:val="0017497B"/>
    <w:rsid w:val="001776F0"/>
    <w:rsid w:val="0018419B"/>
    <w:rsid w:val="0019652F"/>
    <w:rsid w:val="00196B93"/>
    <w:rsid w:val="001A4E09"/>
    <w:rsid w:val="001A6D82"/>
    <w:rsid w:val="001C4A2B"/>
    <w:rsid w:val="001D68D4"/>
    <w:rsid w:val="001E3134"/>
    <w:rsid w:val="001E381A"/>
    <w:rsid w:val="0020651D"/>
    <w:rsid w:val="00216C8F"/>
    <w:rsid w:val="002372C7"/>
    <w:rsid w:val="00240530"/>
    <w:rsid w:val="002431B5"/>
    <w:rsid w:val="0024715E"/>
    <w:rsid w:val="00262EC6"/>
    <w:rsid w:val="0027568A"/>
    <w:rsid w:val="002826CA"/>
    <w:rsid w:val="0028502B"/>
    <w:rsid w:val="00291DCC"/>
    <w:rsid w:val="00292881"/>
    <w:rsid w:val="00293589"/>
    <w:rsid w:val="00294C1C"/>
    <w:rsid w:val="002958F2"/>
    <w:rsid w:val="002A1603"/>
    <w:rsid w:val="002A51C2"/>
    <w:rsid w:val="002C1D1F"/>
    <w:rsid w:val="002C352D"/>
    <w:rsid w:val="002D2D2B"/>
    <w:rsid w:val="002D729D"/>
    <w:rsid w:val="002E5E46"/>
    <w:rsid w:val="002F3134"/>
    <w:rsid w:val="002F3D1A"/>
    <w:rsid w:val="003103A8"/>
    <w:rsid w:val="003134D0"/>
    <w:rsid w:val="00313A41"/>
    <w:rsid w:val="003153BE"/>
    <w:rsid w:val="00322A03"/>
    <w:rsid w:val="00330293"/>
    <w:rsid w:val="003307E4"/>
    <w:rsid w:val="0033229B"/>
    <w:rsid w:val="00335F94"/>
    <w:rsid w:val="00340578"/>
    <w:rsid w:val="00354E58"/>
    <w:rsid w:val="00362B4A"/>
    <w:rsid w:val="00376F72"/>
    <w:rsid w:val="003772C6"/>
    <w:rsid w:val="00383C8D"/>
    <w:rsid w:val="00395D55"/>
    <w:rsid w:val="003A1BD8"/>
    <w:rsid w:val="003B2EAA"/>
    <w:rsid w:val="003C29A4"/>
    <w:rsid w:val="003C5E30"/>
    <w:rsid w:val="003C7EBE"/>
    <w:rsid w:val="003E6B67"/>
    <w:rsid w:val="003E7209"/>
    <w:rsid w:val="003F2A86"/>
    <w:rsid w:val="003F4BCB"/>
    <w:rsid w:val="00402633"/>
    <w:rsid w:val="00422A07"/>
    <w:rsid w:val="00436FEB"/>
    <w:rsid w:val="0043783E"/>
    <w:rsid w:val="00444683"/>
    <w:rsid w:val="00444E8F"/>
    <w:rsid w:val="004522B4"/>
    <w:rsid w:val="00453A10"/>
    <w:rsid w:val="00455864"/>
    <w:rsid w:val="0046534B"/>
    <w:rsid w:val="004721AC"/>
    <w:rsid w:val="004814B6"/>
    <w:rsid w:val="00482AC9"/>
    <w:rsid w:val="00487F05"/>
    <w:rsid w:val="00493AC6"/>
    <w:rsid w:val="004952E4"/>
    <w:rsid w:val="004967F5"/>
    <w:rsid w:val="004B38AB"/>
    <w:rsid w:val="004C5BE0"/>
    <w:rsid w:val="004C7C62"/>
    <w:rsid w:val="004D18C4"/>
    <w:rsid w:val="004E25B1"/>
    <w:rsid w:val="00501618"/>
    <w:rsid w:val="0051354C"/>
    <w:rsid w:val="0051529C"/>
    <w:rsid w:val="00523169"/>
    <w:rsid w:val="00530271"/>
    <w:rsid w:val="00531538"/>
    <w:rsid w:val="00535E76"/>
    <w:rsid w:val="00554CDC"/>
    <w:rsid w:val="005566F1"/>
    <w:rsid w:val="00556DFC"/>
    <w:rsid w:val="0056275D"/>
    <w:rsid w:val="00567D94"/>
    <w:rsid w:val="0057364C"/>
    <w:rsid w:val="0057683C"/>
    <w:rsid w:val="00594AB2"/>
    <w:rsid w:val="005966EC"/>
    <w:rsid w:val="005B4556"/>
    <w:rsid w:val="005D0F8C"/>
    <w:rsid w:val="005D16F4"/>
    <w:rsid w:val="005D4C26"/>
    <w:rsid w:val="005E1427"/>
    <w:rsid w:val="005E38EC"/>
    <w:rsid w:val="005E6E47"/>
    <w:rsid w:val="005F50A5"/>
    <w:rsid w:val="006019D8"/>
    <w:rsid w:val="0063236A"/>
    <w:rsid w:val="00635F25"/>
    <w:rsid w:val="00637C74"/>
    <w:rsid w:val="00672E81"/>
    <w:rsid w:val="00676685"/>
    <w:rsid w:val="00681A48"/>
    <w:rsid w:val="00690BE6"/>
    <w:rsid w:val="006A60C8"/>
    <w:rsid w:val="006A736A"/>
    <w:rsid w:val="006A7CA2"/>
    <w:rsid w:val="006C7801"/>
    <w:rsid w:val="006D09B3"/>
    <w:rsid w:val="006D0B85"/>
    <w:rsid w:val="006D6897"/>
    <w:rsid w:val="006E74AA"/>
    <w:rsid w:val="006F050F"/>
    <w:rsid w:val="006F0A0A"/>
    <w:rsid w:val="006F4DFC"/>
    <w:rsid w:val="00701F03"/>
    <w:rsid w:val="00712AD6"/>
    <w:rsid w:val="00714CA7"/>
    <w:rsid w:val="00721E03"/>
    <w:rsid w:val="00737527"/>
    <w:rsid w:val="007433BD"/>
    <w:rsid w:val="00743C94"/>
    <w:rsid w:val="00745457"/>
    <w:rsid w:val="007609AA"/>
    <w:rsid w:val="00761B39"/>
    <w:rsid w:val="00773371"/>
    <w:rsid w:val="00794FA5"/>
    <w:rsid w:val="007B781C"/>
    <w:rsid w:val="007C6F52"/>
    <w:rsid w:val="007D3346"/>
    <w:rsid w:val="007E23BA"/>
    <w:rsid w:val="007E6BBA"/>
    <w:rsid w:val="007F6E04"/>
    <w:rsid w:val="008241A2"/>
    <w:rsid w:val="00830DA6"/>
    <w:rsid w:val="00841D6C"/>
    <w:rsid w:val="008534E9"/>
    <w:rsid w:val="00864F93"/>
    <w:rsid w:val="00866407"/>
    <w:rsid w:val="00874ECF"/>
    <w:rsid w:val="0089488D"/>
    <w:rsid w:val="008949B5"/>
    <w:rsid w:val="008E2C66"/>
    <w:rsid w:val="008E44B7"/>
    <w:rsid w:val="008F3382"/>
    <w:rsid w:val="008F3B19"/>
    <w:rsid w:val="00911F92"/>
    <w:rsid w:val="00923B56"/>
    <w:rsid w:val="009344D1"/>
    <w:rsid w:val="00943692"/>
    <w:rsid w:val="009572BA"/>
    <w:rsid w:val="00961F17"/>
    <w:rsid w:val="009622EC"/>
    <w:rsid w:val="00967D11"/>
    <w:rsid w:val="009753FC"/>
    <w:rsid w:val="00981A4C"/>
    <w:rsid w:val="00992532"/>
    <w:rsid w:val="009B30AA"/>
    <w:rsid w:val="009B464B"/>
    <w:rsid w:val="009B5159"/>
    <w:rsid w:val="009C1E2E"/>
    <w:rsid w:val="009D73E5"/>
    <w:rsid w:val="009F1076"/>
    <w:rsid w:val="009F43F1"/>
    <w:rsid w:val="00A12514"/>
    <w:rsid w:val="00A15D02"/>
    <w:rsid w:val="00A15DD8"/>
    <w:rsid w:val="00A31BE4"/>
    <w:rsid w:val="00A3203D"/>
    <w:rsid w:val="00A32BB1"/>
    <w:rsid w:val="00A373FC"/>
    <w:rsid w:val="00A37CEC"/>
    <w:rsid w:val="00A407BE"/>
    <w:rsid w:val="00A422CC"/>
    <w:rsid w:val="00A51748"/>
    <w:rsid w:val="00A53C2B"/>
    <w:rsid w:val="00A54D21"/>
    <w:rsid w:val="00A6428E"/>
    <w:rsid w:val="00A64F42"/>
    <w:rsid w:val="00A7212A"/>
    <w:rsid w:val="00AA5543"/>
    <w:rsid w:val="00AB54D2"/>
    <w:rsid w:val="00AB6A5C"/>
    <w:rsid w:val="00AC68F3"/>
    <w:rsid w:val="00AD25E5"/>
    <w:rsid w:val="00AF1CA5"/>
    <w:rsid w:val="00B20272"/>
    <w:rsid w:val="00B47231"/>
    <w:rsid w:val="00B56986"/>
    <w:rsid w:val="00BA53BC"/>
    <w:rsid w:val="00BB0EE7"/>
    <w:rsid w:val="00BC75EE"/>
    <w:rsid w:val="00BD30D2"/>
    <w:rsid w:val="00BE6FB9"/>
    <w:rsid w:val="00BF2511"/>
    <w:rsid w:val="00C02C5C"/>
    <w:rsid w:val="00C07AB0"/>
    <w:rsid w:val="00C13C4A"/>
    <w:rsid w:val="00C320BD"/>
    <w:rsid w:val="00C3297F"/>
    <w:rsid w:val="00C43136"/>
    <w:rsid w:val="00C6182E"/>
    <w:rsid w:val="00C63CEF"/>
    <w:rsid w:val="00C7371E"/>
    <w:rsid w:val="00C86543"/>
    <w:rsid w:val="00C868BD"/>
    <w:rsid w:val="00C94B0C"/>
    <w:rsid w:val="00CB49CB"/>
    <w:rsid w:val="00CB60AB"/>
    <w:rsid w:val="00CF0141"/>
    <w:rsid w:val="00CF1C46"/>
    <w:rsid w:val="00CF226C"/>
    <w:rsid w:val="00CF67A8"/>
    <w:rsid w:val="00D005E3"/>
    <w:rsid w:val="00D01C47"/>
    <w:rsid w:val="00D03088"/>
    <w:rsid w:val="00D070F1"/>
    <w:rsid w:val="00D07107"/>
    <w:rsid w:val="00D10934"/>
    <w:rsid w:val="00D15300"/>
    <w:rsid w:val="00D15C99"/>
    <w:rsid w:val="00D232CC"/>
    <w:rsid w:val="00D24298"/>
    <w:rsid w:val="00D258F2"/>
    <w:rsid w:val="00D3329E"/>
    <w:rsid w:val="00D375F1"/>
    <w:rsid w:val="00D55E4F"/>
    <w:rsid w:val="00D70404"/>
    <w:rsid w:val="00D818A6"/>
    <w:rsid w:val="00DA300E"/>
    <w:rsid w:val="00DA5158"/>
    <w:rsid w:val="00DA6AFC"/>
    <w:rsid w:val="00DD179E"/>
    <w:rsid w:val="00DE39A0"/>
    <w:rsid w:val="00E04A9E"/>
    <w:rsid w:val="00E11B8D"/>
    <w:rsid w:val="00E123C0"/>
    <w:rsid w:val="00E1779A"/>
    <w:rsid w:val="00E25CDC"/>
    <w:rsid w:val="00E33C32"/>
    <w:rsid w:val="00E57A3C"/>
    <w:rsid w:val="00E62089"/>
    <w:rsid w:val="00E75EED"/>
    <w:rsid w:val="00E929A2"/>
    <w:rsid w:val="00EA0103"/>
    <w:rsid w:val="00EB4637"/>
    <w:rsid w:val="00EB62DC"/>
    <w:rsid w:val="00EC7BDB"/>
    <w:rsid w:val="00EF6A1E"/>
    <w:rsid w:val="00F03452"/>
    <w:rsid w:val="00F22A8D"/>
    <w:rsid w:val="00F23760"/>
    <w:rsid w:val="00F3199A"/>
    <w:rsid w:val="00F362BD"/>
    <w:rsid w:val="00F44FEB"/>
    <w:rsid w:val="00F62F25"/>
    <w:rsid w:val="00F76FA8"/>
    <w:rsid w:val="00F87B61"/>
    <w:rsid w:val="00F87D38"/>
    <w:rsid w:val="00FA4D64"/>
    <w:rsid w:val="00FA7CAA"/>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E29C5E3-79A9-4C35-9671-CF62A6C2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link w:val="BodyText2Char"/>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5D16F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styleId="BodyText3">
    <w:name w:val="Body Text 3"/>
    <w:basedOn w:val="Normal"/>
    <w:link w:val="BodyText3Char"/>
    <w:unhideWhenUsed/>
    <w:rsid w:val="00967D11"/>
    <w:pPr>
      <w:spacing w:after="120"/>
    </w:pPr>
    <w:rPr>
      <w:sz w:val="16"/>
      <w:szCs w:val="16"/>
    </w:rPr>
  </w:style>
  <w:style w:type="character" w:customStyle="1" w:styleId="BodyText3Char">
    <w:name w:val="Body Text 3 Char"/>
    <w:basedOn w:val="DefaultParagraphFont"/>
    <w:link w:val="BodyText3"/>
    <w:rsid w:val="00967D11"/>
    <w:rPr>
      <w:rFonts w:asciiTheme="minorHAnsi" w:hAnsiTheme="minorHAnsi"/>
      <w:sz w:val="16"/>
      <w:szCs w:val="16"/>
      <w:lang w:val="en-GB" w:eastAsia="en-US"/>
    </w:rPr>
  </w:style>
  <w:style w:type="character" w:customStyle="1" w:styleId="FooterChar">
    <w:name w:val="Footer Char"/>
    <w:basedOn w:val="DefaultParagraphFont"/>
    <w:link w:val="Footer"/>
    <w:rsid w:val="008241A2"/>
    <w:rPr>
      <w:rFonts w:asciiTheme="minorHAnsi" w:hAnsiTheme="minorHAnsi"/>
      <w:caps/>
      <w:noProof/>
      <w:sz w:val="16"/>
      <w:lang w:val="fr-FR" w:eastAsia="en-US"/>
    </w:rPr>
  </w:style>
  <w:style w:type="character" w:customStyle="1" w:styleId="BodyText2Char">
    <w:name w:val="Body Text 2 Char"/>
    <w:aliases w:val="Body Text1 Char"/>
    <w:basedOn w:val="DefaultParagraphFont"/>
    <w:link w:val="BodyText2"/>
    <w:rsid w:val="00127C8B"/>
    <w:rPr>
      <w:rFonts w:asciiTheme="minorHAnsi" w:eastAsia="Times New Roman" w:hAnsiTheme="minorHAnsi"/>
      <w:sz w:val="24"/>
      <w:lang w:val="en-GB" w:eastAsia="en-US"/>
    </w:rPr>
  </w:style>
  <w:style w:type="paragraph" w:styleId="BalloonText">
    <w:name w:val="Balloon Text"/>
    <w:basedOn w:val="Normal"/>
    <w:link w:val="BalloonTextChar"/>
    <w:semiHidden/>
    <w:unhideWhenUsed/>
    <w:rsid w:val="00493AC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93AC6"/>
    <w:rPr>
      <w:rFonts w:ascii="Tahoma" w:hAnsi="Tahoma" w:cs="Tahoma"/>
      <w:sz w:val="16"/>
      <w:szCs w:val="16"/>
      <w:lang w:val="en-GB" w:eastAsia="en-US"/>
    </w:rPr>
  </w:style>
  <w:style w:type="paragraph" w:customStyle="1" w:styleId="Reasons">
    <w:name w:val="Reasons"/>
    <w:basedOn w:val="Normal"/>
    <w:qFormat/>
    <w:rsid w:val="006D6897"/>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150/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mailto:tsbworkshops@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34709DFC077040A57CDE540614AE25" ma:contentTypeVersion="1" ma:contentTypeDescription="Create a new document." ma:contentTypeScope="" ma:versionID="a6dcaa773569c3714217e44e3ca8d72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B179F7-B610-418B-B7C5-3B9A9D30C39C}"/>
</file>

<file path=customXml/itemProps2.xml><?xml version="1.0" encoding="utf-8"?>
<ds:datastoreItem xmlns:ds="http://schemas.openxmlformats.org/officeDocument/2006/customXml" ds:itemID="{FEB0DC72-F40D-44C8-9248-D56F39665ACE}"/>
</file>

<file path=customXml/itemProps3.xml><?xml version="1.0" encoding="utf-8"?>
<ds:datastoreItem xmlns:ds="http://schemas.openxmlformats.org/officeDocument/2006/customXml" ds:itemID="{217AE039-E5F2-440C-A182-D9F5CDD59083}"/>
</file>

<file path=customXml/itemProps4.xml><?xml version="1.0" encoding="utf-8"?>
<ds:datastoreItem xmlns:ds="http://schemas.openxmlformats.org/officeDocument/2006/customXml" ds:itemID="{95E2B86F-5229-4F3C-8E99-DE9C29A0D7FB}"/>
</file>

<file path=docProps/app.xml><?xml version="1.0" encoding="utf-8"?>
<Properties xmlns="http://schemas.openxmlformats.org/officeDocument/2006/extended-properties" xmlns:vt="http://schemas.openxmlformats.org/officeDocument/2006/docPropsVTypes">
  <Template>PC_TSBWORKSHOP.dotm</Template>
  <TotalTime>2</TotalTime>
  <Pages>5</Pages>
  <Words>1962</Words>
  <Characters>4758</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6707</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Aveline, Marion</cp:lastModifiedBy>
  <cp:revision>6</cp:revision>
  <cp:lastPrinted>2015-03-11T10:54:00Z</cp:lastPrinted>
  <dcterms:created xsi:type="dcterms:W3CDTF">2015-03-11T10:53:00Z</dcterms:created>
  <dcterms:modified xsi:type="dcterms:W3CDTF">2015-03-11T13:50:00Z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0x010100B934709DFC077040A57CDE540614AE25</vt:lpwstr>
  </property>
</Properties>
</file>