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CB66B9" w:rsidRPr="00CC232D">
        <w:trPr>
          <w:tblCellSpacing w:w="7" w:type="dxa"/>
        </w:trPr>
        <w:tc>
          <w:tcPr>
            <w:tcW w:w="0" w:type="auto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66B9" w:rsidRPr="00CC232D" w:rsidRDefault="00CC232D" w:rsidP="00CB66B9">
            <w:pPr>
              <w:spacing w:after="0" w:line="280" w:lineRule="atLeast"/>
              <w:rPr>
                <w:rStyle w:val="SYM"/>
                <w:rFonts w:eastAsiaTheme="minorEastAsia"/>
              </w:rPr>
            </w:pPr>
            <w:r w:rsidRPr="00CC232D">
              <w:rPr>
                <w:rStyle w:val="SYM"/>
                <w:rFonts w:eastAsiaTheme="minorEastAsia"/>
              </w:rPr>
              <w:t>D</w:t>
            </w:r>
            <w:r w:rsidR="00CB66B9" w:rsidRPr="00CC232D">
              <w:rPr>
                <w:rStyle w:val="SYM"/>
                <w:rFonts w:eastAsiaTheme="minorEastAsia"/>
              </w:rPr>
              <w:t xml:space="preserve"> - Germany</w:t>
            </w:r>
          </w:p>
        </w:tc>
      </w:tr>
      <w:tr w:rsidR="00CB66B9" w:rsidRPr="00CB66B9" w:rsidTr="00C129C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bookmarkStart w:id="0" w:name="_GoBack" w:colFirst="0" w:colLast="1"/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  <w:tc>
          <w:tcPr>
            <w:tcW w:w="2226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Remarks</w:t>
            </w:r>
          </w:p>
        </w:tc>
      </w:tr>
      <w:tr w:rsidR="00CB66B9" w:rsidRPr="00CB66B9" w:rsidTr="00C129C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1250" w:type="pct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00" w:type="pct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B66B9" w:rsidRPr="00CB66B9" w:rsidTr="00C129C2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Bundesnetzagentur</w:t>
            </w:r>
            <w:proofErr w:type="spellEnd"/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</w:r>
            <w:proofErr w:type="spellStart"/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Referat</w:t>
            </w:r>
            <w:proofErr w:type="spellEnd"/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511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proofErr w:type="spellStart"/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Postfach</w:t>
            </w:r>
            <w:proofErr w:type="spellEnd"/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 xml:space="preserve"> 80 01</w:t>
            </w:r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55003 Mainz</w:t>
            </w:r>
          </w:p>
        </w:tc>
        <w:tc>
          <w:tcPr>
            <w:tcW w:w="140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t>TF : +49 6131 185419</w:t>
            </w:r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FAX : +49 6131 185602</w:t>
            </w:r>
            <w:r w:rsidRPr="00CB66B9"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  <w:br/>
              <w:t>EMAIL : 511.postfach@bnetza.de</w:t>
            </w:r>
          </w:p>
        </w:tc>
        <w:tc>
          <w:tcPr>
            <w:tcW w:w="2226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bookmarkEnd w:id="0"/>
      <w:tr w:rsidR="00CB66B9" w:rsidRPr="00CB66B9">
        <w:trPr>
          <w:tblCellSpacing w:w="7" w:type="dxa"/>
        </w:trPr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CB66B9" w:rsidRPr="00CB66B9" w:rsidRDefault="00CB66B9" w:rsidP="00CB66B9">
      <w:pPr>
        <w:pStyle w:val="SPACE"/>
        <w:pageBreakBefore w:val="0"/>
        <w:rPr>
          <w:lang w:val="en-GB"/>
        </w:rPr>
      </w:pPr>
      <w:r w:rsidRPr="00CB66B9">
        <w:rPr>
          <w:lang w:val="en-GB"/>
        </w:rPr>
        <w:t xml:space="preserve">Stations in the Space </w:t>
      </w:r>
      <w:proofErr w:type="spellStart"/>
      <w:r w:rsidRPr="00CB66B9">
        <w:rPr>
          <w:lang w:val="en-GB"/>
        </w:rPr>
        <w:t>radiocommunication</w:t>
      </w:r>
      <w:proofErr w:type="spellEnd"/>
      <w:r w:rsidRPr="00CB66B9">
        <w:rPr>
          <w:lang w:val="en-GB"/>
        </w:rPr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CB66B9" w:rsidRPr="00CB66B9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Telephone, Telefax, Electronic-mail</w:t>
            </w:r>
          </w:p>
        </w:tc>
      </w:tr>
      <w:tr w:rsidR="00CB66B9" w:rsidRPr="00CB66B9">
        <w:trPr>
          <w:tblCellSpacing w:w="7" w:type="dxa"/>
        </w:trPr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0" w:type="auto"/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</w:pPr>
            <w:proofErr w:type="spellStart"/>
            <w:r w:rsidRPr="00CB66B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>Leeheim</w:t>
            </w:r>
            <w:proofErr w:type="spellEnd"/>
            <w:r w:rsidRPr="00CB66B9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proofErr w:type="spellStart"/>
            <w:r w:rsidRPr="00CB66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Satellitenmessstelle</w:t>
            </w:r>
            <w:proofErr w:type="spellEnd"/>
            <w:r w:rsidRPr="00CB66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 xml:space="preserve">64560 </w:t>
            </w:r>
            <w:proofErr w:type="spellStart"/>
            <w:r w:rsidRPr="00CB66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Riedstadt-Leeheim</w:t>
            </w:r>
            <w:proofErr w:type="spellEnd"/>
            <w:r w:rsidRPr="00CB66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Germany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t>TF : +49 6158 9400</w:t>
            </w:r>
            <w:r w:rsidRPr="00CB66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FAX : +49 6158 940180</w:t>
            </w:r>
            <w:r w:rsidRPr="00CB66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val="en-GB"/>
              </w:rPr>
              <w:br/>
              <w:t>EMAIL : esch16.postfach@bnetza.de  </w:t>
            </w:r>
          </w:p>
        </w:tc>
      </w:tr>
    </w:tbl>
    <w:p w:rsidR="00CB66B9" w:rsidRPr="00CB66B9" w:rsidRDefault="00CB66B9" w:rsidP="00CB66B9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  <w:lang w:val="en-GB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1. Geographical coordinates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49°51'00" N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008°24'00" E 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2. Hours of service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2"/>
              <w:gridCol w:w="3417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April to October: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0500-1400 h from Monday to Friday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November to March: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0600-1500 h from Monday to Friday 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3. Information on antennas in use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Dipole antenna array for frequency range (a); 12 m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for frequency ranges (b), (c), (e), </w:t>
                  </w:r>
                  <w:proofErr w:type="gram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</w:t>
                  </w:r>
                  <w:proofErr w:type="gram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f); 8.5 m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Cassegrain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antenna for frequency ranges (d) and 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); 7 m prime focus antenna for frequency ranges (g) and (h).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4. Range of azimuth and elevation angles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360°, 90°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5. Maximum attainable accuracy in determining orbital positions of space stations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51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0.2/</w:t>
                  </w:r>
                  <w:proofErr w:type="gram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f[</w:t>
                  </w:r>
                  <w:proofErr w:type="gram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GHz] [no orbital position measurements within frequency range (a)].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6. Information on system polarization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Linear polarization (horizontal and vertical) in all frequency ranges. Additional circular polarization (RHC and LHC) in the frequency ranges (d) to 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). In frequency range (d) fixed polarization (RHC and LHC). Polarization angle adjustment in frequency ranges (d), (e), (f), (g), (h) and 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).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C232D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7. System noise temperature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9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130 MHz - 1000 MHz: 650 K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1500 MHz - 1800 MHz: 380 K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2100 MHz - 2300 MHz: 380 K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(d) 3400 MHz - 4200 MHz: 180 K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(e) 4300 MHz - 8500 MHz: 250 K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(f) 10.7 GHz - 12.75 GHz: 150 K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(g) 1 GHz - 12.75 GHz: 200 K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(h) 12.5 GHz - 26.5 GHz: 350 K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 17.7 GHz - 22 GHz: 318 K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8. Ranges of frequencies with the maximum attainable accuracy of frequency measurement for each frequency range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22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(a) 130 MHz - 1000 MHz: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(b) 1500 MHz - 1800 MHz: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(c) 2100 MHz - 2300 MHz: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(d) 3400 MHz - 4200 MHz: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(e) 4300 MHz - 8500 MHz: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(f) 10.7 GHz - 12.75 GHz: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(g) 1 GHz - 12.75 GHz: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(h) 12.5 GHz - 26.5 GHz: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 17.7 GHz - 22.0 GHz: 1 × 10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val="en-GB"/>
                    </w:rPr>
                    <w:t>-12</w:t>
                  </w: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9. Ranges of frequencies in which field strength or power flux-density measurements can be performed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3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130 MHz - 1000 MHz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1500 MHz - 1800 MHz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2100 MHz - 2300 MHz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(d) 3400 MHz - 4200 MHz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(e) 4300 MHz - 8500 MHz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(f) 10.7 GHz - 12.75 GHz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(g) 1 GHz - 12.75 GHz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(h) 12.5 GHz - 26.5 GHz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 17.7 GHz - 22 GHz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C232D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lastRenderedPageBreak/>
              <w:t>10. Minimum value of measurable field strength or power flux-density with indication of attainable accuracy of measurement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3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(a) -159... -151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2.5 dB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(b) -175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1.5 dB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(c) -175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1.5 dB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(d) -176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1.5 dB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(e) -175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1.5 dB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(f) -175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1.5 dB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(g) -165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/m² ± 1.5 dB 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(h) -164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1.5 dB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) -169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dBW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/m² ± 1.5 dB</w:t>
                  </w:r>
                </w:p>
              </w:tc>
            </w:tr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Bandwidth 4 kHz, S/N ≥ 10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dB.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11. Information available for bandwidth measurements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5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Bandwidth measurements in accordance with the methods described in the Spectrum Monitoring Handbook.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12. Information available for spectrum occupancy measurements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Computer controlled receiving system using directional antennas for frequency ranges (a) to 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) or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omni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-directional antennas for frequencies &lt; 2500 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MHz.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Up to 4 independent frequency bands of 600 MHz each are in time shift mode recordable. The results </w:t>
                  </w:r>
                  <w:proofErr w:type="gram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presented</w:t>
                  </w:r>
                  <w:proofErr w:type="gram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graphically as spectrograms.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  <w:tr w:rsidR="00CB66B9" w:rsidRPr="00CB66B9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</w:pPr>
            <w:r w:rsidRPr="00CB66B9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  <w:lang w:val="en-GB"/>
              </w:rPr>
              <w:t>13. Information available for orbit occupancy measurements  </w:t>
            </w:r>
          </w:p>
        </w:tc>
      </w:tr>
      <w:tr w:rsidR="00CB66B9" w:rsidRPr="00CB66B9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0"/>
            </w:tblGrid>
            <w:tr w:rsidR="00CB66B9" w:rsidRPr="00CB6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B66B9" w:rsidRPr="00CB66B9" w:rsidRDefault="00CB66B9" w:rsidP="00CB66B9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</w:pPr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Automatic orbit occupancy measurements </w:t>
                  </w:r>
                  <w:proofErr w:type="gram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are carried out</w:t>
                  </w:r>
                  <w:proofErr w:type="gram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 xml:space="preserve"> in the frequency ranges (a) to (</w:t>
                  </w:r>
                  <w:proofErr w:type="spellStart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i</w:t>
                  </w:r>
                  <w:proofErr w:type="spellEnd"/>
                  <w:r w:rsidRPr="00CB66B9">
                    <w:rPr>
                      <w:rFonts w:ascii="Verdana" w:eastAsia="Times New Roman" w:hAnsi="Verdana" w:cs="Times New Roman"/>
                      <w:sz w:val="18"/>
                      <w:szCs w:val="18"/>
                      <w:lang w:val="en-GB"/>
                    </w:rPr>
                    <w:t>). </w:t>
                  </w:r>
                </w:p>
              </w:tc>
            </w:tr>
          </w:tbl>
          <w:p w:rsidR="00CB66B9" w:rsidRPr="00CB66B9" w:rsidRDefault="00CB66B9" w:rsidP="00CB66B9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n-GB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B9" w:rsidRDefault="00CB66B9" w:rsidP="009830B2">
      <w:pPr>
        <w:spacing w:after="0" w:line="240" w:lineRule="auto"/>
      </w:pPr>
      <w:r>
        <w:separator/>
      </w:r>
    </w:p>
  </w:endnote>
  <w:endnote w:type="continuationSeparator" w:id="0">
    <w:p w:rsidR="00CB66B9" w:rsidRDefault="00CB66B9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="00C129C2">
      <w:rPr>
        <w:b/>
        <w:bCs/>
      </w:rPr>
      <w:fldChar w:fldCharType="separate"/>
    </w:r>
    <w:r w:rsidR="00C129C2">
      <w:rPr>
        <w:b/>
        <w:bCs/>
        <w:noProof/>
      </w:rPr>
      <w:t>D - Germany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C129C2">
              <w:rPr>
                <w:noProof/>
              </w:rPr>
              <w:t>3</w:t>
            </w:r>
            <w:r w:rsidRPr="00000016">
              <w:fldChar w:fldCharType="end"/>
            </w:r>
            <w:r w:rsidRPr="00000016">
              <w:t xml:space="preserve"> of </w:t>
            </w:r>
            <w:r w:rsidR="00CB66B9">
              <w:rPr>
                <w:noProof/>
              </w:rPr>
              <w:fldChar w:fldCharType="begin"/>
            </w:r>
            <w:r w:rsidR="00CB66B9">
              <w:rPr>
                <w:noProof/>
              </w:rPr>
              <w:instrText xml:space="preserve"> NUMPAGES  </w:instrText>
            </w:r>
            <w:r w:rsidR="00CB66B9">
              <w:rPr>
                <w:noProof/>
              </w:rPr>
              <w:fldChar w:fldCharType="separate"/>
            </w:r>
            <w:r w:rsidR="00C129C2">
              <w:rPr>
                <w:noProof/>
              </w:rPr>
              <w:t>3</w:t>
            </w:r>
            <w:r w:rsidR="00CB66B9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B9" w:rsidRDefault="00CB66B9" w:rsidP="009830B2">
      <w:pPr>
        <w:spacing w:after="0" w:line="240" w:lineRule="auto"/>
      </w:pPr>
      <w:r>
        <w:separator/>
      </w:r>
    </w:p>
  </w:footnote>
  <w:footnote w:type="continuationSeparator" w:id="0">
    <w:p w:rsidR="00CB66B9" w:rsidRDefault="00CB66B9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B9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7A24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129C2"/>
    <w:rsid w:val="00C313D7"/>
    <w:rsid w:val="00C616F7"/>
    <w:rsid w:val="00CB3E29"/>
    <w:rsid w:val="00CB66B9"/>
    <w:rsid w:val="00CC232D"/>
    <w:rsid w:val="00CC3A38"/>
    <w:rsid w:val="00D140ED"/>
    <w:rsid w:val="00D47C45"/>
    <w:rsid w:val="00DA1FC4"/>
    <w:rsid w:val="00DE2134"/>
    <w:rsid w:val="00E347A9"/>
    <w:rsid w:val="00E52349"/>
    <w:rsid w:val="00E5305F"/>
    <w:rsid w:val="00EC75BE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157CA31-7273-43FC-AE32-880B438F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TSD\TPR\Maritime\SDPB\LIST%20VIII-Edition_of_2019\06_EDITION_OF_2019\02_Particulars%20and%20Notes%20-%20Parts%20I%20and%20II\01_Particulars_201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0F9F8C-F05B-41FA-835C-BBB4CFA4AA16}"/>
</file>

<file path=customXml/itemProps2.xml><?xml version="1.0" encoding="utf-8"?>
<ds:datastoreItem xmlns:ds="http://schemas.openxmlformats.org/officeDocument/2006/customXml" ds:itemID="{D09B5C40-710B-467B-B592-0D04C40D1814}"/>
</file>

<file path=customXml/itemProps3.xml><?xml version="1.0" encoding="utf-8"?>
<ds:datastoreItem xmlns:ds="http://schemas.openxmlformats.org/officeDocument/2006/customXml" ds:itemID="{8F31FC05-EED4-49E2-AD80-FD9D3C4722C0}"/>
</file>

<file path=customXml/itemProps4.xml><?xml version="1.0" encoding="utf-8"?>
<ds:datastoreItem xmlns:ds="http://schemas.openxmlformats.org/officeDocument/2006/customXml" ds:itemID="{507F5C33-C06B-4C53-A0CF-CDA8916571B2}"/>
</file>

<file path=docProps/app.xml><?xml version="1.0" encoding="utf-8"?>
<Properties xmlns="http://schemas.openxmlformats.org/officeDocument/2006/extended-properties" xmlns:vt="http://schemas.openxmlformats.org/officeDocument/2006/docPropsVTypes">
  <Template>01_Particulars_2019_En.dotx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Puyana-Linares, Laura</dc:creator>
  <cp:keywords/>
  <dc:description/>
  <cp:lastModifiedBy>Puyana-Linares, Laura</cp:lastModifiedBy>
  <cp:revision>3</cp:revision>
  <cp:lastPrinted>2016-04-15T08:21:00Z</cp:lastPrinted>
  <dcterms:created xsi:type="dcterms:W3CDTF">2019-07-03T13:21:00Z</dcterms:created>
  <dcterms:modified xsi:type="dcterms:W3CDTF">2019-07-08T12:41:00Z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