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755"/>
        <w:gridCol w:w="3974"/>
        <w:gridCol w:w="6025"/>
      </w:tblGrid>
      <w:tr w:rsidR="00B5630A" w:rsidRPr="00B5630A" w14:paraId="1DBF3B5C" w14:textId="77777777" w:rsidTr="006363A4">
        <w:trPr>
          <w:tblCellSpacing w:w="7" w:type="dxa"/>
        </w:trPr>
        <w:tc>
          <w:tcPr>
            <w:tcW w:w="15678" w:type="dxa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DD9F5" w14:textId="77777777" w:rsidR="00B5630A" w:rsidRPr="00B5630A" w:rsidRDefault="00B5630A" w:rsidP="00B5630A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B5630A">
              <w:rPr>
                <w:rStyle w:val="SYM"/>
                <w:rFonts w:eastAsiaTheme="minorEastAsia"/>
                <w:lang w:val="en-GB" w:eastAsia="en-GB"/>
              </w:rPr>
              <w:t>D - Germany</w:t>
            </w:r>
          </w:p>
        </w:tc>
      </w:tr>
      <w:tr w:rsidR="00B5630A" w:rsidRPr="00B5630A" w14:paraId="2CAC8DE5" w14:textId="77777777" w:rsidTr="006363A4">
        <w:trPr>
          <w:tblCellSpacing w:w="7" w:type="dxa"/>
        </w:trPr>
        <w:tc>
          <w:tcPr>
            <w:tcW w:w="3119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550A7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3086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7F7375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4253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7D55DA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6992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5359E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22F789E3" w14:textId="77777777" w:rsidTr="006363A4">
        <w:trPr>
          <w:tblCellSpacing w:w="7" w:type="dxa"/>
        </w:trPr>
        <w:tc>
          <w:tcPr>
            <w:tcW w:w="3082" w:type="dxa"/>
            <w:shd w:val="clear" w:color="auto" w:fill="FFFFFF"/>
            <w:vAlign w:val="center"/>
            <w:hideMark/>
          </w:tcPr>
          <w:p w14:paraId="72CC4CA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14:paraId="22A580EE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6" w:type="dxa"/>
            <w:shd w:val="clear" w:color="auto" w:fill="FFFFFF"/>
            <w:vAlign w:val="center"/>
            <w:hideMark/>
          </w:tcPr>
          <w:p w14:paraId="424FF16B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992" w:type="dxa"/>
            <w:shd w:val="clear" w:color="auto" w:fill="FFFFFF"/>
            <w:vAlign w:val="center"/>
            <w:hideMark/>
          </w:tcPr>
          <w:p w14:paraId="0FED703D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13E6121A" w14:textId="77777777" w:rsidTr="006363A4">
        <w:trPr>
          <w:tblCellSpacing w:w="7" w:type="dxa"/>
        </w:trPr>
        <w:tc>
          <w:tcPr>
            <w:tcW w:w="3082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1860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Bundesnetzagentur</w:t>
            </w:r>
            <w:proofErr w:type="spellEnd"/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</w:r>
            <w:proofErr w:type="spellStart"/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Referat</w:t>
            </w:r>
            <w:proofErr w:type="spellEnd"/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511</w:t>
            </w:r>
          </w:p>
        </w:tc>
        <w:tc>
          <w:tcPr>
            <w:tcW w:w="3086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2ECB9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Postfach</w:t>
            </w:r>
            <w:proofErr w:type="spellEnd"/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80 01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55003 Mainz</w:t>
            </w:r>
          </w:p>
        </w:tc>
        <w:tc>
          <w:tcPr>
            <w:tcW w:w="2476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449FD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+49 6131 185419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+49 6131 185602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511.postfach@bnetza.de</w:t>
            </w:r>
          </w:p>
        </w:tc>
        <w:tc>
          <w:tcPr>
            <w:tcW w:w="6992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5DCD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2C42E7A9" w14:textId="77777777" w:rsidTr="006363A4">
        <w:trPr>
          <w:tblCellSpacing w:w="7" w:type="dxa"/>
        </w:trPr>
        <w:tc>
          <w:tcPr>
            <w:tcW w:w="3082" w:type="dxa"/>
            <w:shd w:val="clear" w:color="auto" w:fill="FFFFFF"/>
            <w:vAlign w:val="center"/>
            <w:hideMark/>
          </w:tcPr>
          <w:p w14:paraId="7C513BCB" w14:textId="77777777" w:rsidR="00B5630A" w:rsidRPr="00B5630A" w:rsidRDefault="00B5630A" w:rsidP="00B563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14:paraId="536FDE78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6" w:type="dxa"/>
            <w:shd w:val="clear" w:color="auto" w:fill="FFFFFF"/>
            <w:vAlign w:val="center"/>
            <w:hideMark/>
          </w:tcPr>
          <w:p w14:paraId="05B68806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992" w:type="dxa"/>
            <w:shd w:val="clear" w:color="auto" w:fill="FFFFFF"/>
            <w:vAlign w:val="center"/>
            <w:hideMark/>
          </w:tcPr>
          <w:p w14:paraId="468D0D45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DBDFED6" w14:textId="77777777" w:rsidR="00B5630A" w:rsidRPr="00B5630A" w:rsidRDefault="00B5630A" w:rsidP="00B5630A">
      <w:pPr>
        <w:pStyle w:val="TERRE"/>
        <w:spacing w:after="240"/>
        <w:rPr>
          <w:lang w:val="en-GB" w:eastAsia="en-GB"/>
        </w:rPr>
      </w:pPr>
      <w:r w:rsidRPr="00B5630A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62C90997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E61350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FA70C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38600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29DAE4AE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81DB44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5B1BE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0B165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254C4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2F351BE1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83BC41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Berlin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D9E9AC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Seidelstrasse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49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13405 Berlin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E64014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30 43741305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30 43741184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berl8.postfach@bnetza.de</w:t>
            </w:r>
          </w:p>
        </w:tc>
      </w:tr>
    </w:tbl>
    <w:p w14:paraId="237B4DB3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55CE8FED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60800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1C68A2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E6CB65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15B289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6F3199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3C228DBA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744CAA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52°34'00"N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013°18'00"E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AE003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4BB59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83549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51687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68EA3151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A3FE40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52°34'00"N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013°18'00"E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5DA36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51C10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677FC4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D419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9E119F1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72ED1A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52°34'00"N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013°18'00"E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FF083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BE78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1CDD1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A7FA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594C3DE7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D0354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52°34'00"N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013°18'00"E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6559A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2D0E9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96B105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11DCB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23FDEE33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FAB52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52°34'00"N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013°18'00"E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8C51E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2F51C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611C2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0F9D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</w:tbl>
    <w:p w14:paraId="5FA7D160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3F1BC032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18283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CBA5BD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A222B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2F32B777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A90A9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8272F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4183B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26753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5908073E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B521AD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Darmstadt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D9D4B3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Auf der </w:t>
            </w: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Ludwigshöhe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204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64285 Darmstadt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C18B40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6151 170205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6151 170180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esch8.postfach@bnetza.de</w:t>
            </w:r>
          </w:p>
        </w:tc>
      </w:tr>
    </w:tbl>
    <w:p w14:paraId="240AAC11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6F19B187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77DA2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F8B2B4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EC877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16E064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AB1A3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576309E4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BC8A7E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49°51'00"N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008°40'00"E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19E6C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651E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71ECC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96706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724BA1FB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F4DF1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49°51'00"N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008°40'00"E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DDCF6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B36E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261F8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33455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523BE8CC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9209C0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49°51'00"N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008°40'00"E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8CF66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D667B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6F46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EB3AC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6D0011A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5EAC87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49°51'00"N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008°40'00"E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0DAFC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C4A7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62934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8B3A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69D28FC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C72593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49°51'00"N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008°40'00"E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F95E2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9DF1A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BAA2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CC170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</w:tbl>
    <w:p w14:paraId="463A2E87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295E4C8B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17C8DC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817544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7C874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45F5D004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AB283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3B1C2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73425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85305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1646BD7F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A0432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Itzehoe</w:t>
            </w:r>
            <w:proofErr w:type="spellEnd"/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BFA45F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Postkamp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26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25524 </w:t>
            </w: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Breitenburg-Nordoe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17874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4821 895205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4821 895180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hamb8.postfach@bnetza.de</w:t>
            </w:r>
          </w:p>
        </w:tc>
      </w:tr>
    </w:tbl>
    <w:p w14:paraId="32E060AC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25125F2A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E97301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EDD0CA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6FD702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984ADC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7C994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71F2AA32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9A4A6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53°54'00"N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009°31'00"E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8E5EB4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D3F68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A5A2C4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1E74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14C8B747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8265F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53°54'00"N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009°31'00"E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4B4B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4F49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D9373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88025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29F1C789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2BDC3B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53°54'00"N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009°31'00"E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ACC18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89999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D5C9D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DE9D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559637CB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809D19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53°54'00"N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009°31'00"E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7A91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F9FF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9A0A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5D8A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3B5696D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E74381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53°54'00"N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009°31'00"E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15A72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B9227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BC64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39C7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</w:tbl>
    <w:p w14:paraId="519A5449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100A9F67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A05E9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5AB50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DFC162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4926EEB6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91DAE2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6C6E0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850C0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EAA45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22AFB950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A08731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Konstanz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6F6328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Zur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Allmannshöhe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27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78464 Konstanz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3BAEDB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7531 935205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7531 935183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karl8.postfach@bnetza.de</w:t>
            </w:r>
          </w:p>
        </w:tc>
      </w:tr>
    </w:tbl>
    <w:p w14:paraId="4A64FCEA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2429C311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478875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4AB61D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39468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54B57C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C35893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2CEFC1C9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D1779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009°12'00"E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EA74E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942DD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- 22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B076F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D0A8F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B5630A" w:rsidRPr="00B5630A" w14:paraId="4DC21974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EA07A0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009°12'00"E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3432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A48B6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- 22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84025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5BD33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B5630A" w:rsidRPr="00B5630A" w14:paraId="505E1FC2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74D62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009°12'00"E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0850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D963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7DED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ECE6C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B5630A" w:rsidRPr="00B5630A" w14:paraId="2366FF12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5298C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009°12'00"E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7B20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86A6E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D509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C8BF7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B5630A" w:rsidRPr="00B5630A" w14:paraId="043594A1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541527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47°41'00"N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009°12'00"E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BC5B2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02974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- 22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3498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D890B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1693A29B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408F36BF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D1DE0A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3FF54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1A83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3A329BDD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342563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B254C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2C8BF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C360E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0FC6CF11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9252E3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Krefeld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82B3FF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Lind 55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47509 </w:t>
            </w: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Rheurdt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FF5D5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2845 960205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2845 960183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koel8.postfach@bnetza.de</w:t>
            </w:r>
          </w:p>
        </w:tc>
      </w:tr>
    </w:tbl>
    <w:p w14:paraId="59026BC2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4385DC58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ECCE3D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B0CF0E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041E3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07B41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94B23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163E95B5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62F92F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51°26'00"N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006°28'00"E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FE320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D2FC7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CE53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62ED8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28A84A19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1EF6E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51°26'00"N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006°28'00"E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4B556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7655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7CB8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76C0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060DD5AF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2F56BB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51°26'00"N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006°28'00"E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1F1FD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1682F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BB04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96462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05D72F39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CB3EB0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51°26'00"N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006°28'00"E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30D4E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64A27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BAB04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09CBA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B63E431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B57DA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51°26'00"N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006°28'00"E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A61E3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2CE0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76B9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B65EE9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</w:tbl>
    <w:p w14:paraId="0235F396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573E7DD4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CE756A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7B5EF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F80E04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25F306A0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6E07B5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A6E7C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D930B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EDA8C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54ADF477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1F2D3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Leipzig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DD8C87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Max Liebermann Str. 63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04157 Leipzig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64E4E4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+49 341 9997102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+49 341 9996181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leip8postfach@bnetza.de</w:t>
            </w:r>
          </w:p>
        </w:tc>
      </w:tr>
    </w:tbl>
    <w:p w14:paraId="308859D0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7593A31B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EA5F92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614A2B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71D4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DAF57A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080423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753BE7F8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E52E55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51°23'00"N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012°22'00"E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2F3F8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A5174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7AD49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3A578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710E7F7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3F1BD1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51°23'00"N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012°22'00"E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1AEB2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D1DC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2C1B8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28174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6863DFF3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9FAFEC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51°23'00"N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012°22'00"E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2CA54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CBB7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123B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05037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5D17080D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934BC3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51°23'00"N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012°22'00"E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E538D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682EA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D27BC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E2991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0364662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CC39F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51°23'00"N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012°22'00"E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098FF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E5C5F5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83B2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32C18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</w:tbl>
    <w:p w14:paraId="2D36F33F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7333AC49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1E82F7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9317B9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01CD74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7304E473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6561DC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7F9C7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644B8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749BD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6762855B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BCF54F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München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1B8FF8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Betzenweg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32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81247 München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6F06BE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89 38606205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89 38606183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augs8.postfach@bnetza.de</w:t>
            </w:r>
          </w:p>
        </w:tc>
      </w:tr>
    </w:tbl>
    <w:p w14:paraId="49A2E832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5630A" w:rsidRPr="00B5630A" w14:paraId="25FB39AA" w14:textId="77777777" w:rsidTr="00B5630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B2B4D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D03416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6AE843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5D3BFE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D3373F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5630A" w:rsidRPr="00B5630A" w14:paraId="01E2684F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DFF711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48°10'00"N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011°28'00"E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16058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DE779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9E9F3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4EE63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3AC1C932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C84523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48°10'00"N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011°28'00"E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11308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F693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F4F37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E1AA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01ACAB9B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04A0C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48°10'00"N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011°28'00"E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581C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BFA95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CF915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06CB2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2D6CD88D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400644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48°10'00"N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011°28'00"E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D37F2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81634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8BA2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B692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  <w:tr w:rsidR="00B5630A" w:rsidRPr="00B5630A" w14:paraId="67039AE7" w14:textId="77777777" w:rsidTr="00B5630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C7097" w14:textId="77777777" w:rsidR="00B5630A" w:rsidRPr="00B5630A" w:rsidRDefault="00B5630A" w:rsidP="00B5630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48°10'00"N</w:t>
            </w: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011°28'00"E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3822C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A0E0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10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9A43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BDEB95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Thursday: 0800 to 1600 (local time) Friday: 0800 to 1500 (local time)  </w:t>
            </w:r>
          </w:p>
        </w:tc>
      </w:tr>
    </w:tbl>
    <w:p w14:paraId="105A7FB7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AE24341" w14:textId="77777777" w:rsidR="00B5630A" w:rsidRPr="00B5630A" w:rsidRDefault="00B5630A" w:rsidP="00B5630A">
      <w:pPr>
        <w:pStyle w:val="SPACE"/>
        <w:rPr>
          <w:lang w:val="en-GB" w:eastAsia="en-GB"/>
        </w:rPr>
      </w:pPr>
      <w:r w:rsidRPr="00B5630A">
        <w:rPr>
          <w:lang w:val="en-GB" w:eastAsia="en-GB"/>
        </w:rPr>
        <w:t>Stations in the Space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5630A" w:rsidRPr="00B5630A" w14:paraId="442DBCFA" w14:textId="77777777" w:rsidTr="00B5630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3B0228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CEA7F3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0DF2F0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5630A" w:rsidRPr="00B5630A" w14:paraId="51301584" w14:textId="77777777" w:rsidTr="00B563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B789DB" w14:textId="77777777" w:rsidR="00B5630A" w:rsidRPr="00B5630A" w:rsidRDefault="00B5630A" w:rsidP="00B5630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05188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48002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FB001" w14:textId="77777777" w:rsidR="00B5630A" w:rsidRPr="00B5630A" w:rsidRDefault="00B5630A" w:rsidP="00B5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5630A" w:rsidRPr="00B5630A" w14:paraId="177F4AEA" w14:textId="77777777" w:rsidTr="00B5630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B64C29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Leeheim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948741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Satellitenmessstelle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64560 </w:t>
            </w:r>
            <w:proofErr w:type="spellStart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Riedstadt-Leeheim</w:t>
            </w:r>
            <w:proofErr w:type="spellEnd"/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Germany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59198" w14:textId="77777777" w:rsidR="00B5630A" w:rsidRPr="00B5630A" w:rsidRDefault="00B5630A" w:rsidP="00B5630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+49 6158 9400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+49 6158 940180</w:t>
            </w:r>
            <w:r w:rsidRPr="00B5630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esch16.postfach@bnetza.de</w:t>
            </w:r>
          </w:p>
        </w:tc>
      </w:tr>
    </w:tbl>
    <w:p w14:paraId="0969AC8E" w14:textId="77777777" w:rsidR="00B5630A" w:rsidRPr="00B5630A" w:rsidRDefault="00B5630A" w:rsidP="00B56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0"/>
      </w:tblGrid>
      <w:tr w:rsidR="00B5630A" w:rsidRPr="00B5630A" w14:paraId="407D5161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0D8A3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1. Geographical coordinates  </w:t>
            </w:r>
          </w:p>
        </w:tc>
      </w:tr>
      <w:tr w:rsidR="00B5630A" w:rsidRPr="00B5630A" w14:paraId="1875CE09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B5630A" w:rsidRPr="00B5630A" w14:paraId="17F542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A7BC73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49°51'00"N </w:t>
                  </w:r>
                </w:p>
              </w:tc>
            </w:tr>
            <w:tr w:rsidR="00B5630A" w:rsidRPr="00B5630A" w14:paraId="2E65D6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15139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008°24'00"E </w:t>
                  </w:r>
                </w:p>
              </w:tc>
            </w:tr>
          </w:tbl>
          <w:p w14:paraId="13F0D05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66DF7131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6DF1B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2. Hours of service  </w:t>
            </w:r>
          </w:p>
        </w:tc>
      </w:tr>
      <w:tr w:rsidR="00B5630A" w:rsidRPr="00B5630A" w14:paraId="1AEA099A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B5630A" w:rsidRPr="00B5630A" w14:paraId="7E8949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065220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April to October: 0500-1400 h from Monday to Friday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November to March: 0600-1500 h from Monday to Friday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 </w:t>
                  </w:r>
                </w:p>
              </w:tc>
            </w:tr>
          </w:tbl>
          <w:p w14:paraId="73DA5B3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67C1A044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7F0A7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3. Information on antennas in use  </w:t>
            </w:r>
          </w:p>
        </w:tc>
      </w:tr>
      <w:tr w:rsidR="00B5630A" w:rsidRPr="00B5630A" w14:paraId="561EF96C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B5630A" w:rsidRPr="00B5630A" w14:paraId="2CA0B4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E4884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Dipole antenna array for frequency range (a); 12 m Cassegrain antenna for frequency ranges (b), (c), (e), (f); 8.5 m Cassegrain antenna for frequency ranges (d) and 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); 7 m prime focus antenna for frequency ranges (g) and (h).  </w:t>
                  </w:r>
                </w:p>
              </w:tc>
            </w:tr>
          </w:tbl>
          <w:p w14:paraId="2C37074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0699F645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537AC6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4. Range of azimuth and elevation angles  </w:t>
            </w:r>
          </w:p>
        </w:tc>
      </w:tr>
      <w:tr w:rsidR="00B5630A" w:rsidRPr="00B5630A" w14:paraId="4D2CC11E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</w:tblGrid>
            <w:tr w:rsidR="00B5630A" w:rsidRPr="00B5630A" w14:paraId="3FDE80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895DC0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360°, 90°  </w:t>
                  </w:r>
                </w:p>
              </w:tc>
            </w:tr>
          </w:tbl>
          <w:p w14:paraId="55FFB0C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244C2F2A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F9700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5. Maximum attainable accuracy in determining orbital positions of space stations  </w:t>
            </w:r>
          </w:p>
        </w:tc>
      </w:tr>
      <w:tr w:rsidR="00B5630A" w:rsidRPr="00B5630A" w14:paraId="23DEE417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4"/>
            </w:tblGrid>
            <w:tr w:rsidR="00B5630A" w:rsidRPr="00B5630A" w14:paraId="132760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A1795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0.2/f[GHz] [no orbital position measurements within frequency range (a)].  </w:t>
                  </w:r>
                </w:p>
              </w:tc>
            </w:tr>
          </w:tbl>
          <w:p w14:paraId="68BC88F4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2C94D2C1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10BF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6. Information on system polarization  </w:t>
            </w:r>
          </w:p>
        </w:tc>
      </w:tr>
      <w:tr w:rsidR="00B5630A" w:rsidRPr="00B5630A" w14:paraId="118CEA8F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B5630A" w:rsidRPr="00B5630A" w14:paraId="3A7355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60FA7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Linear polarization (horizontal and vertical) in all frequency ranges. Additional circular polarization (RHC and LHC) in the frequency ranges (d) to 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). In frequency range (d) fixed polarization (RHC and LHC). Polarization angle adjustment in frequency ranges (d), (e), (f), (g), (h) and 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).  </w:t>
                  </w:r>
                </w:p>
              </w:tc>
            </w:tr>
          </w:tbl>
          <w:p w14:paraId="75B08FE3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6DCEDE44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0F236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7. System noise temperature  </w:t>
            </w:r>
          </w:p>
        </w:tc>
      </w:tr>
      <w:tr w:rsidR="00B5630A" w:rsidRPr="00B5630A" w14:paraId="26C036CF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9"/>
            </w:tblGrid>
            <w:tr w:rsidR="00B5630A" w:rsidRPr="00B5630A" w14:paraId="76FD14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31D675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130 MHz - 1000 MHz: 650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1500 MHz - 1800 MHz: 380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2100 MHz - 2300 MHz: 380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3400 MHz - 4200 MHz: 180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4300 MHz - 8500 MHz: 250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10.7 GHz - 12.75 GHz: 150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 GHz - 12.75 GHz: 200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12.5 GHz - 26.5 GHz: 350 K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 17.7 GHz - 22 GHz: 318 K  </w:t>
                  </w:r>
                </w:p>
              </w:tc>
            </w:tr>
          </w:tbl>
          <w:p w14:paraId="6613F58E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173D8FB8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035E18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8. Ranges of frequencies with the maximum attainable accuracy of frequency measurement for each frequency range  </w:t>
            </w:r>
          </w:p>
        </w:tc>
      </w:tr>
      <w:tr w:rsidR="00B5630A" w:rsidRPr="00B5630A" w14:paraId="153C1EE8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</w:tblGrid>
            <w:tr w:rsidR="00B5630A" w:rsidRPr="00B5630A" w14:paraId="580F19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BF46E2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130 MHz - 1000 MHz: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1500 MHz - 1800 MHz: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2100 MHz - 2300 MHz: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3400 MHz - 4200 MHz: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4300 MHz - 8500 MHz: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10.7 GHz - 12.75 GHz: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 GHz - 12.75 GHz: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12.5 GHz - 26.5 GHz: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 17.7 GHz - 22.0 GHz: 1 × 10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-12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  </w:t>
                  </w:r>
                </w:p>
              </w:tc>
            </w:tr>
          </w:tbl>
          <w:p w14:paraId="5640F67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77858BFB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7A5E6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9. Ranges of frequencies in which field strength or power flux-density measurements can be performed  </w:t>
            </w:r>
          </w:p>
        </w:tc>
      </w:tr>
      <w:tr w:rsidR="00B5630A" w:rsidRPr="00B5630A" w14:paraId="7580678B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3"/>
            </w:tblGrid>
            <w:tr w:rsidR="00B5630A" w:rsidRPr="00B5630A" w14:paraId="246572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581D35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130 MHz - 1000 MHz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1500 MHz - 1800 MHz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2100 MHz - 2300 MHz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3400 MHz - 4200 MHz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4300 MHz - 8500 MHz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10.7 GHz - 12.75 GHz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 GHz - 12.75 GHz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12.5 GHz - 26.5 GHz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 17.7 GHz - 22 GHz  </w:t>
                  </w:r>
                </w:p>
              </w:tc>
            </w:tr>
          </w:tbl>
          <w:p w14:paraId="62E13A24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60B77F5D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1131FC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10. Minimum value of measurable field strength or power flux-density with indication of attainable accuracy of measurement  </w:t>
            </w:r>
          </w:p>
        </w:tc>
      </w:tr>
      <w:tr w:rsidR="00B5630A" w:rsidRPr="00B5630A" w14:paraId="67AE6DB6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</w:tblGrid>
            <w:tr w:rsidR="00B5630A" w:rsidRPr="00B5630A" w14:paraId="1B42FC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9E056C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(a) -159... -151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2.5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(b) -175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(c) -175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(d) -176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(e) -175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(f) -175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(g) -165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(h) -164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) -169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/m²; ± 1.5 dB</w:t>
                  </w: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 xml:space="preserve">Bandwidth 4 kHz, S/N ≥ 10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dB.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 </w:t>
                  </w:r>
                </w:p>
              </w:tc>
            </w:tr>
          </w:tbl>
          <w:p w14:paraId="73F0606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6F9A575D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B3BE5A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11. Information available for bandwidth measurements  </w:t>
            </w:r>
          </w:p>
        </w:tc>
      </w:tr>
      <w:tr w:rsidR="00B5630A" w:rsidRPr="00B5630A" w14:paraId="2B2156FA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9"/>
            </w:tblGrid>
            <w:tr w:rsidR="00B5630A" w:rsidRPr="00B5630A" w14:paraId="6A94CF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166E5E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Bandwidth measurements in accordance with the methods described in the Spectrum Monitoring Handbook.  </w:t>
                  </w:r>
                </w:p>
              </w:tc>
            </w:tr>
          </w:tbl>
          <w:p w14:paraId="69D85427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164B6E57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12837F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12. Information available for spectrum occupancy measurements  </w:t>
            </w:r>
          </w:p>
        </w:tc>
      </w:tr>
      <w:tr w:rsidR="00B5630A" w:rsidRPr="00B5630A" w14:paraId="10A73268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B5630A" w:rsidRPr="00B5630A" w14:paraId="08DE5E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D4B2DB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Computer controlled receiving system using directional antennas for frequency ranges (a) to 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) or omni-directional antennas for frequencies &lt; 2500 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MHz.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Up to 4 independent frequency bands of 600 MHz each are in time shift mode recordable. The results are presented graphically as spectrograms.  </w:t>
                  </w:r>
                </w:p>
              </w:tc>
            </w:tr>
          </w:tbl>
          <w:p w14:paraId="55E36BB0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5630A" w:rsidRPr="00B5630A" w14:paraId="77DC62B9" w14:textId="77777777" w:rsidTr="00B5630A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56FBB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5630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13. Information available for orbit occupancy measurements  </w:t>
            </w:r>
          </w:p>
        </w:tc>
      </w:tr>
      <w:tr w:rsidR="00B5630A" w:rsidRPr="00B5630A" w14:paraId="62F492BF" w14:textId="77777777" w:rsidTr="00B5630A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B5630A" w:rsidRPr="00B5630A" w14:paraId="72FA32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454E8" w14:textId="77777777" w:rsidR="00B5630A" w:rsidRPr="00B5630A" w:rsidRDefault="00B5630A" w:rsidP="00B5630A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Automatic orbit occupancy measurements are carried out in the frequency ranges (a) to (</w:t>
                  </w:r>
                  <w:proofErr w:type="spellStart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i</w:t>
                  </w:r>
                  <w:proofErr w:type="spellEnd"/>
                  <w:r w:rsidRPr="00B5630A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).  </w:t>
                  </w:r>
                </w:p>
              </w:tc>
            </w:tr>
          </w:tbl>
          <w:p w14:paraId="0368B501" w14:textId="77777777" w:rsidR="00B5630A" w:rsidRPr="00B5630A" w:rsidRDefault="00B5630A" w:rsidP="00B5630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5F458C79" w14:textId="07563404" w:rsidR="00F72F02" w:rsidRDefault="00F72F02" w:rsidP="005B5BD0">
      <w:pPr>
        <w:spacing w:after="100" w:line="240" w:lineRule="auto"/>
      </w:pPr>
    </w:p>
    <w:p w14:paraId="0A2AFA6B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0B61" w14:textId="77777777" w:rsidR="00B5630A" w:rsidRDefault="00B5630A" w:rsidP="009830B2">
      <w:pPr>
        <w:spacing w:after="0" w:line="240" w:lineRule="auto"/>
      </w:pPr>
      <w:r>
        <w:separator/>
      </w:r>
    </w:p>
  </w:endnote>
  <w:endnote w:type="continuationSeparator" w:id="0">
    <w:p w14:paraId="76EE8804" w14:textId="77777777" w:rsidR="00B5630A" w:rsidRDefault="00B5630A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9DA7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60D3" w14:textId="77777777" w:rsidR="00A40AF0" w:rsidRPr="00AA059F" w:rsidRDefault="006363A4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 xml:space="preserve">des </w:t>
        </w:r>
        <w:proofErr w:type="spellStart"/>
        <w:r w:rsidR="00AB7946">
          <w:rPr>
            <w:lang w:val="fr-FR"/>
          </w:rPr>
          <w:t>Editions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83E5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8309" w14:textId="77777777" w:rsidR="00B5630A" w:rsidRDefault="00B5630A" w:rsidP="009830B2">
      <w:pPr>
        <w:spacing w:after="0" w:line="240" w:lineRule="auto"/>
      </w:pPr>
      <w:r>
        <w:separator/>
      </w:r>
    </w:p>
  </w:footnote>
  <w:footnote w:type="continuationSeparator" w:id="0">
    <w:p w14:paraId="62779043" w14:textId="77777777" w:rsidR="00B5630A" w:rsidRDefault="00B5630A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5CCF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6C26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B20F66" wp14:editId="7A05B80F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308F7" w14:textId="5F41249C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20F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487308F7" w14:textId="5F41249C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B5FB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0A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363A4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5630A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6494D"/>
  <w15:docId w15:val="{B9013E8F-4C8F-4B57-98AE-2E7C33F6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0F5AF3-981F-4D6B-93FA-BBF2B461088F}"/>
</file>

<file path=customXml/itemProps2.xml><?xml version="1.0" encoding="utf-8"?>
<ds:datastoreItem xmlns:ds="http://schemas.openxmlformats.org/officeDocument/2006/customXml" ds:itemID="{D9DA3251-3629-421C-AB89-5BCE8E67A8FE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1D3DA8BE-D970-4621-9EF7-00DC003BCC16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3</TotalTime>
  <Pages>9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2022-03-11T12:43:00Z</dcterms:created>
  <dcterms:modified xsi:type="dcterms:W3CDTF">2022-03-11T12:46:00Z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