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harts/chart1.xml" ContentType="application/vnd.openxmlformats-officedocument.drawingml.chart+xml"/>
  <Override PartName="/word/theme/theme1.xml" ContentType="application/vnd.openxmlformats-officedocument.theme+xml"/>
  <Override PartName="/word/charts/style1.xml" ContentType="application/vnd.ms-office.chartstyle+xml"/>
  <Override PartName="/word/charts/colors1.xml" ContentType="application/vnd.ms-office.chartcolorsty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A25" w:rsidRPr="00C53A25" w:rsidRDefault="00C53A25">
      <w:pPr>
        <w:rPr>
          <w:b/>
          <w:sz w:val="28"/>
        </w:rPr>
      </w:pPr>
      <w:r w:rsidRPr="00C53A25">
        <w:rPr>
          <w:b/>
          <w:sz w:val="28"/>
        </w:rPr>
        <w:t xml:space="preserve">India Calculated Max. Aggregate </w:t>
      </w:r>
      <w:proofErr w:type="spellStart"/>
      <w:r w:rsidRPr="00C53A25">
        <w:rPr>
          <w:b/>
          <w:sz w:val="28"/>
        </w:rPr>
        <w:t>epfd</w:t>
      </w:r>
      <w:proofErr w:type="spellEnd"/>
      <w:r w:rsidRPr="00C53A25">
        <w:rPr>
          <w:b/>
          <w:sz w:val="28"/>
        </w:rPr>
        <w:t xml:space="preserve"> of all RNSS systems considered during the 17</w:t>
      </w:r>
      <w:r w:rsidRPr="00C53A25">
        <w:rPr>
          <w:b/>
          <w:sz w:val="28"/>
          <w:vertAlign w:val="superscript"/>
        </w:rPr>
        <w:t>th</w:t>
      </w:r>
      <w:r w:rsidRPr="00C53A25">
        <w:rPr>
          <w:b/>
          <w:sz w:val="28"/>
        </w:rPr>
        <w:t xml:space="preserve"> RES-609 Consultation meeting</w:t>
      </w:r>
    </w:p>
    <w:p w:rsidR="00C53A25" w:rsidRDefault="00C53A25"/>
    <w:tbl>
      <w:tblPr>
        <w:tblW w:w="9352" w:type="dxa"/>
        <w:tblLook w:val="04A0" w:firstRow="1" w:lastRow="0" w:firstColumn="1" w:lastColumn="0" w:noHBand="0" w:noVBand="1"/>
      </w:tblPr>
      <w:tblGrid>
        <w:gridCol w:w="761"/>
        <w:gridCol w:w="1577"/>
        <w:gridCol w:w="761"/>
        <w:gridCol w:w="1577"/>
        <w:gridCol w:w="761"/>
        <w:gridCol w:w="1577"/>
        <w:gridCol w:w="761"/>
        <w:gridCol w:w="1577"/>
      </w:tblGrid>
      <w:tr w:rsidR="00C53A25" w:rsidRPr="00C53A25" w:rsidTr="00C53A25">
        <w:trPr>
          <w:trHeight w:val="705"/>
        </w:trPr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25" w:rsidRPr="00C53A25" w:rsidRDefault="00C53A25" w:rsidP="00C53A25">
            <w:pPr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</w:pPr>
            <w:proofErr w:type="spellStart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Freq</w:t>
            </w:r>
            <w:proofErr w:type="spellEnd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br/>
              <w:t>(MHz)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25" w:rsidRPr="00C53A25" w:rsidRDefault="00C53A25" w:rsidP="00C53A25">
            <w:pPr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</w:pPr>
            <w:proofErr w:type="spellStart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Max.aepfd</w:t>
            </w:r>
            <w:proofErr w:type="spellEnd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 xml:space="preserve"> (</w:t>
            </w:r>
            <w:proofErr w:type="spellStart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dBW</w:t>
            </w:r>
            <w:proofErr w:type="spellEnd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/MHz/m</w:t>
            </w:r>
            <w:r w:rsidRPr="00C53A25">
              <w:rPr>
                <w:rFonts w:eastAsia="Times New Roman"/>
                <w:b/>
                <w:bCs/>
                <w:color w:val="000000"/>
                <w:sz w:val="20"/>
                <w:vertAlign w:val="superscript"/>
                <w:lang w:eastAsia="en-IN"/>
              </w:rPr>
              <w:t>2</w:t>
            </w:r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)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25" w:rsidRPr="00C53A25" w:rsidRDefault="00C53A25" w:rsidP="00C53A25">
            <w:pPr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</w:pPr>
            <w:proofErr w:type="spellStart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Freq</w:t>
            </w:r>
            <w:proofErr w:type="spellEnd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br/>
              <w:t>(MHz)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25" w:rsidRPr="00C53A25" w:rsidRDefault="00C53A25" w:rsidP="00C53A25">
            <w:pPr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</w:pPr>
            <w:proofErr w:type="spellStart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Max.aepfd</w:t>
            </w:r>
            <w:proofErr w:type="spellEnd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 xml:space="preserve"> (</w:t>
            </w:r>
            <w:proofErr w:type="spellStart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dBW</w:t>
            </w:r>
            <w:proofErr w:type="spellEnd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/MHz/m</w:t>
            </w:r>
            <w:r w:rsidRPr="00C53A25">
              <w:rPr>
                <w:rFonts w:eastAsia="Times New Roman"/>
                <w:b/>
                <w:bCs/>
                <w:color w:val="000000"/>
                <w:sz w:val="20"/>
                <w:vertAlign w:val="superscript"/>
                <w:lang w:eastAsia="en-IN"/>
              </w:rPr>
              <w:t>2</w:t>
            </w:r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)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25" w:rsidRPr="00C53A25" w:rsidRDefault="00C53A25" w:rsidP="00C53A25">
            <w:pPr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</w:pPr>
            <w:proofErr w:type="spellStart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Freq</w:t>
            </w:r>
            <w:proofErr w:type="spellEnd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br/>
              <w:t>(MHz)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25" w:rsidRPr="00C53A25" w:rsidRDefault="00C53A25" w:rsidP="00C53A25">
            <w:pPr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</w:pPr>
            <w:proofErr w:type="spellStart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Max.aepfd</w:t>
            </w:r>
            <w:proofErr w:type="spellEnd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 xml:space="preserve"> (</w:t>
            </w:r>
            <w:proofErr w:type="spellStart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dBW</w:t>
            </w:r>
            <w:proofErr w:type="spellEnd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/MHz/m</w:t>
            </w:r>
            <w:r w:rsidRPr="00C53A25">
              <w:rPr>
                <w:rFonts w:eastAsia="Times New Roman"/>
                <w:b/>
                <w:bCs/>
                <w:color w:val="000000"/>
                <w:sz w:val="20"/>
                <w:vertAlign w:val="superscript"/>
                <w:lang w:eastAsia="en-IN"/>
              </w:rPr>
              <w:t>2</w:t>
            </w:r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)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A25" w:rsidRPr="00C53A25" w:rsidRDefault="00C53A25" w:rsidP="00C53A25">
            <w:pPr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</w:pPr>
            <w:proofErr w:type="spellStart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Freq</w:t>
            </w:r>
            <w:proofErr w:type="spellEnd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br/>
              <w:t>(MHz)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A25" w:rsidRPr="00C53A25" w:rsidRDefault="00C53A25" w:rsidP="00C53A25">
            <w:pPr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</w:pPr>
            <w:proofErr w:type="spellStart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Max.aepfd</w:t>
            </w:r>
            <w:proofErr w:type="spellEnd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 xml:space="preserve"> (</w:t>
            </w:r>
            <w:proofErr w:type="spellStart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dBW</w:t>
            </w:r>
            <w:proofErr w:type="spellEnd"/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/MHz/m</w:t>
            </w:r>
            <w:r w:rsidRPr="00C53A25">
              <w:rPr>
                <w:rFonts w:eastAsia="Times New Roman"/>
                <w:b/>
                <w:bCs/>
                <w:color w:val="000000"/>
                <w:sz w:val="20"/>
                <w:vertAlign w:val="superscript"/>
                <w:lang w:eastAsia="en-IN"/>
              </w:rPr>
              <w:t>2</w:t>
            </w:r>
            <w:r w:rsidRPr="00C53A25">
              <w:rPr>
                <w:rFonts w:eastAsia="Times New Roman"/>
                <w:b/>
                <w:bCs/>
                <w:color w:val="000000"/>
                <w:sz w:val="20"/>
                <w:lang w:eastAsia="en-IN"/>
              </w:rPr>
              <w:t>)</w:t>
            </w:r>
          </w:p>
        </w:tc>
      </w:tr>
      <w:tr w:rsidR="00C53A25" w:rsidRPr="00C53A25" w:rsidTr="00C53A25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bookmarkStart w:id="0" w:name="RANGE!A2:H14"/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1164</w:t>
            </w:r>
            <w:bookmarkEnd w:id="0"/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-138.8826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1177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-123.1076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1190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-135.6499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1203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-125.6790</w:t>
            </w:r>
          </w:p>
        </w:tc>
      </w:tr>
      <w:tr w:rsidR="00C53A25" w:rsidRPr="00C53A25" w:rsidTr="00C53A25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1165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-140.3920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1178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-123.4976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1191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-134.7887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1204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-124.7949</w:t>
            </w:r>
          </w:p>
        </w:tc>
      </w:tr>
      <w:tr w:rsidR="00C53A25" w:rsidRPr="00C53A25" w:rsidTr="00C53A25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1166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-140.0720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1179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-124.3281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1192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-134.8166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1205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-124.4808</w:t>
            </w:r>
          </w:p>
        </w:tc>
      </w:tr>
      <w:tr w:rsidR="00C53A25" w:rsidRPr="00C53A25" w:rsidTr="00C53A25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1167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-139.1270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1180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-124.7601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1193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-135.5758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1206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-123.6795</w:t>
            </w:r>
          </w:p>
        </w:tc>
      </w:tr>
      <w:tr w:rsidR="00C53A25" w:rsidRPr="00C53A25" w:rsidTr="00C53A25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1168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-135.8822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1181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-125.7823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1194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-136.4744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1207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-122.5404</w:t>
            </w:r>
          </w:p>
        </w:tc>
      </w:tr>
      <w:tr w:rsidR="00C53A25" w:rsidRPr="00C53A25" w:rsidTr="00C53A25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1169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-132.4541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1182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-127.6173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1195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-138.0168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1208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-123.5940</w:t>
            </w:r>
          </w:p>
        </w:tc>
      </w:tr>
      <w:tr w:rsidR="00C53A25" w:rsidRPr="00C53A25" w:rsidTr="00C53A25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1170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-129.2799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1183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-129.9380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1196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-138.5711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1209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-125.2995</w:t>
            </w:r>
          </w:p>
        </w:tc>
      </w:tr>
      <w:tr w:rsidR="00C53A25" w:rsidRPr="00C53A25" w:rsidTr="00C53A25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1171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-126.7995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1184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-132.5021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1197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-137.6835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1210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-125.8961</w:t>
            </w:r>
          </w:p>
        </w:tc>
      </w:tr>
      <w:tr w:rsidR="00C53A25" w:rsidRPr="00C53A25" w:rsidTr="00C53A25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1172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-126.1079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1185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-135.9430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1198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-135.3620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1211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-127.0278</w:t>
            </w:r>
          </w:p>
        </w:tc>
      </w:tr>
      <w:tr w:rsidR="00C53A25" w:rsidRPr="00C53A25" w:rsidTr="00C53A25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1173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-124.8386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1186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-138.9971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1199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-132.9315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1212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-128.3011</w:t>
            </w:r>
          </w:p>
        </w:tc>
      </w:tr>
      <w:tr w:rsidR="00C53A25" w:rsidRPr="00C53A25" w:rsidTr="00C53A25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1174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-124.1819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1187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-141.2950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1200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-130.3986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1213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-130.1607</w:t>
            </w:r>
          </w:p>
        </w:tc>
      </w:tr>
      <w:tr w:rsidR="00C53A25" w:rsidRPr="00C53A25" w:rsidTr="00C53A25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1175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-123.3766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1188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-139.6840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1201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-128.4072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1214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-132.4413</w:t>
            </w:r>
          </w:p>
        </w:tc>
      </w:tr>
      <w:tr w:rsidR="00C53A25" w:rsidRPr="00C53A25" w:rsidTr="00C53A25">
        <w:trPr>
          <w:trHeight w:val="33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1176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-121.8265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1189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-137.4518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-126.7717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1215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3A25" w:rsidRPr="00C53A25" w:rsidRDefault="00C53A25" w:rsidP="00C53A25">
            <w:pPr>
              <w:rPr>
                <w:rFonts w:eastAsia="Times New Roman"/>
                <w:color w:val="000000"/>
                <w:sz w:val="20"/>
                <w:lang w:eastAsia="en-IN"/>
              </w:rPr>
            </w:pPr>
            <w:r w:rsidRPr="00C53A25">
              <w:rPr>
                <w:rFonts w:eastAsia="Times New Roman"/>
                <w:color w:val="000000"/>
                <w:sz w:val="20"/>
                <w:lang w:eastAsia="en-IN"/>
              </w:rPr>
              <w:t>-135.7045</w:t>
            </w:r>
          </w:p>
        </w:tc>
      </w:tr>
    </w:tbl>
    <w:p w:rsidR="00B71613" w:rsidRDefault="00B71613"/>
    <w:p w:rsidR="00C53A25" w:rsidRDefault="00C53A25"/>
    <w:p w:rsidR="00C53A25" w:rsidRDefault="00C53A25">
      <w:bookmarkStart w:id="1" w:name="_GoBack"/>
      <w:r>
        <w:rPr>
          <w:noProof/>
          <w:lang w:eastAsia="en-IN"/>
        </w:rPr>
        <w:drawing>
          <wp:inline distT="0" distB="0" distL="0" distR="0" wp14:anchorId="3F97F786" wp14:editId="4F49A234">
            <wp:extent cx="5760085" cy="4217670"/>
            <wp:effectExtent l="0" t="0" r="12065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1"/>
    </w:p>
    <w:sectPr w:rsidR="00C53A25" w:rsidSect="00610AA6">
      <w:pgSz w:w="11906" w:h="16838" w:code="9"/>
      <w:pgMar w:top="851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DD4"/>
    <w:rsid w:val="00574DD4"/>
    <w:rsid w:val="00610AA6"/>
    <w:rsid w:val="00B71613"/>
    <w:rsid w:val="00C5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C4E6E7-E2E2-4701-971F-4109893B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IN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7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Relationship Id="rId9" Type="http://schemas.openxmlformats.org/officeDocument/2006/relationships/customXml" Target="../customXml/item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Kumar\FM\02.Projects\01.Navigation\04.Coordination\RES-609\17th%202020\Meeting\India_Calc_17th_CM_aepfd_2020-10-07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IN" sz="1800" b="1" i="0" baseline="0">
                <a:effectLst/>
              </a:rPr>
              <a:t>India calculated max.aepfd of all RNSS during 17thRES-609 Consultation Meeting</a:t>
            </a:r>
            <a:endParaRPr lang="en-IN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RES-609 Limit (-121.5)</c:v>
          </c:tx>
          <c:spPr>
            <a:ln w="38100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xVal>
            <c:numRef>
              <c:f>Freq_Vs_aepfd!$A$2:$A$53</c:f>
              <c:numCache>
                <c:formatCode>General</c:formatCode>
                <c:ptCount val="52"/>
                <c:pt idx="0">
                  <c:v>1164</c:v>
                </c:pt>
                <c:pt idx="1">
                  <c:v>1165</c:v>
                </c:pt>
                <c:pt idx="2">
                  <c:v>1166</c:v>
                </c:pt>
                <c:pt idx="3">
                  <c:v>1167</c:v>
                </c:pt>
                <c:pt idx="4">
                  <c:v>1168</c:v>
                </c:pt>
                <c:pt idx="5">
                  <c:v>1169</c:v>
                </c:pt>
                <c:pt idx="6">
                  <c:v>1170</c:v>
                </c:pt>
                <c:pt idx="7">
                  <c:v>1171</c:v>
                </c:pt>
                <c:pt idx="8">
                  <c:v>1172</c:v>
                </c:pt>
                <c:pt idx="9">
                  <c:v>1173</c:v>
                </c:pt>
                <c:pt idx="10">
                  <c:v>1174</c:v>
                </c:pt>
                <c:pt idx="11">
                  <c:v>1175</c:v>
                </c:pt>
                <c:pt idx="12">
                  <c:v>1176</c:v>
                </c:pt>
                <c:pt idx="13">
                  <c:v>1177</c:v>
                </c:pt>
                <c:pt idx="14">
                  <c:v>1178</c:v>
                </c:pt>
                <c:pt idx="15">
                  <c:v>1179</c:v>
                </c:pt>
                <c:pt idx="16">
                  <c:v>1180</c:v>
                </c:pt>
                <c:pt idx="17">
                  <c:v>1181</c:v>
                </c:pt>
                <c:pt idx="18">
                  <c:v>1182</c:v>
                </c:pt>
                <c:pt idx="19">
                  <c:v>1183</c:v>
                </c:pt>
                <c:pt idx="20">
                  <c:v>1184</c:v>
                </c:pt>
                <c:pt idx="21">
                  <c:v>1185</c:v>
                </c:pt>
                <c:pt idx="22">
                  <c:v>1186</c:v>
                </c:pt>
                <c:pt idx="23">
                  <c:v>1187</c:v>
                </c:pt>
                <c:pt idx="24">
                  <c:v>1188</c:v>
                </c:pt>
                <c:pt idx="25">
                  <c:v>1189</c:v>
                </c:pt>
                <c:pt idx="26">
                  <c:v>1190</c:v>
                </c:pt>
                <c:pt idx="27">
                  <c:v>1191</c:v>
                </c:pt>
                <c:pt idx="28">
                  <c:v>1192</c:v>
                </c:pt>
                <c:pt idx="29">
                  <c:v>1193</c:v>
                </c:pt>
                <c:pt idx="30">
                  <c:v>1194</c:v>
                </c:pt>
                <c:pt idx="31">
                  <c:v>1195</c:v>
                </c:pt>
                <c:pt idx="32">
                  <c:v>1196</c:v>
                </c:pt>
                <c:pt idx="33">
                  <c:v>1197</c:v>
                </c:pt>
                <c:pt idx="34">
                  <c:v>1198</c:v>
                </c:pt>
                <c:pt idx="35">
                  <c:v>1199</c:v>
                </c:pt>
                <c:pt idx="36">
                  <c:v>1200</c:v>
                </c:pt>
                <c:pt idx="37">
                  <c:v>1201</c:v>
                </c:pt>
                <c:pt idx="38">
                  <c:v>1202</c:v>
                </c:pt>
                <c:pt idx="39">
                  <c:v>1203</c:v>
                </c:pt>
                <c:pt idx="40">
                  <c:v>1204</c:v>
                </c:pt>
                <c:pt idx="41">
                  <c:v>1205</c:v>
                </c:pt>
                <c:pt idx="42">
                  <c:v>1206</c:v>
                </c:pt>
                <c:pt idx="43">
                  <c:v>1207</c:v>
                </c:pt>
                <c:pt idx="44">
                  <c:v>1208</c:v>
                </c:pt>
                <c:pt idx="45">
                  <c:v>1209</c:v>
                </c:pt>
                <c:pt idx="46">
                  <c:v>1210</c:v>
                </c:pt>
                <c:pt idx="47">
                  <c:v>1211</c:v>
                </c:pt>
                <c:pt idx="48">
                  <c:v>1212</c:v>
                </c:pt>
                <c:pt idx="49">
                  <c:v>1213</c:v>
                </c:pt>
                <c:pt idx="50">
                  <c:v>1214</c:v>
                </c:pt>
                <c:pt idx="51">
                  <c:v>1215</c:v>
                </c:pt>
              </c:numCache>
            </c:numRef>
          </c:xVal>
          <c:yVal>
            <c:numRef>
              <c:f>Freq_Vs_aepfd!$B$2:$B$53</c:f>
              <c:numCache>
                <c:formatCode>General</c:formatCode>
                <c:ptCount val="52"/>
                <c:pt idx="0">
                  <c:v>-121.5</c:v>
                </c:pt>
                <c:pt idx="1">
                  <c:v>-121.5</c:v>
                </c:pt>
                <c:pt idx="2">
                  <c:v>-121.5</c:v>
                </c:pt>
                <c:pt idx="3">
                  <c:v>-121.5</c:v>
                </c:pt>
                <c:pt idx="4">
                  <c:v>-121.5</c:v>
                </c:pt>
                <c:pt idx="5">
                  <c:v>-121.5</c:v>
                </c:pt>
                <c:pt idx="6">
                  <c:v>-121.5</c:v>
                </c:pt>
                <c:pt idx="7">
                  <c:v>-121.5</c:v>
                </c:pt>
                <c:pt idx="8">
                  <c:v>-121.5</c:v>
                </c:pt>
                <c:pt idx="9">
                  <c:v>-121.5</c:v>
                </c:pt>
                <c:pt idx="10">
                  <c:v>-121.5</c:v>
                </c:pt>
                <c:pt idx="11">
                  <c:v>-121.5</c:v>
                </c:pt>
                <c:pt idx="12">
                  <c:v>-121.5</c:v>
                </c:pt>
                <c:pt idx="13">
                  <c:v>-121.5</c:v>
                </c:pt>
                <c:pt idx="14">
                  <c:v>-121.5</c:v>
                </c:pt>
                <c:pt idx="15">
                  <c:v>-121.5</c:v>
                </c:pt>
                <c:pt idx="16">
                  <c:v>-121.5</c:v>
                </c:pt>
                <c:pt idx="17">
                  <c:v>-121.5</c:v>
                </c:pt>
                <c:pt idx="18">
                  <c:v>-121.5</c:v>
                </c:pt>
                <c:pt idx="19">
                  <c:v>-121.5</c:v>
                </c:pt>
                <c:pt idx="20">
                  <c:v>-121.5</c:v>
                </c:pt>
                <c:pt idx="21">
                  <c:v>-121.5</c:v>
                </c:pt>
                <c:pt idx="22">
                  <c:v>-121.5</c:v>
                </c:pt>
                <c:pt idx="23">
                  <c:v>-121.5</c:v>
                </c:pt>
                <c:pt idx="24">
                  <c:v>-121.5</c:v>
                </c:pt>
                <c:pt idx="25">
                  <c:v>-121.5</c:v>
                </c:pt>
                <c:pt idx="26">
                  <c:v>-121.5</c:v>
                </c:pt>
                <c:pt idx="27">
                  <c:v>-121.5</c:v>
                </c:pt>
                <c:pt idx="28">
                  <c:v>-121.5</c:v>
                </c:pt>
                <c:pt idx="29">
                  <c:v>-121.5</c:v>
                </c:pt>
                <c:pt idx="30">
                  <c:v>-121.5</c:v>
                </c:pt>
                <c:pt idx="31">
                  <c:v>-121.5</c:v>
                </c:pt>
                <c:pt idx="32">
                  <c:v>-121.5</c:v>
                </c:pt>
                <c:pt idx="33">
                  <c:v>-121.5</c:v>
                </c:pt>
                <c:pt idx="34">
                  <c:v>-121.5</c:v>
                </c:pt>
                <c:pt idx="35">
                  <c:v>-121.5</c:v>
                </c:pt>
                <c:pt idx="36">
                  <c:v>-121.5</c:v>
                </c:pt>
                <c:pt idx="37">
                  <c:v>-121.5</c:v>
                </c:pt>
                <c:pt idx="38">
                  <c:v>-121.5</c:v>
                </c:pt>
                <c:pt idx="39">
                  <c:v>-121.5</c:v>
                </c:pt>
                <c:pt idx="40">
                  <c:v>-121.5</c:v>
                </c:pt>
                <c:pt idx="41">
                  <c:v>-121.5</c:v>
                </c:pt>
                <c:pt idx="42">
                  <c:v>-121.5</c:v>
                </c:pt>
                <c:pt idx="43">
                  <c:v>-121.5</c:v>
                </c:pt>
                <c:pt idx="44">
                  <c:v>-121.5</c:v>
                </c:pt>
                <c:pt idx="45">
                  <c:v>-121.5</c:v>
                </c:pt>
                <c:pt idx="46">
                  <c:v>-121.5</c:v>
                </c:pt>
                <c:pt idx="47">
                  <c:v>-121.5</c:v>
                </c:pt>
                <c:pt idx="48">
                  <c:v>-121.5</c:v>
                </c:pt>
                <c:pt idx="49">
                  <c:v>-121.5</c:v>
                </c:pt>
                <c:pt idx="50">
                  <c:v>-121.5</c:v>
                </c:pt>
                <c:pt idx="51">
                  <c:v>-121.5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Freq_Vs_aepfd!$C$1</c:f>
              <c:strCache>
                <c:ptCount val="1"/>
                <c:pt idx="0">
                  <c:v>India</c:v>
                </c:pt>
              </c:strCache>
            </c:strRef>
          </c:tx>
          <c:spPr>
            <a:ln w="19050" cap="rnd">
              <a:solidFill>
                <a:srgbClr val="00B0F0"/>
              </a:solidFill>
              <a:round/>
            </a:ln>
            <a:effectLst/>
          </c:spPr>
          <c:marker>
            <c:symbol val="none"/>
          </c:marker>
          <c:xVal>
            <c:numRef>
              <c:f>Freq_Vs_aepfd!$A$2:$A$53</c:f>
              <c:numCache>
                <c:formatCode>General</c:formatCode>
                <c:ptCount val="52"/>
                <c:pt idx="0">
                  <c:v>1164</c:v>
                </c:pt>
                <c:pt idx="1">
                  <c:v>1165</c:v>
                </c:pt>
                <c:pt idx="2">
                  <c:v>1166</c:v>
                </c:pt>
                <c:pt idx="3">
                  <c:v>1167</c:v>
                </c:pt>
                <c:pt idx="4">
                  <c:v>1168</c:v>
                </c:pt>
                <c:pt idx="5">
                  <c:v>1169</c:v>
                </c:pt>
                <c:pt idx="6">
                  <c:v>1170</c:v>
                </c:pt>
                <c:pt idx="7">
                  <c:v>1171</c:v>
                </c:pt>
                <c:pt idx="8">
                  <c:v>1172</c:v>
                </c:pt>
                <c:pt idx="9">
                  <c:v>1173</c:v>
                </c:pt>
                <c:pt idx="10">
                  <c:v>1174</c:v>
                </c:pt>
                <c:pt idx="11">
                  <c:v>1175</c:v>
                </c:pt>
                <c:pt idx="12">
                  <c:v>1176</c:v>
                </c:pt>
                <c:pt idx="13">
                  <c:v>1177</c:v>
                </c:pt>
                <c:pt idx="14">
                  <c:v>1178</c:v>
                </c:pt>
                <c:pt idx="15">
                  <c:v>1179</c:v>
                </c:pt>
                <c:pt idx="16">
                  <c:v>1180</c:v>
                </c:pt>
                <c:pt idx="17">
                  <c:v>1181</c:v>
                </c:pt>
                <c:pt idx="18">
                  <c:v>1182</c:v>
                </c:pt>
                <c:pt idx="19">
                  <c:v>1183</c:v>
                </c:pt>
                <c:pt idx="20">
                  <c:v>1184</c:v>
                </c:pt>
                <c:pt idx="21">
                  <c:v>1185</c:v>
                </c:pt>
                <c:pt idx="22">
                  <c:v>1186</c:v>
                </c:pt>
                <c:pt idx="23">
                  <c:v>1187</c:v>
                </c:pt>
                <c:pt idx="24">
                  <c:v>1188</c:v>
                </c:pt>
                <c:pt idx="25">
                  <c:v>1189</c:v>
                </c:pt>
                <c:pt idx="26">
                  <c:v>1190</c:v>
                </c:pt>
                <c:pt idx="27">
                  <c:v>1191</c:v>
                </c:pt>
                <c:pt idx="28">
                  <c:v>1192</c:v>
                </c:pt>
                <c:pt idx="29">
                  <c:v>1193</c:v>
                </c:pt>
                <c:pt idx="30">
                  <c:v>1194</c:v>
                </c:pt>
                <c:pt idx="31">
                  <c:v>1195</c:v>
                </c:pt>
                <c:pt idx="32">
                  <c:v>1196</c:v>
                </c:pt>
                <c:pt idx="33">
                  <c:v>1197</c:v>
                </c:pt>
                <c:pt idx="34">
                  <c:v>1198</c:v>
                </c:pt>
                <c:pt idx="35">
                  <c:v>1199</c:v>
                </c:pt>
                <c:pt idx="36">
                  <c:v>1200</c:v>
                </c:pt>
                <c:pt idx="37">
                  <c:v>1201</c:v>
                </c:pt>
                <c:pt idx="38">
                  <c:v>1202</c:v>
                </c:pt>
                <c:pt idx="39">
                  <c:v>1203</c:v>
                </c:pt>
                <c:pt idx="40">
                  <c:v>1204</c:v>
                </c:pt>
                <c:pt idx="41">
                  <c:v>1205</c:v>
                </c:pt>
                <c:pt idx="42">
                  <c:v>1206</c:v>
                </c:pt>
                <c:pt idx="43">
                  <c:v>1207</c:v>
                </c:pt>
                <c:pt idx="44">
                  <c:v>1208</c:v>
                </c:pt>
                <c:pt idx="45">
                  <c:v>1209</c:v>
                </c:pt>
                <c:pt idx="46">
                  <c:v>1210</c:v>
                </c:pt>
                <c:pt idx="47">
                  <c:v>1211</c:v>
                </c:pt>
                <c:pt idx="48">
                  <c:v>1212</c:v>
                </c:pt>
                <c:pt idx="49">
                  <c:v>1213</c:v>
                </c:pt>
                <c:pt idx="50">
                  <c:v>1214</c:v>
                </c:pt>
                <c:pt idx="51">
                  <c:v>1215</c:v>
                </c:pt>
              </c:numCache>
            </c:numRef>
          </c:xVal>
          <c:yVal>
            <c:numRef>
              <c:f>Freq_Vs_aepfd!$C$2:$C$53</c:f>
              <c:numCache>
                <c:formatCode>General</c:formatCode>
                <c:ptCount val="52"/>
                <c:pt idx="0">
                  <c:v>-138.882599</c:v>
                </c:pt>
                <c:pt idx="1">
                  <c:v>-140.391998</c:v>
                </c:pt>
                <c:pt idx="2">
                  <c:v>-140.07195999999999</c:v>
                </c:pt>
                <c:pt idx="3">
                  <c:v>-139.12699900000001</c:v>
                </c:pt>
                <c:pt idx="4">
                  <c:v>-135.88223300000001</c:v>
                </c:pt>
                <c:pt idx="5">
                  <c:v>-132.45405600000001</c:v>
                </c:pt>
                <c:pt idx="6">
                  <c:v>-129.27993799999999</c:v>
                </c:pt>
                <c:pt idx="7">
                  <c:v>-126.79953</c:v>
                </c:pt>
                <c:pt idx="8">
                  <c:v>-126.10786400000001</c:v>
                </c:pt>
                <c:pt idx="9">
                  <c:v>-124.838554</c:v>
                </c:pt>
                <c:pt idx="10">
                  <c:v>-124.181862</c:v>
                </c:pt>
                <c:pt idx="11">
                  <c:v>-123.37657900000001</c:v>
                </c:pt>
                <c:pt idx="12">
                  <c:v>-121.826469</c:v>
                </c:pt>
                <c:pt idx="13">
                  <c:v>-123.107643</c:v>
                </c:pt>
                <c:pt idx="14">
                  <c:v>-123.497643</c:v>
                </c:pt>
                <c:pt idx="15">
                  <c:v>-124.328102</c:v>
                </c:pt>
                <c:pt idx="16">
                  <c:v>-124.760109</c:v>
                </c:pt>
                <c:pt idx="17">
                  <c:v>-125.782326</c:v>
                </c:pt>
                <c:pt idx="18">
                  <c:v>-127.617279</c:v>
                </c:pt>
                <c:pt idx="19">
                  <c:v>-129.93800400000001</c:v>
                </c:pt>
                <c:pt idx="20">
                  <c:v>-132.50207499999999</c:v>
                </c:pt>
                <c:pt idx="21">
                  <c:v>-135.943039</c:v>
                </c:pt>
                <c:pt idx="22">
                  <c:v>-138.99711600000001</c:v>
                </c:pt>
                <c:pt idx="23">
                  <c:v>-141.29501300000001</c:v>
                </c:pt>
                <c:pt idx="24">
                  <c:v>-139.68396000000001</c:v>
                </c:pt>
                <c:pt idx="25">
                  <c:v>-137.45182800000001</c:v>
                </c:pt>
                <c:pt idx="26">
                  <c:v>-135.64994799999999</c:v>
                </c:pt>
                <c:pt idx="27">
                  <c:v>-134.78869599999999</c:v>
                </c:pt>
                <c:pt idx="28">
                  <c:v>-134.81662</c:v>
                </c:pt>
                <c:pt idx="29">
                  <c:v>-135.57576</c:v>
                </c:pt>
                <c:pt idx="30">
                  <c:v>-136.47442599999999</c:v>
                </c:pt>
                <c:pt idx="31">
                  <c:v>-138.01675399999999</c:v>
                </c:pt>
                <c:pt idx="32">
                  <c:v>-138.57110599999999</c:v>
                </c:pt>
                <c:pt idx="33">
                  <c:v>-137.683548</c:v>
                </c:pt>
                <c:pt idx="34">
                  <c:v>-135.361954</c:v>
                </c:pt>
                <c:pt idx="35">
                  <c:v>-132.93147300000001</c:v>
                </c:pt>
                <c:pt idx="36">
                  <c:v>-130.398605</c:v>
                </c:pt>
                <c:pt idx="37">
                  <c:v>-128.40715</c:v>
                </c:pt>
                <c:pt idx="38">
                  <c:v>-126.77169000000001</c:v>
                </c:pt>
                <c:pt idx="39">
                  <c:v>-125.678963</c:v>
                </c:pt>
                <c:pt idx="40">
                  <c:v>-124.794945</c:v>
                </c:pt>
                <c:pt idx="41">
                  <c:v>-124.480766</c:v>
                </c:pt>
                <c:pt idx="42">
                  <c:v>-123.679497</c:v>
                </c:pt>
                <c:pt idx="43">
                  <c:v>-122.540436</c:v>
                </c:pt>
                <c:pt idx="44">
                  <c:v>-123.59404000000001</c:v>
                </c:pt>
                <c:pt idx="45">
                  <c:v>-125.299538</c:v>
                </c:pt>
                <c:pt idx="46">
                  <c:v>-125.89608800000001</c:v>
                </c:pt>
                <c:pt idx="47">
                  <c:v>-127.027832</c:v>
                </c:pt>
                <c:pt idx="48">
                  <c:v>-128.30105599999999</c:v>
                </c:pt>
                <c:pt idx="49">
                  <c:v>-130.16068999999999</c:v>
                </c:pt>
                <c:pt idx="50">
                  <c:v>-132.44126900000001</c:v>
                </c:pt>
                <c:pt idx="51">
                  <c:v>-135.704498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469862272"/>
        <c:axId val="-1469868256"/>
      </c:scatterChart>
      <c:valAx>
        <c:axId val="-1469862272"/>
        <c:scaling>
          <c:orientation val="minMax"/>
          <c:max val="1215"/>
          <c:min val="116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sz="1200" b="1">
                    <a:latin typeface="Arial" panose="020B0604020202020204" pitchFamily="34" charset="0"/>
                    <a:cs typeface="Arial" panose="020B0604020202020204" pitchFamily="34" charset="0"/>
                  </a:rPr>
                  <a:t>Frequency (MHz)</a:t>
                </a:r>
              </a:p>
            </c:rich>
          </c:tx>
          <c:layout>
            <c:manualLayout>
              <c:xMode val="edge"/>
              <c:yMode val="edge"/>
              <c:x val="0.44457319670282874"/>
              <c:y val="0.9010366481967532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-1469868256"/>
        <c:crossesAt val="-1021"/>
        <c:crossBetween val="midCat"/>
        <c:majorUnit val="2"/>
      </c:valAx>
      <c:valAx>
        <c:axId val="-1469868256"/>
        <c:scaling>
          <c:orientation val="minMax"/>
          <c:max val="-121"/>
          <c:min val="-143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 sz="1200" b="1">
                    <a:latin typeface="Arial" panose="020B0604020202020204" pitchFamily="34" charset="0"/>
                    <a:cs typeface="Arial" panose="020B0604020202020204" pitchFamily="34" charset="0"/>
                  </a:rPr>
                  <a:t>Aepfd (dBW/MHz/m</a:t>
                </a:r>
                <a:r>
                  <a:rPr lang="en-US" sz="1200" b="1" baseline="30000">
                    <a:latin typeface="Arial" panose="020B0604020202020204" pitchFamily="34" charset="0"/>
                    <a:cs typeface="Arial" panose="020B0604020202020204" pitchFamily="34" charset="0"/>
                  </a:rPr>
                  <a:t>2</a:t>
                </a:r>
                <a:r>
                  <a:rPr lang="en-US" sz="1200" b="1">
                    <a:latin typeface="Arial" panose="020B0604020202020204" pitchFamily="34" charset="0"/>
                    <a:cs typeface="Arial" panose="020B0604020202020204" pitchFamily="34" charset="0"/>
                  </a:rPr>
                  <a:t>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-1469862272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19050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DC1B220742D429AE6FEAA10FB42A7" ma:contentTypeVersion="1" ma:contentTypeDescription="Create a new document." ma:contentTypeScope="" ma:versionID="3b3f1d44add31370ec65b156c452c62c">
  <xsd:schema xmlns:xsd="http://www.w3.org/2001/XMLSchema" xmlns:xs="http://www.w3.org/2001/XMLSchema" xmlns:p="http://schemas.microsoft.com/office/2006/metadata/properties" xmlns:ns2="ef247de1-037e-4b61-8ad1-bbefe9528285" targetNamespace="http://schemas.microsoft.com/office/2006/metadata/properties" ma:root="true" ma:fieldsID="6471ab4a22b4b3ed5dd089ddb2ae16c6" ns2:_="">
    <xsd:import namespace="ef247de1-037e-4b61-8ad1-bbefe952828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47de1-037e-4b61-8ad1-bbefe9528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9DA6E-CEC8-46C4-867C-15379210E8C1}"/>
</file>

<file path=customXml/itemProps2.xml><?xml version="1.0" encoding="utf-8"?>
<ds:datastoreItem xmlns:ds="http://schemas.openxmlformats.org/officeDocument/2006/customXml" ds:itemID="{3D1FD942-E9B5-4020-975C-27ADB5408388}"/>
</file>

<file path=customXml/itemProps3.xml><?xml version="1.0" encoding="utf-8"?>
<ds:datastoreItem xmlns:ds="http://schemas.openxmlformats.org/officeDocument/2006/customXml" ds:itemID="{D3B26E61-BEB9-4FB7-8D09-60AD363F6D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Kumaramohan</dc:creator>
  <cp:keywords/>
  <dc:description/>
  <cp:lastModifiedBy>Kumaramohan</cp:lastModifiedBy>
  <cp:revision>2</cp:revision>
  <dcterms:created xsi:type="dcterms:W3CDTF">2020-10-07T06:18:00Z</dcterms:created>
  <dcterms:modified xsi:type="dcterms:W3CDTF">2020-10-07T06:19:00Z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0x010100BE4DC1B220742D429AE6FEAA10FB42A7</vt:lpwstr>
  </property>
</Properties>
</file>