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8" w:type="dxa"/>
        <w:jc w:val="center"/>
        <w:tblLayout w:type="fixed"/>
        <w:tblLook w:val="00A0"/>
      </w:tblPr>
      <w:tblGrid>
        <w:gridCol w:w="1401"/>
        <w:gridCol w:w="3827"/>
        <w:gridCol w:w="284"/>
        <w:gridCol w:w="4235"/>
        <w:gridCol w:w="301"/>
      </w:tblGrid>
      <w:tr w:rsidR="00563963" w:rsidRPr="000A4200" w:rsidTr="00F67039">
        <w:trPr>
          <w:jc w:val="center"/>
        </w:trPr>
        <w:tc>
          <w:tcPr>
            <w:tcW w:w="10048" w:type="dxa"/>
            <w:gridSpan w:val="5"/>
            <w:tcMar>
              <w:top w:w="142" w:type="dxa"/>
              <w:bottom w:w="142" w:type="dxa"/>
            </w:tcMar>
          </w:tcPr>
          <w:p w:rsidR="00563963" w:rsidRPr="000A4200" w:rsidRDefault="001E7F0A">
            <w:pPr>
              <w:pStyle w:val="BDTLogo"/>
              <w:rPr>
                <w:noProof/>
                <w:szCs w:val="22"/>
                <w:lang w:eastAsia="fr-CH"/>
              </w:rPr>
            </w:pPr>
            <w:r w:rsidRPr="000A4200">
              <w:rPr>
                <w:noProof/>
                <w:szCs w:val="22"/>
                <w:lang w:val="en-US" w:eastAsia="zh-CN"/>
              </w:rPr>
              <w:drawing>
                <wp:inline distT="0" distB="0" distL="0" distR="0">
                  <wp:extent cx="638175" cy="7334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963" w:rsidRPr="000A4200" w:rsidTr="00F67039">
        <w:trPr>
          <w:jc w:val="center"/>
        </w:trPr>
        <w:tc>
          <w:tcPr>
            <w:tcW w:w="10048" w:type="dxa"/>
            <w:gridSpan w:val="5"/>
          </w:tcPr>
          <w:p w:rsidR="00563963" w:rsidRPr="000A4200" w:rsidRDefault="00563963">
            <w:pPr>
              <w:rPr>
                <w:rStyle w:val="BDTName"/>
                <w:rFonts w:cs="Traditional Arabic"/>
                <w:sz w:val="22"/>
                <w:szCs w:val="22"/>
              </w:rPr>
            </w:pPr>
            <w:r w:rsidRPr="000A4200">
              <w:rPr>
                <w:rStyle w:val="BDTName"/>
                <w:sz w:val="22"/>
                <w:szCs w:val="22"/>
              </w:rPr>
              <w:t>Telecommunication</w:t>
            </w:r>
            <w:r w:rsidRPr="000A4200">
              <w:rPr>
                <w:rStyle w:val="BDTName"/>
                <w:rFonts w:cs="Traditional Arabic"/>
                <w:sz w:val="22"/>
                <w:szCs w:val="22"/>
              </w:rPr>
              <w:t xml:space="preserve"> </w:t>
            </w:r>
            <w:r w:rsidRPr="000A4200">
              <w:rPr>
                <w:rStyle w:val="BDTName"/>
                <w:rFonts w:cs="Traditional Arabic"/>
                <w:sz w:val="22"/>
                <w:szCs w:val="22"/>
              </w:rPr>
              <w:br/>
              <w:t>Development Bureau (BDT)</w:t>
            </w:r>
          </w:p>
        </w:tc>
      </w:tr>
      <w:tr w:rsidR="00563963" w:rsidRPr="000A4200" w:rsidTr="00F67039">
        <w:trPr>
          <w:jc w:val="center"/>
        </w:trPr>
        <w:tc>
          <w:tcPr>
            <w:tcW w:w="10048" w:type="dxa"/>
            <w:gridSpan w:val="5"/>
          </w:tcPr>
          <w:p w:rsidR="00563963" w:rsidRPr="000A4200" w:rsidRDefault="00563963">
            <w:pPr>
              <w:pStyle w:val="BDTSeparator"/>
              <w:rPr>
                <w:szCs w:val="22"/>
              </w:rPr>
            </w:pPr>
          </w:p>
        </w:tc>
      </w:tr>
      <w:tr w:rsidR="00563963" w:rsidRPr="000A4200" w:rsidTr="00F67039">
        <w:trPr>
          <w:jc w:val="center"/>
        </w:trPr>
        <w:tc>
          <w:tcPr>
            <w:tcW w:w="1401" w:type="dxa"/>
          </w:tcPr>
          <w:p w:rsidR="00563963" w:rsidRPr="000A4200" w:rsidRDefault="00563963">
            <w:pPr>
              <w:pStyle w:val="BDTRef"/>
              <w:rPr>
                <w:szCs w:val="22"/>
              </w:rPr>
            </w:pPr>
            <w:r w:rsidRPr="000A4200">
              <w:rPr>
                <w:szCs w:val="22"/>
              </w:rPr>
              <w:t>Ref.</w:t>
            </w:r>
          </w:p>
        </w:tc>
        <w:tc>
          <w:tcPr>
            <w:tcW w:w="4111" w:type="dxa"/>
            <w:gridSpan w:val="2"/>
          </w:tcPr>
          <w:p w:rsidR="00563963" w:rsidRPr="000A4200" w:rsidRDefault="00563963">
            <w:pPr>
              <w:pStyle w:val="BDTRef-Details"/>
              <w:rPr>
                <w:szCs w:val="22"/>
              </w:rPr>
            </w:pPr>
            <w:r w:rsidRPr="000A4200">
              <w:rPr>
                <w:szCs w:val="22"/>
              </w:rPr>
              <w:t>BDT/</w:t>
            </w:r>
            <w:r w:rsidR="00C13931" w:rsidRPr="000A4200">
              <w:rPr>
                <w:szCs w:val="22"/>
              </w:rPr>
              <w:t>EUR</w:t>
            </w:r>
            <w:r w:rsidR="002542D0" w:rsidRPr="000A4200">
              <w:rPr>
                <w:szCs w:val="22"/>
              </w:rPr>
              <w:t>/</w:t>
            </w:r>
            <w:r w:rsidR="006F54C6" w:rsidRPr="000A4200">
              <w:rPr>
                <w:szCs w:val="22"/>
              </w:rPr>
              <w:t>DM-</w:t>
            </w:r>
            <w:r w:rsidR="00B86D4D">
              <w:rPr>
                <w:szCs w:val="22"/>
              </w:rPr>
              <w:t>384</w:t>
            </w:r>
          </w:p>
        </w:tc>
        <w:tc>
          <w:tcPr>
            <w:tcW w:w="4536" w:type="dxa"/>
            <w:gridSpan w:val="2"/>
          </w:tcPr>
          <w:p w:rsidR="00563963" w:rsidRPr="000A4200" w:rsidRDefault="00563963" w:rsidP="00F919ED">
            <w:pPr>
              <w:pStyle w:val="BDTDate"/>
              <w:rPr>
                <w:szCs w:val="22"/>
                <w:lang w:val="en-GB"/>
              </w:rPr>
            </w:pPr>
            <w:r w:rsidRPr="000A4200">
              <w:rPr>
                <w:szCs w:val="22"/>
                <w:lang w:val="en-GB"/>
              </w:rPr>
              <w:t>Geneva,</w:t>
            </w:r>
            <w:r w:rsidR="00C36E4D" w:rsidRPr="000A4200">
              <w:rPr>
                <w:szCs w:val="22"/>
                <w:lang w:val="en-GB"/>
              </w:rPr>
              <w:t xml:space="preserve"> </w:t>
            </w:r>
            <w:r w:rsidR="00C5210A">
              <w:rPr>
                <w:szCs w:val="22"/>
                <w:lang w:val="en-GB"/>
              </w:rPr>
              <w:t>4</w:t>
            </w:r>
            <w:r w:rsidR="007B3269" w:rsidRPr="000A4200">
              <w:rPr>
                <w:szCs w:val="22"/>
                <w:lang w:val="en-GB"/>
              </w:rPr>
              <w:t xml:space="preserve"> </w:t>
            </w:r>
            <w:r w:rsidR="00C5210A">
              <w:rPr>
                <w:szCs w:val="22"/>
                <w:lang w:val="en-GB"/>
              </w:rPr>
              <w:t>December</w:t>
            </w:r>
            <w:r w:rsidR="008A021B" w:rsidRPr="000A4200">
              <w:rPr>
                <w:szCs w:val="22"/>
                <w:lang w:val="en-GB"/>
              </w:rPr>
              <w:t xml:space="preserve"> </w:t>
            </w:r>
            <w:r w:rsidR="002423AB" w:rsidRPr="000A4200">
              <w:rPr>
                <w:szCs w:val="22"/>
                <w:lang w:val="en-GB"/>
              </w:rPr>
              <w:t>201</w:t>
            </w:r>
            <w:r w:rsidR="006F54C6" w:rsidRPr="000A4200">
              <w:rPr>
                <w:szCs w:val="22"/>
                <w:lang w:val="en-GB"/>
              </w:rPr>
              <w:t>3</w:t>
            </w:r>
          </w:p>
        </w:tc>
      </w:tr>
      <w:tr w:rsidR="00563963" w:rsidRPr="000A4200" w:rsidTr="00F67039">
        <w:trPr>
          <w:jc w:val="center"/>
        </w:trPr>
        <w:tc>
          <w:tcPr>
            <w:tcW w:w="1401" w:type="dxa"/>
          </w:tcPr>
          <w:p w:rsidR="00563963" w:rsidRPr="000A4200" w:rsidRDefault="00563963">
            <w:pPr>
              <w:pStyle w:val="BDTSeparator"/>
              <w:rPr>
                <w:szCs w:val="22"/>
              </w:rPr>
            </w:pPr>
          </w:p>
        </w:tc>
        <w:tc>
          <w:tcPr>
            <w:tcW w:w="4111" w:type="dxa"/>
            <w:gridSpan w:val="2"/>
          </w:tcPr>
          <w:p w:rsidR="00563963" w:rsidRPr="000A4200" w:rsidRDefault="00563963">
            <w:pPr>
              <w:pStyle w:val="BDTSeparator"/>
              <w:rPr>
                <w:szCs w:val="22"/>
              </w:rPr>
            </w:pPr>
          </w:p>
        </w:tc>
        <w:tc>
          <w:tcPr>
            <w:tcW w:w="4536" w:type="dxa"/>
            <w:gridSpan w:val="2"/>
          </w:tcPr>
          <w:p w:rsidR="00563963" w:rsidRPr="000A4200" w:rsidRDefault="00563963">
            <w:pPr>
              <w:pStyle w:val="BDTSeparator"/>
              <w:rPr>
                <w:szCs w:val="22"/>
              </w:rPr>
            </w:pPr>
          </w:p>
        </w:tc>
      </w:tr>
      <w:tr w:rsidR="00563963" w:rsidRPr="000A4200" w:rsidTr="00F67039">
        <w:trPr>
          <w:jc w:val="center"/>
        </w:trPr>
        <w:tc>
          <w:tcPr>
            <w:tcW w:w="1401" w:type="dxa"/>
          </w:tcPr>
          <w:p w:rsidR="00563963" w:rsidRPr="000A4200" w:rsidRDefault="00563963">
            <w:pPr>
              <w:pStyle w:val="BDTContact"/>
              <w:rPr>
                <w:szCs w:val="22"/>
              </w:rPr>
            </w:pPr>
          </w:p>
        </w:tc>
        <w:tc>
          <w:tcPr>
            <w:tcW w:w="3827" w:type="dxa"/>
          </w:tcPr>
          <w:p w:rsidR="00563963" w:rsidRPr="000A4200" w:rsidRDefault="00563963" w:rsidP="00DA05C1">
            <w:pPr>
              <w:pStyle w:val="BDTContact-Details"/>
              <w:rPr>
                <w:szCs w:val="22"/>
              </w:rPr>
            </w:pPr>
            <w:bookmarkStart w:id="0" w:name="Contact"/>
            <w:bookmarkEnd w:id="0"/>
          </w:p>
        </w:tc>
        <w:tc>
          <w:tcPr>
            <w:tcW w:w="284" w:type="dxa"/>
          </w:tcPr>
          <w:p w:rsidR="00563963" w:rsidRPr="000A4200" w:rsidRDefault="00563963">
            <w:pPr>
              <w:pStyle w:val="BDTContact-Details"/>
              <w:rPr>
                <w:szCs w:val="22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563963" w:rsidRPr="000A4200" w:rsidRDefault="00A06852" w:rsidP="0033597E">
            <w:pPr>
              <w:pStyle w:val="BDTAddressee"/>
              <w:rPr>
                <w:szCs w:val="22"/>
              </w:rPr>
            </w:pPr>
            <w:r w:rsidRPr="000A4200">
              <w:rPr>
                <w:rFonts w:asciiTheme="minorHAnsi" w:hAnsiTheme="minorHAnsi" w:cstheme="minorHAnsi"/>
                <w:szCs w:val="22"/>
              </w:rPr>
              <w:t>Communication Administrations, Regulators, Regional organiza</w:t>
            </w:r>
            <w:r w:rsidR="00696BFC" w:rsidRPr="000A4200">
              <w:rPr>
                <w:rFonts w:asciiTheme="minorHAnsi" w:hAnsiTheme="minorHAnsi" w:cstheme="minorHAnsi"/>
                <w:szCs w:val="22"/>
              </w:rPr>
              <w:t>tions, ITU Sector Members from</w:t>
            </w:r>
            <w:r w:rsidRPr="000A420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77EED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Europe </w:t>
            </w:r>
            <w:r w:rsidRPr="000A4200">
              <w:rPr>
                <w:vanish/>
                <w:szCs w:val="22"/>
                <w:lang w:val="en-US"/>
              </w:rPr>
              <w:t xml:space="preserve"> </w:t>
            </w:r>
            <w:r w:rsidR="00AD1AE1" w:rsidRPr="000A4200">
              <w:rPr>
                <w:vanish/>
                <w:szCs w:val="22"/>
                <w:lang w:val="en-US"/>
              </w:rPr>
              <w:fldChar w:fldCharType="begin"/>
            </w:r>
            <w:r w:rsidR="0033597E" w:rsidRPr="000A4200">
              <w:rPr>
                <w:vanish/>
                <w:szCs w:val="22"/>
                <w:lang w:val="en-US"/>
              </w:rPr>
              <w:instrText xml:space="preserve"> MERGEFIELD EmailFax_PersOrg </w:instrText>
            </w:r>
            <w:r w:rsidR="00AD1AE1" w:rsidRPr="000A4200">
              <w:rPr>
                <w:vanish/>
                <w:szCs w:val="22"/>
                <w:lang w:val="en-US"/>
              </w:rPr>
              <w:fldChar w:fldCharType="separate"/>
            </w:r>
            <w:r w:rsidR="0033597E" w:rsidRPr="000A4200">
              <w:rPr>
                <w:noProof/>
                <w:vanish/>
                <w:szCs w:val="22"/>
                <w:lang w:val="en-US"/>
              </w:rPr>
              <w:t>«EmailFax_PersOrg»</w:t>
            </w:r>
            <w:r w:rsidR="00AD1AE1" w:rsidRPr="000A4200">
              <w:rPr>
                <w:vanish/>
                <w:szCs w:val="22"/>
                <w:lang w:val="en-US"/>
              </w:rPr>
              <w:fldChar w:fldCharType="end"/>
            </w:r>
          </w:p>
        </w:tc>
      </w:tr>
      <w:tr w:rsidR="00563963" w:rsidRPr="000A4200" w:rsidTr="00F67039">
        <w:trPr>
          <w:jc w:val="center"/>
        </w:trPr>
        <w:tc>
          <w:tcPr>
            <w:tcW w:w="1401" w:type="dxa"/>
          </w:tcPr>
          <w:p w:rsidR="00563963" w:rsidRPr="000A4200" w:rsidRDefault="00563963">
            <w:pPr>
              <w:pStyle w:val="BDTContact"/>
              <w:rPr>
                <w:szCs w:val="22"/>
              </w:rPr>
            </w:pPr>
          </w:p>
        </w:tc>
        <w:tc>
          <w:tcPr>
            <w:tcW w:w="3827" w:type="dxa"/>
          </w:tcPr>
          <w:p w:rsidR="00563963" w:rsidRPr="000A4200" w:rsidRDefault="00563963" w:rsidP="008F041B">
            <w:pPr>
              <w:pStyle w:val="BDTContact-Details"/>
              <w:rPr>
                <w:szCs w:val="22"/>
              </w:rPr>
            </w:pPr>
          </w:p>
        </w:tc>
        <w:tc>
          <w:tcPr>
            <w:tcW w:w="284" w:type="dxa"/>
          </w:tcPr>
          <w:p w:rsidR="00563963" w:rsidRPr="000A4200" w:rsidRDefault="00563963">
            <w:pPr>
              <w:pStyle w:val="BDTContact-Details"/>
              <w:rPr>
                <w:szCs w:val="22"/>
              </w:rPr>
            </w:pPr>
          </w:p>
        </w:tc>
        <w:tc>
          <w:tcPr>
            <w:tcW w:w="4536" w:type="dxa"/>
            <w:gridSpan w:val="2"/>
            <w:vMerge/>
          </w:tcPr>
          <w:p w:rsidR="00563963" w:rsidRPr="000A4200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Cs w:val="22"/>
                <w:lang w:val="en-GB"/>
              </w:rPr>
            </w:pPr>
          </w:p>
        </w:tc>
      </w:tr>
      <w:tr w:rsidR="00563963" w:rsidRPr="000A4200" w:rsidTr="00F67039">
        <w:trPr>
          <w:jc w:val="center"/>
        </w:trPr>
        <w:tc>
          <w:tcPr>
            <w:tcW w:w="1401" w:type="dxa"/>
          </w:tcPr>
          <w:p w:rsidR="00563963" w:rsidRPr="000A4200" w:rsidRDefault="00563963">
            <w:pPr>
              <w:pStyle w:val="BDTContact"/>
              <w:rPr>
                <w:szCs w:val="22"/>
              </w:rPr>
            </w:pPr>
          </w:p>
        </w:tc>
        <w:tc>
          <w:tcPr>
            <w:tcW w:w="3827" w:type="dxa"/>
          </w:tcPr>
          <w:p w:rsidR="00563963" w:rsidRPr="000A4200" w:rsidRDefault="00563963">
            <w:pPr>
              <w:pStyle w:val="BDTContact-Details"/>
              <w:rPr>
                <w:szCs w:val="22"/>
              </w:rPr>
            </w:pPr>
          </w:p>
        </w:tc>
        <w:tc>
          <w:tcPr>
            <w:tcW w:w="284" w:type="dxa"/>
          </w:tcPr>
          <w:p w:rsidR="00563963" w:rsidRPr="000A4200" w:rsidRDefault="00563963">
            <w:pPr>
              <w:pStyle w:val="BDTContact-Details"/>
              <w:rPr>
                <w:szCs w:val="22"/>
              </w:rPr>
            </w:pPr>
          </w:p>
        </w:tc>
        <w:tc>
          <w:tcPr>
            <w:tcW w:w="4536" w:type="dxa"/>
            <w:gridSpan w:val="2"/>
            <w:vMerge/>
          </w:tcPr>
          <w:p w:rsidR="00563963" w:rsidRPr="000A4200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Cs w:val="22"/>
                <w:lang w:val="en-GB"/>
              </w:rPr>
            </w:pPr>
          </w:p>
        </w:tc>
      </w:tr>
      <w:tr w:rsidR="00563963" w:rsidRPr="000A4200" w:rsidTr="00F67039">
        <w:trPr>
          <w:jc w:val="center"/>
        </w:trPr>
        <w:tc>
          <w:tcPr>
            <w:tcW w:w="1401" w:type="dxa"/>
          </w:tcPr>
          <w:p w:rsidR="003C6851" w:rsidRPr="000A4200" w:rsidRDefault="003C6851" w:rsidP="008A021B">
            <w:pPr>
              <w:pStyle w:val="BDTContact"/>
              <w:rPr>
                <w:szCs w:val="22"/>
              </w:rPr>
            </w:pPr>
          </w:p>
        </w:tc>
        <w:tc>
          <w:tcPr>
            <w:tcW w:w="3827" w:type="dxa"/>
          </w:tcPr>
          <w:p w:rsidR="003C6851" w:rsidRPr="000A4200" w:rsidRDefault="003C6851" w:rsidP="008A021B">
            <w:pPr>
              <w:pStyle w:val="BDTContact-Details"/>
              <w:rPr>
                <w:szCs w:val="22"/>
              </w:rPr>
            </w:pPr>
          </w:p>
        </w:tc>
        <w:tc>
          <w:tcPr>
            <w:tcW w:w="284" w:type="dxa"/>
          </w:tcPr>
          <w:p w:rsidR="00563963" w:rsidRPr="000A4200" w:rsidRDefault="00563963">
            <w:pPr>
              <w:pStyle w:val="BDTContact-Details"/>
              <w:rPr>
                <w:szCs w:val="22"/>
              </w:rPr>
            </w:pPr>
          </w:p>
        </w:tc>
        <w:tc>
          <w:tcPr>
            <w:tcW w:w="4536" w:type="dxa"/>
            <w:gridSpan w:val="2"/>
            <w:vMerge/>
          </w:tcPr>
          <w:p w:rsidR="00563963" w:rsidRPr="000A4200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Cs w:val="22"/>
                <w:lang w:val="en-GB"/>
              </w:rPr>
            </w:pPr>
          </w:p>
        </w:tc>
      </w:tr>
      <w:tr w:rsidR="00563963" w:rsidRPr="000A4200" w:rsidTr="00F67039">
        <w:trPr>
          <w:jc w:val="center"/>
        </w:trPr>
        <w:tc>
          <w:tcPr>
            <w:tcW w:w="10048" w:type="dxa"/>
            <w:gridSpan w:val="5"/>
          </w:tcPr>
          <w:p w:rsidR="00563963" w:rsidRPr="000A4200" w:rsidRDefault="00563963">
            <w:pPr>
              <w:pStyle w:val="BDTSeparator"/>
              <w:rPr>
                <w:szCs w:val="22"/>
              </w:rPr>
            </w:pPr>
          </w:p>
        </w:tc>
      </w:tr>
      <w:tr w:rsidR="00563963" w:rsidRPr="000A4200" w:rsidTr="00F67039">
        <w:trPr>
          <w:jc w:val="center"/>
        </w:trPr>
        <w:tc>
          <w:tcPr>
            <w:tcW w:w="1401" w:type="dxa"/>
          </w:tcPr>
          <w:p w:rsidR="00563963" w:rsidRPr="000A4200" w:rsidRDefault="00563963">
            <w:pPr>
              <w:pStyle w:val="BDTSubject"/>
              <w:rPr>
                <w:szCs w:val="22"/>
              </w:rPr>
            </w:pPr>
            <w:r w:rsidRPr="000A4200">
              <w:rPr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:rsidR="00563963" w:rsidRPr="000A4200" w:rsidRDefault="009B19D9" w:rsidP="00BA1CAF">
            <w:pPr>
              <w:pStyle w:val="BDTSubjectdetail"/>
              <w:ind w:left="51"/>
              <w:rPr>
                <w:b/>
                <w:bCs/>
                <w:szCs w:val="22"/>
              </w:rPr>
            </w:pPr>
            <w:bookmarkStart w:id="1" w:name="Subject"/>
            <w:bookmarkEnd w:id="1"/>
            <w:r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>Regional Seminar on Transition to Digital Terre</w:t>
            </w:r>
            <w:r w:rsidR="008A021B"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 xml:space="preserve">strial Television Broadcasting </w:t>
            </w:r>
            <w:r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 xml:space="preserve">and </w:t>
            </w:r>
            <w:r w:rsidR="001D5DCF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br/>
            </w:r>
            <w:r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>Digital Dividend</w:t>
            </w:r>
            <w:r w:rsidRPr="000A4200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 xml:space="preserve"> </w:t>
            </w:r>
            <w:r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 xml:space="preserve">for Europe, </w:t>
            </w:r>
            <w:r w:rsidR="008A021B"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>Budapest, Hungary</w:t>
            </w:r>
            <w:r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 xml:space="preserve">, </w:t>
            </w:r>
            <w:r w:rsidR="006F54C6"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>29</w:t>
            </w:r>
            <w:r w:rsidR="008A021B"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>-</w:t>
            </w:r>
            <w:r w:rsidR="006F54C6"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>31</w:t>
            </w:r>
            <w:r w:rsidR="008A021B"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 xml:space="preserve"> </w:t>
            </w:r>
            <w:r w:rsidR="006F54C6"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>January</w:t>
            </w:r>
            <w:r w:rsidR="008A021B" w:rsidRPr="000A4200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 xml:space="preserve"> 201</w:t>
            </w:r>
            <w:r w:rsidR="00BA1CAF">
              <w:rPr>
                <w:rFonts w:asciiTheme="minorHAnsi" w:hAnsiTheme="minorHAnsi" w:cstheme="minorHAnsi"/>
                <w:b/>
                <w:bCs/>
                <w:szCs w:val="22"/>
                <w:lang w:bidi="ar-EG"/>
              </w:rPr>
              <w:t>4</w:t>
            </w:r>
          </w:p>
        </w:tc>
      </w:tr>
      <w:tr w:rsidR="00563963" w:rsidRPr="000A4200" w:rsidTr="00F67039">
        <w:trPr>
          <w:jc w:val="center"/>
        </w:trPr>
        <w:tc>
          <w:tcPr>
            <w:tcW w:w="10048" w:type="dxa"/>
            <w:gridSpan w:val="5"/>
          </w:tcPr>
          <w:p w:rsidR="00563963" w:rsidRPr="000A4200" w:rsidRDefault="00563963">
            <w:pPr>
              <w:pStyle w:val="BDTSeparator"/>
              <w:rPr>
                <w:szCs w:val="22"/>
              </w:rPr>
            </w:pPr>
          </w:p>
        </w:tc>
      </w:tr>
      <w:tr w:rsidR="00563963" w:rsidRPr="000A4200" w:rsidTr="00F67039">
        <w:trPr>
          <w:jc w:val="center"/>
        </w:trPr>
        <w:tc>
          <w:tcPr>
            <w:tcW w:w="10048" w:type="dxa"/>
            <w:gridSpan w:val="5"/>
          </w:tcPr>
          <w:p w:rsidR="00563963" w:rsidRPr="000A4200" w:rsidRDefault="00AA216B" w:rsidP="00AA216B">
            <w:pPr>
              <w:pStyle w:val="BDTOpening"/>
              <w:rPr>
                <w:rFonts w:asciiTheme="minorHAnsi" w:hAnsiTheme="minorHAnsi"/>
              </w:rPr>
            </w:pPr>
            <w:bookmarkStart w:id="2" w:name="Formula"/>
            <w:bookmarkStart w:id="3" w:name="MainStory"/>
            <w:bookmarkStart w:id="4" w:name="CurrentLocation"/>
            <w:bookmarkEnd w:id="2"/>
            <w:bookmarkEnd w:id="3"/>
            <w:bookmarkEnd w:id="4"/>
            <w:r w:rsidRPr="000A4200">
              <w:rPr>
                <w:rFonts w:asciiTheme="minorHAnsi" w:hAnsiTheme="minorHAnsi"/>
              </w:rPr>
              <w:t>Dear</w:t>
            </w:r>
            <w:r w:rsidR="00CC175A" w:rsidRPr="000A4200">
              <w:rPr>
                <w:rFonts w:asciiTheme="minorHAnsi" w:hAnsiTheme="minorHAnsi"/>
              </w:rPr>
              <w:t xml:space="preserve"> Sir</w:t>
            </w:r>
            <w:r w:rsidRPr="000A4200">
              <w:rPr>
                <w:rFonts w:asciiTheme="minorHAnsi" w:hAnsiTheme="minorHAnsi"/>
              </w:rPr>
              <w:t>/Madam,</w:t>
            </w:r>
          </w:p>
          <w:p w:rsidR="00CC175A" w:rsidRPr="000A4200" w:rsidRDefault="00CC175A" w:rsidP="00A914D6">
            <w:pPr>
              <w:tabs>
                <w:tab w:val="left" w:pos="10340"/>
              </w:tabs>
              <w:jc w:val="both"/>
              <w:rPr>
                <w:rFonts w:asciiTheme="minorHAnsi" w:hAnsiTheme="minorHAnsi" w:cstheme="minorHAnsi"/>
                <w:szCs w:val="22"/>
                <w:lang w:bidi="ar-EG"/>
              </w:rPr>
            </w:pP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I am pleased to inform </w:t>
            </w:r>
            <w:r w:rsidR="00266A6F" w:rsidRPr="000A4200">
              <w:rPr>
                <w:rFonts w:asciiTheme="minorHAnsi" w:hAnsiTheme="minorHAnsi" w:cstheme="minorHAnsi"/>
                <w:szCs w:val="22"/>
                <w:lang w:bidi="ar-EG"/>
              </w:rPr>
              <w:t>y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>ou that the International Telecommunication Union (ITU)</w:t>
            </w:r>
            <w:r w:rsidR="002749A8" w:rsidRPr="000A4200">
              <w:rPr>
                <w:rFonts w:asciiTheme="minorHAnsi" w:hAnsiTheme="minorHAnsi" w:cstheme="minorHAnsi"/>
                <w:szCs w:val="22"/>
                <w:lang w:bidi="ar-EG"/>
              </w:rPr>
              <w:t>,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in collaboration with the </w:t>
            </w:r>
            <w:r w:rsidR="00176D3E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National Media and </w:t>
            </w:r>
            <w:proofErr w:type="spellStart"/>
            <w:r w:rsidR="00176D3E" w:rsidRPr="000A4200">
              <w:rPr>
                <w:rFonts w:asciiTheme="minorHAnsi" w:hAnsiTheme="minorHAnsi" w:cstheme="minorHAnsi"/>
                <w:szCs w:val="22"/>
                <w:lang w:bidi="ar-EG"/>
              </w:rPr>
              <w:t>Infocommunications</w:t>
            </w:r>
            <w:proofErr w:type="spellEnd"/>
            <w:r w:rsidR="00176D3E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Authority of Hungary</w:t>
            </w:r>
            <w:r w:rsidR="00AD5FB8" w:rsidRPr="000A4200">
              <w:rPr>
                <w:rFonts w:asciiTheme="minorHAnsi" w:hAnsiTheme="minorHAnsi" w:cstheme="minorHAnsi"/>
                <w:szCs w:val="22"/>
                <w:lang w:bidi="ar-EG"/>
              </w:rPr>
              <w:t>,</w:t>
            </w:r>
            <w:r w:rsidR="002749A8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is organizing </w:t>
            </w:r>
            <w:r w:rsidR="00A914D6">
              <w:rPr>
                <w:rFonts w:asciiTheme="minorHAnsi" w:hAnsiTheme="minorHAnsi" w:cstheme="minorHAnsi"/>
                <w:szCs w:val="22"/>
                <w:lang w:bidi="ar-EG"/>
              </w:rPr>
              <w:t>a</w:t>
            </w:r>
            <w:r w:rsidR="00A914D6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="001D5DCF">
              <w:rPr>
                <w:rFonts w:asciiTheme="minorHAnsi" w:hAnsiTheme="minorHAnsi" w:cstheme="minorHAnsi"/>
                <w:szCs w:val="22"/>
                <w:lang w:bidi="ar-EG"/>
              </w:rPr>
              <w:t>Regional</w:t>
            </w:r>
            <w:r w:rsidR="00176D3E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Seminar for Europe on </w:t>
            </w:r>
            <w:r w:rsidR="00F62560" w:rsidRPr="000A4200">
              <w:rPr>
                <w:rFonts w:asciiTheme="minorHAnsi" w:hAnsiTheme="minorHAnsi" w:cstheme="minorHAnsi"/>
                <w:szCs w:val="22"/>
                <w:lang w:bidi="ar-EG"/>
              </w:rPr>
              <w:t>“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>Transition to Digital Terrestrial Television Broadcasting and Digital Dividend</w:t>
            </w:r>
            <w:r w:rsidR="00F62560" w:rsidRPr="000A4200">
              <w:rPr>
                <w:rFonts w:asciiTheme="minorHAnsi" w:hAnsiTheme="minorHAnsi" w:cstheme="minorHAnsi"/>
                <w:szCs w:val="22"/>
                <w:lang w:bidi="ar-EG"/>
              </w:rPr>
              <w:t>”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to be held from </w:t>
            </w:r>
            <w:r w:rsidR="006F54C6" w:rsidRPr="000A4200">
              <w:rPr>
                <w:rFonts w:asciiTheme="minorHAnsi" w:hAnsiTheme="minorHAnsi" w:cstheme="minorHAnsi"/>
                <w:szCs w:val="22"/>
                <w:lang w:bidi="ar-EG"/>
              </w:rPr>
              <w:t>29 to 31</w:t>
            </w:r>
            <w:r w:rsidR="00176D3E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="006F54C6" w:rsidRPr="000A4200">
              <w:rPr>
                <w:rFonts w:asciiTheme="minorHAnsi" w:hAnsiTheme="minorHAnsi" w:cstheme="minorHAnsi"/>
                <w:szCs w:val="22"/>
                <w:lang w:bidi="ar-EG"/>
              </w:rPr>
              <w:t>January</w:t>
            </w:r>
            <w:r w:rsidR="00AC7C6B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="006F54C6" w:rsidRPr="000A4200">
              <w:rPr>
                <w:rFonts w:asciiTheme="minorHAnsi" w:hAnsiTheme="minorHAnsi" w:cstheme="minorHAnsi"/>
                <w:szCs w:val="22"/>
                <w:lang w:bidi="ar-EG"/>
              </w:rPr>
              <w:t>2014</w:t>
            </w:r>
            <w:r w:rsidR="00AD5FB8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in </w:t>
            </w:r>
            <w:r w:rsidR="00176D3E" w:rsidRPr="000A4200">
              <w:rPr>
                <w:rFonts w:asciiTheme="minorHAnsi" w:hAnsiTheme="minorHAnsi" w:cstheme="minorHAnsi"/>
                <w:szCs w:val="22"/>
                <w:lang w:bidi="ar-EG"/>
              </w:rPr>
              <w:t>Budapest, Hungary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. </w:t>
            </w:r>
          </w:p>
          <w:p w:rsidR="00CC175A" w:rsidRPr="000A4200" w:rsidRDefault="00CC175A" w:rsidP="009819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/>
                <w:szCs w:val="22"/>
                <w:lang w:eastAsia="zh-CN"/>
              </w:rPr>
            </w:pPr>
            <w:r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>Th</w:t>
            </w:r>
            <w:r w:rsidR="00176D3E"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 xml:space="preserve">is </w:t>
            </w:r>
            <w:r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 xml:space="preserve">Seminar is </w:t>
            </w:r>
            <w:r w:rsidR="00A914D6">
              <w:rPr>
                <w:rFonts w:asciiTheme="minorHAnsi" w:eastAsiaTheme="minorEastAsia" w:hAnsiTheme="minorHAnsi"/>
                <w:szCs w:val="22"/>
                <w:lang w:eastAsia="zh-CN"/>
              </w:rPr>
              <w:t>the final</w:t>
            </w:r>
            <w:r w:rsidR="006F54C6"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 xml:space="preserve"> event</w:t>
            </w:r>
            <w:r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 xml:space="preserve"> of the European Regional Initiative on 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Digital Broadcasting for Europe that </w:t>
            </w:r>
            <w:r w:rsidR="00A914D6">
              <w:rPr>
                <w:rFonts w:asciiTheme="minorHAnsi" w:hAnsiTheme="minorHAnsi" w:cstheme="minorHAnsi"/>
                <w:szCs w:val="22"/>
                <w:lang w:bidi="ar-EG"/>
              </w:rPr>
              <w:t>seeks</w:t>
            </w:r>
            <w:r w:rsidR="00A914D6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Pr="000A4200">
              <w:rPr>
                <w:rFonts w:asciiTheme="minorHAnsi" w:hAnsiTheme="minorHAnsi"/>
                <w:szCs w:val="22"/>
              </w:rPr>
              <w:t>to</w:t>
            </w:r>
            <w:r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 xml:space="preserve"> provide a basis for the exchange of best practices encountered on the path of digital migration, and </w:t>
            </w:r>
            <w:r w:rsidR="00CB5270">
              <w:rPr>
                <w:rFonts w:asciiTheme="minorHAnsi" w:eastAsiaTheme="minorEastAsia" w:hAnsiTheme="minorHAnsi"/>
                <w:szCs w:val="22"/>
                <w:lang w:eastAsia="zh-CN"/>
              </w:rPr>
              <w:t>work</w:t>
            </w:r>
            <w:r w:rsidR="00981947">
              <w:rPr>
                <w:rFonts w:asciiTheme="minorHAnsi" w:eastAsiaTheme="minorEastAsia" w:hAnsiTheme="minorHAnsi"/>
                <w:szCs w:val="22"/>
                <w:lang w:eastAsia="zh-CN"/>
              </w:rPr>
              <w:t>s</w:t>
            </w:r>
            <w:r w:rsidR="00CB5270">
              <w:rPr>
                <w:rFonts w:asciiTheme="minorHAnsi" w:eastAsiaTheme="minorEastAsia" w:hAnsiTheme="minorHAnsi"/>
                <w:szCs w:val="22"/>
                <w:lang w:eastAsia="zh-CN"/>
              </w:rPr>
              <w:t xml:space="preserve"> towards </w:t>
            </w:r>
            <w:r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 xml:space="preserve">the way to maximize the economic and social benefits of the digital dividend. It will also consider how to develop </w:t>
            </w:r>
            <w:r w:rsidR="00CB5270"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 xml:space="preserve">further </w:t>
            </w:r>
            <w:r w:rsidRPr="000A4200">
              <w:rPr>
                <w:rFonts w:asciiTheme="minorHAnsi" w:eastAsiaTheme="minorEastAsia" w:hAnsiTheme="minorHAnsi"/>
                <w:szCs w:val="22"/>
                <w:lang w:eastAsia="zh-CN"/>
              </w:rPr>
              <w:t>a unified approach in order to enhance the advantages that it will bring to the region of Central-Eastern Europe. The Seminar will discuss, in particular:</w:t>
            </w:r>
          </w:p>
          <w:p w:rsidR="00CC175A" w:rsidRPr="000A4200" w:rsidRDefault="00DA51B1" w:rsidP="00176D3E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</w:pPr>
            <w:r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 xml:space="preserve">Digital </w:t>
            </w:r>
            <w:r w:rsidR="00446B42"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>terrestrial television</w:t>
            </w:r>
            <w:r w:rsidR="00206D07"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 xml:space="preserve"> transition</w:t>
            </w:r>
            <w:r w:rsidR="00CC175A"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>;</w:t>
            </w:r>
            <w:r w:rsidR="00C019C6"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 xml:space="preserve"> </w:t>
            </w:r>
          </w:p>
          <w:p w:rsidR="00450632" w:rsidRPr="000A4200" w:rsidRDefault="00176D3E" w:rsidP="0045063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</w:pPr>
            <w:r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>Licensing policies and criteria</w:t>
            </w:r>
            <w:r w:rsidR="00AC7C6B"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>;</w:t>
            </w:r>
            <w:r w:rsidR="00C019C6"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 xml:space="preserve"> </w:t>
            </w:r>
          </w:p>
          <w:p w:rsidR="001A4008" w:rsidRPr="000A4200" w:rsidRDefault="001A4008" w:rsidP="00AC7C6B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</w:pPr>
            <w:r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>Utilization of the Digital dividend</w:t>
            </w:r>
            <w:r w:rsidR="00A336A5"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>;</w:t>
            </w:r>
            <w:r w:rsidR="00450632"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 xml:space="preserve"> </w:t>
            </w:r>
          </w:p>
          <w:p w:rsidR="00C019C6" w:rsidRPr="000A4200" w:rsidRDefault="00C019C6" w:rsidP="00C019C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</w:pPr>
            <w:r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 xml:space="preserve">Decision about introduction of the HDTV; </w:t>
            </w:r>
          </w:p>
          <w:p w:rsidR="00C019C6" w:rsidRPr="000A4200" w:rsidRDefault="00C019C6" w:rsidP="00A914D6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</w:pPr>
            <w:r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>Emerging Challenges in the Digital TV Market</w:t>
            </w:r>
            <w:r w:rsidR="00A914D6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>.</w:t>
            </w:r>
            <w:r w:rsidRPr="000A4200">
              <w:rPr>
                <w:rFonts w:asciiTheme="minorHAnsi" w:eastAsiaTheme="minorEastAsia" w:hAnsiTheme="minorHAnsi"/>
                <w:sz w:val="22"/>
                <w:szCs w:val="22"/>
                <w:lang w:eastAsia="zh-CN"/>
              </w:rPr>
              <w:t xml:space="preserve"> </w:t>
            </w:r>
          </w:p>
          <w:p w:rsidR="00CC175A" w:rsidRPr="000A4200" w:rsidRDefault="004F60D4" w:rsidP="00A914D6">
            <w:pPr>
              <w:tabs>
                <w:tab w:val="left" w:pos="10340"/>
              </w:tabs>
              <w:jc w:val="both"/>
              <w:rPr>
                <w:rFonts w:asciiTheme="minorHAnsi" w:hAnsiTheme="minorHAnsi" w:cstheme="minorHAnsi"/>
                <w:szCs w:val="22"/>
                <w:lang w:bidi="ar-EG"/>
              </w:rPr>
            </w:pPr>
            <w:r w:rsidRPr="000A4200">
              <w:rPr>
                <w:rFonts w:asciiTheme="minorHAnsi" w:hAnsiTheme="minorHAnsi" w:cstheme="minorHAnsi"/>
                <w:szCs w:val="22"/>
              </w:rPr>
              <w:t xml:space="preserve">Please note that the meeting </w:t>
            </w:r>
            <w:r w:rsidR="00A914D6">
              <w:rPr>
                <w:rFonts w:asciiTheme="minorHAnsi" w:hAnsiTheme="minorHAnsi" w:cstheme="minorHAnsi"/>
                <w:szCs w:val="22"/>
              </w:rPr>
              <w:t>will be</w:t>
            </w:r>
            <w:r w:rsidR="00AD5FB8" w:rsidRPr="000A4200">
              <w:rPr>
                <w:rFonts w:asciiTheme="minorHAnsi" w:hAnsiTheme="minorHAnsi" w:cstheme="minorHAnsi"/>
                <w:szCs w:val="22"/>
              </w:rPr>
              <w:t xml:space="preserve"> paperless. </w:t>
            </w:r>
            <w:r w:rsidR="00CC175A" w:rsidRPr="000A4200">
              <w:rPr>
                <w:rFonts w:asciiTheme="minorHAnsi" w:hAnsiTheme="minorHAnsi" w:cstheme="minorHAnsi"/>
                <w:szCs w:val="22"/>
              </w:rPr>
              <w:t xml:space="preserve">Documents related to the event, including </w:t>
            </w:r>
            <w:r w:rsidR="00A914D6">
              <w:rPr>
                <w:rFonts w:asciiTheme="minorHAnsi" w:hAnsiTheme="minorHAnsi" w:cstheme="minorHAnsi"/>
                <w:szCs w:val="22"/>
              </w:rPr>
              <w:t>the a</w:t>
            </w:r>
            <w:r w:rsidR="00CC175A" w:rsidRPr="000A4200">
              <w:rPr>
                <w:rFonts w:asciiTheme="minorHAnsi" w:hAnsiTheme="minorHAnsi" w:cstheme="minorHAnsi"/>
                <w:szCs w:val="22"/>
              </w:rPr>
              <w:t xml:space="preserve">genda, </w:t>
            </w:r>
            <w:r w:rsidR="00A914D6">
              <w:rPr>
                <w:rFonts w:asciiTheme="minorHAnsi" w:hAnsiTheme="minorHAnsi" w:cstheme="minorHAnsi"/>
                <w:szCs w:val="22"/>
              </w:rPr>
              <w:t>r</w:t>
            </w:r>
            <w:r w:rsidR="00CC175A" w:rsidRPr="000A4200">
              <w:rPr>
                <w:rFonts w:asciiTheme="minorHAnsi" w:hAnsiTheme="minorHAnsi" w:cstheme="minorHAnsi"/>
                <w:szCs w:val="22"/>
              </w:rPr>
              <w:t xml:space="preserve">egistration form, </w:t>
            </w:r>
            <w:r w:rsidR="001A4008" w:rsidRPr="000A4200">
              <w:rPr>
                <w:rFonts w:asciiTheme="minorHAnsi" w:hAnsiTheme="minorHAnsi" w:cstheme="minorHAnsi"/>
                <w:szCs w:val="22"/>
              </w:rPr>
              <w:t xml:space="preserve">hotel reservation </w:t>
            </w:r>
            <w:r w:rsidR="00CC175A" w:rsidRPr="000A4200">
              <w:rPr>
                <w:rFonts w:asciiTheme="minorHAnsi" w:hAnsiTheme="minorHAnsi" w:cstheme="minorHAnsi"/>
                <w:szCs w:val="22"/>
              </w:rPr>
              <w:t xml:space="preserve">and </w:t>
            </w:r>
            <w:r w:rsidR="00A914D6">
              <w:rPr>
                <w:rFonts w:asciiTheme="minorHAnsi" w:hAnsiTheme="minorHAnsi" w:cstheme="minorHAnsi"/>
                <w:szCs w:val="22"/>
              </w:rPr>
              <w:t>p</w:t>
            </w:r>
            <w:r w:rsidR="00CC175A" w:rsidRPr="000A4200">
              <w:rPr>
                <w:rFonts w:asciiTheme="minorHAnsi" w:hAnsiTheme="minorHAnsi" w:cstheme="minorHAnsi"/>
                <w:szCs w:val="22"/>
              </w:rPr>
              <w:t xml:space="preserve">ractical information for participants </w:t>
            </w:r>
            <w:r w:rsidR="00A914D6">
              <w:rPr>
                <w:rFonts w:asciiTheme="minorHAnsi" w:hAnsiTheme="minorHAnsi" w:cstheme="minorHAnsi"/>
                <w:szCs w:val="22"/>
              </w:rPr>
              <w:t xml:space="preserve">soon </w:t>
            </w:r>
            <w:r w:rsidR="00CC175A" w:rsidRPr="000A4200">
              <w:rPr>
                <w:rFonts w:asciiTheme="minorHAnsi" w:hAnsiTheme="minorHAnsi" w:cstheme="minorHAnsi"/>
                <w:szCs w:val="22"/>
              </w:rPr>
              <w:t xml:space="preserve">will be posted on the ITU website at </w:t>
            </w:r>
            <w:hyperlink r:id="rId9" w:history="1">
              <w:r w:rsidR="004C197F">
                <w:rPr>
                  <w:rStyle w:val="Hyperlink"/>
                </w:rPr>
                <w:t>http://www.itu.int/en/ITU-D/Regional-Presence/Europe/</w:t>
              </w:r>
            </w:hyperlink>
            <w:r w:rsidR="004C197F">
              <w:t xml:space="preserve"> </w:t>
            </w:r>
            <w:r w:rsidR="00CC175A" w:rsidRPr="000A4200">
              <w:rPr>
                <w:rFonts w:asciiTheme="minorHAnsi" w:hAnsiTheme="minorHAnsi" w:cstheme="minorHAnsi"/>
                <w:szCs w:val="22"/>
              </w:rPr>
              <w:t>Participants are invited to download and print the documents needed for the event.</w:t>
            </w:r>
            <w:r w:rsidR="00DA05C1" w:rsidRPr="000A420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C175A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The Seminar will be conducted in English </w:t>
            </w:r>
            <w:r w:rsidR="00176D3E" w:rsidRPr="000A4200">
              <w:rPr>
                <w:rFonts w:asciiTheme="minorHAnsi" w:hAnsiTheme="minorHAnsi" w:cstheme="minorHAnsi"/>
                <w:szCs w:val="22"/>
                <w:lang w:bidi="ar-EG"/>
              </w:rPr>
              <w:t>only</w:t>
            </w:r>
            <w:r w:rsidR="00CC175A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. </w:t>
            </w:r>
          </w:p>
          <w:p w:rsidR="00CC175A" w:rsidRPr="000A4200" w:rsidRDefault="00CC175A" w:rsidP="00B6703B">
            <w:pPr>
              <w:tabs>
                <w:tab w:val="left" w:pos="10340"/>
              </w:tabs>
              <w:jc w:val="both"/>
              <w:rPr>
                <w:rFonts w:asciiTheme="minorHAnsi" w:hAnsiTheme="minorHAnsi" w:cstheme="minorHAnsi"/>
                <w:szCs w:val="22"/>
                <w:lang w:bidi="ar-EG"/>
              </w:rPr>
            </w:pP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>Although there is no participation fee for this meeting, please note that all expenses concerning travel, accommodation and insurance of experts should be covered by your Administration</w:t>
            </w:r>
            <w:r w:rsidR="0074458D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>/</w:t>
            </w:r>
            <w:r w:rsidR="0074458D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>Organization</w:t>
            </w:r>
            <w:r w:rsidR="0074458D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>/</w:t>
            </w:r>
            <w:r w:rsidR="0074458D"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 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 xml:space="preserve">Company.  </w:t>
            </w:r>
          </w:p>
          <w:p w:rsidR="00CC175A" w:rsidRPr="000A4200" w:rsidRDefault="00EB303B" w:rsidP="00CB5270">
            <w:pPr>
              <w:tabs>
                <w:tab w:val="left" w:pos="10340"/>
              </w:tabs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>The</w:t>
            </w:r>
            <w:r w:rsidR="00CC175A" w:rsidRPr="000A4200">
              <w:rPr>
                <w:rFonts w:asciiTheme="minorHAnsi" w:hAnsiTheme="minorHAnsi" w:cstheme="minorHAnsi"/>
                <w:szCs w:val="22"/>
                <w:lang w:val="en-GB"/>
              </w:rPr>
              <w:t xml:space="preserve"> participants are requested to complete th</w:t>
            </w:r>
            <w:r w:rsidR="007B611D" w:rsidRPr="000A4200">
              <w:rPr>
                <w:rFonts w:asciiTheme="minorHAnsi" w:hAnsiTheme="minorHAnsi" w:cstheme="minorHAnsi"/>
                <w:szCs w:val="22"/>
                <w:lang w:val="en-GB"/>
              </w:rPr>
              <w:t xml:space="preserve">e </w:t>
            </w:r>
            <w:r w:rsidR="000A4200" w:rsidRPr="000A4200">
              <w:rPr>
                <w:rFonts w:asciiTheme="minorHAnsi" w:hAnsiTheme="minorHAnsi" w:cstheme="minorHAnsi"/>
                <w:szCs w:val="22"/>
                <w:lang w:val="en-GB"/>
              </w:rPr>
              <w:t xml:space="preserve">registration form in Annex 1, and send it to Ms </w:t>
            </w:r>
            <w:proofErr w:type="spellStart"/>
            <w:r w:rsidR="000A4200" w:rsidRPr="000A4200">
              <w:rPr>
                <w:rFonts w:asciiTheme="minorHAnsi" w:hAnsiTheme="minorHAnsi" w:cstheme="minorHAnsi"/>
                <w:szCs w:val="22"/>
                <w:lang w:val="en-GB"/>
              </w:rPr>
              <w:t>Krisztina</w:t>
            </w:r>
            <w:proofErr w:type="spellEnd"/>
            <w:r w:rsidR="000A4200" w:rsidRPr="000A4200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proofErr w:type="spellStart"/>
            <w:r w:rsidR="000A4200" w:rsidRPr="000A4200">
              <w:rPr>
                <w:rFonts w:asciiTheme="minorHAnsi" w:hAnsiTheme="minorHAnsi" w:cstheme="minorHAnsi"/>
                <w:szCs w:val="22"/>
                <w:lang w:val="en-GB"/>
              </w:rPr>
              <w:t>Szerémi</w:t>
            </w:r>
            <w:proofErr w:type="spellEnd"/>
            <w:r w:rsidR="000A4200" w:rsidRPr="000A4200">
              <w:rPr>
                <w:rFonts w:asciiTheme="minorHAnsi" w:hAnsiTheme="minorHAnsi" w:cstheme="minorHAnsi"/>
                <w:szCs w:val="22"/>
                <w:lang w:val="en-GB"/>
              </w:rPr>
              <w:t>, NMHH</w:t>
            </w:r>
            <w:r w:rsidR="00CB5270">
              <w:rPr>
                <w:rFonts w:asciiTheme="minorHAnsi" w:hAnsiTheme="minorHAnsi" w:cstheme="minorHAnsi"/>
                <w:szCs w:val="22"/>
                <w:lang w:val="en-GB"/>
              </w:rPr>
              <w:t xml:space="preserve"> by email:</w:t>
            </w:r>
            <w:r w:rsidR="000A4200" w:rsidRPr="000A4200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hyperlink r:id="rId10" w:history="1">
              <w:r w:rsidR="00CB5270" w:rsidRPr="00131D97">
                <w:rPr>
                  <w:rStyle w:val="Hyperlink"/>
                  <w:rFonts w:asciiTheme="minorHAnsi" w:hAnsiTheme="minorHAnsi" w:cstheme="minorHAnsi"/>
                  <w:szCs w:val="22"/>
                  <w:lang w:val="en-GB"/>
                </w:rPr>
                <w:t>szeremi@nmhh.hu</w:t>
              </w:r>
            </w:hyperlink>
            <w:r w:rsidR="00CB5270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 w:rsidR="006F54C6" w:rsidRPr="000A4200">
              <w:rPr>
                <w:rFonts w:asciiTheme="minorHAnsi" w:hAnsiTheme="minorHAnsi" w:cstheme="minorHAnsi"/>
                <w:b/>
                <w:bCs/>
                <w:szCs w:val="22"/>
              </w:rPr>
              <w:t xml:space="preserve">by </w:t>
            </w:r>
            <w:r w:rsidR="006F54C6" w:rsidRPr="004C197F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="00955BB4" w:rsidRPr="004C197F"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="00CC175A" w:rsidRPr="000A420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6F54C6" w:rsidRPr="000A4200">
              <w:rPr>
                <w:rFonts w:asciiTheme="minorHAnsi" w:hAnsiTheme="minorHAnsi" w:cstheme="minorHAnsi"/>
                <w:b/>
                <w:bCs/>
                <w:szCs w:val="22"/>
              </w:rPr>
              <w:t>January 2014</w:t>
            </w:r>
            <w:r w:rsidR="00DA05C1" w:rsidRPr="000A420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CC175A" w:rsidRPr="000A4200">
              <w:rPr>
                <w:rFonts w:asciiTheme="minorHAnsi" w:hAnsiTheme="minorHAnsi" w:cstheme="minorHAnsi"/>
                <w:szCs w:val="22"/>
                <w:lang w:val="en-GB"/>
              </w:rPr>
              <w:t xml:space="preserve">at the latest. </w:t>
            </w:r>
          </w:p>
          <w:p w:rsidR="00EB303B" w:rsidRDefault="00EB303B" w:rsidP="00EB303B">
            <w:pPr>
              <w:tabs>
                <w:tab w:val="left" w:pos="10340"/>
              </w:tabs>
              <w:rPr>
                <w:rFonts w:asciiTheme="minorHAnsi" w:hAnsiTheme="minorHAnsi" w:cstheme="minorHAnsi"/>
                <w:szCs w:val="22"/>
                <w:lang w:bidi="ar-EG"/>
              </w:rPr>
            </w:pPr>
            <w:r w:rsidRPr="004C197F">
              <w:rPr>
                <w:rFonts w:asciiTheme="minorHAnsi" w:hAnsiTheme="minorHAnsi" w:cstheme="minorHAnsi"/>
                <w:szCs w:val="22"/>
                <w:lang w:bidi="ar-EG"/>
              </w:rPr>
              <w:t>Pre-registered delegates will need to bring their letter of confirmation and photo ID</w:t>
            </w:r>
            <w:r w:rsidRPr="000A4200">
              <w:rPr>
                <w:rFonts w:asciiTheme="minorHAnsi" w:hAnsiTheme="minorHAnsi" w:cstheme="minorHAnsi"/>
                <w:szCs w:val="22"/>
                <w:lang w:bidi="ar-EG"/>
              </w:rPr>
              <w:t>.</w:t>
            </w:r>
          </w:p>
          <w:p w:rsidR="004C197F" w:rsidRPr="000A4200" w:rsidRDefault="004C197F" w:rsidP="00EB303B">
            <w:pPr>
              <w:tabs>
                <w:tab w:val="left" w:pos="10340"/>
              </w:tabs>
              <w:rPr>
                <w:rFonts w:asciiTheme="minorHAnsi" w:hAnsiTheme="minorHAnsi" w:cstheme="minorHAnsi"/>
                <w:szCs w:val="22"/>
                <w:lang w:bidi="ar-EG"/>
              </w:rPr>
            </w:pPr>
            <w:bookmarkStart w:id="5" w:name="_GoBack"/>
            <w:bookmarkEnd w:id="5"/>
          </w:p>
          <w:p w:rsidR="000A4200" w:rsidRPr="000A4200" w:rsidRDefault="00CC175A" w:rsidP="00CB5270">
            <w:pPr>
              <w:tabs>
                <w:tab w:val="left" w:pos="1034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0A4200">
              <w:rPr>
                <w:rFonts w:asciiTheme="minorHAnsi" w:hAnsiTheme="minorHAnsi" w:cstheme="minorHAnsi"/>
                <w:szCs w:val="22"/>
              </w:rPr>
              <w:lastRenderedPageBreak/>
              <w:t xml:space="preserve">Participants requiring an entry visa to </w:t>
            </w:r>
            <w:r w:rsidR="00DA05C1" w:rsidRPr="000A4200">
              <w:rPr>
                <w:rFonts w:asciiTheme="minorHAnsi" w:hAnsiTheme="minorHAnsi" w:cstheme="minorHAnsi"/>
                <w:szCs w:val="22"/>
              </w:rPr>
              <w:t xml:space="preserve">Hungary </w:t>
            </w:r>
            <w:r w:rsidRPr="000A4200">
              <w:rPr>
                <w:rFonts w:asciiTheme="minorHAnsi" w:hAnsiTheme="minorHAnsi" w:cstheme="minorHAnsi"/>
                <w:szCs w:val="22"/>
              </w:rPr>
              <w:t>should contact the</w:t>
            </w:r>
            <w:r w:rsidR="007B611D" w:rsidRPr="000A4200">
              <w:rPr>
                <w:rFonts w:asciiTheme="minorHAnsi" w:hAnsiTheme="minorHAnsi" w:cstheme="minorHAnsi"/>
                <w:szCs w:val="22"/>
              </w:rPr>
              <w:t>ir</w:t>
            </w:r>
            <w:r w:rsidRPr="000A4200">
              <w:rPr>
                <w:rFonts w:asciiTheme="minorHAnsi" w:hAnsiTheme="minorHAnsi" w:cstheme="minorHAnsi"/>
                <w:szCs w:val="22"/>
              </w:rPr>
              <w:t xml:space="preserve"> nearest </w:t>
            </w:r>
            <w:r w:rsidR="00DA05C1" w:rsidRPr="000A4200">
              <w:rPr>
                <w:rFonts w:asciiTheme="minorHAnsi" w:hAnsiTheme="minorHAnsi" w:cstheme="minorHAnsi"/>
                <w:szCs w:val="22"/>
              </w:rPr>
              <w:t xml:space="preserve">Hungarian </w:t>
            </w:r>
            <w:r w:rsidRPr="000A4200">
              <w:rPr>
                <w:rFonts w:asciiTheme="minorHAnsi" w:hAnsiTheme="minorHAnsi" w:cstheme="minorHAnsi"/>
                <w:szCs w:val="22"/>
              </w:rPr>
              <w:t xml:space="preserve">Embassy or Consulate well in advance. Information on visa requirements can be found in the </w:t>
            </w:r>
            <w:r w:rsidR="00B6703B">
              <w:rPr>
                <w:rFonts w:asciiTheme="minorHAnsi" w:hAnsiTheme="minorHAnsi" w:cstheme="minorHAnsi"/>
                <w:szCs w:val="22"/>
              </w:rPr>
              <w:t>p</w:t>
            </w:r>
            <w:r w:rsidRPr="000A4200">
              <w:rPr>
                <w:rFonts w:asciiTheme="minorHAnsi" w:hAnsiTheme="minorHAnsi" w:cstheme="minorHAnsi"/>
                <w:szCs w:val="22"/>
              </w:rPr>
              <w:t>ractical information for participants.</w:t>
            </w:r>
          </w:p>
          <w:p w:rsidR="00F67039" w:rsidRDefault="00C9124B" w:rsidP="00CB5270">
            <w:pPr>
              <w:rPr>
                <w:szCs w:val="22"/>
              </w:rPr>
            </w:pPr>
            <w:r w:rsidRPr="000A4200">
              <w:rPr>
                <w:rFonts w:asciiTheme="minorHAnsi" w:hAnsiTheme="minorHAnsi" w:cstheme="minorHAnsi"/>
                <w:szCs w:val="22"/>
              </w:rPr>
              <w:t xml:space="preserve">Should you have any questions or need clarifications </w:t>
            </w:r>
            <w:r w:rsidR="00CF2F1C" w:rsidRPr="000A4200">
              <w:rPr>
                <w:rFonts w:asciiTheme="minorHAnsi" w:hAnsiTheme="minorHAnsi" w:cstheme="minorHAnsi"/>
                <w:szCs w:val="22"/>
              </w:rPr>
              <w:t xml:space="preserve">concerning the venue, accommodation, entry visa etc., </w:t>
            </w:r>
            <w:r w:rsidRPr="000A4200">
              <w:rPr>
                <w:rFonts w:asciiTheme="minorHAnsi" w:hAnsiTheme="minorHAnsi" w:cstheme="minorHAnsi"/>
                <w:szCs w:val="22"/>
              </w:rPr>
              <w:t>please do not hesitate to contact</w:t>
            </w:r>
            <w:r w:rsidR="007B3269" w:rsidRPr="000A4200">
              <w:rPr>
                <w:rFonts w:asciiTheme="minorHAnsi" w:hAnsiTheme="minorHAnsi" w:cstheme="minorHAnsi"/>
                <w:szCs w:val="22"/>
              </w:rPr>
              <w:t xml:space="preserve"> Ms </w:t>
            </w:r>
            <w:proofErr w:type="spellStart"/>
            <w:r w:rsidR="007B3269" w:rsidRPr="000A4200">
              <w:rPr>
                <w:rFonts w:asciiTheme="minorHAnsi" w:hAnsiTheme="minorHAnsi" w:cstheme="minorHAnsi"/>
                <w:szCs w:val="22"/>
              </w:rPr>
              <w:t>Krisztina</w:t>
            </w:r>
            <w:proofErr w:type="spellEnd"/>
            <w:r w:rsidR="007B3269" w:rsidRPr="000A420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7B3269" w:rsidRPr="000A4200">
              <w:rPr>
                <w:rFonts w:asciiTheme="minorHAnsi" w:hAnsiTheme="minorHAnsi" w:cstheme="minorHAnsi"/>
                <w:szCs w:val="22"/>
              </w:rPr>
              <w:t>Szerémi</w:t>
            </w:r>
            <w:proofErr w:type="spellEnd"/>
            <w:r w:rsidR="007B3269" w:rsidRPr="000A4200">
              <w:rPr>
                <w:rFonts w:asciiTheme="minorHAnsi" w:hAnsiTheme="minorHAnsi" w:cstheme="minorHAnsi"/>
                <w:szCs w:val="22"/>
              </w:rPr>
              <w:t>, NMHH (</w:t>
            </w:r>
            <w:r w:rsidR="00CB5270">
              <w:rPr>
                <w:rFonts w:asciiTheme="minorHAnsi" w:hAnsiTheme="minorHAnsi" w:cstheme="minorHAnsi"/>
                <w:szCs w:val="22"/>
              </w:rPr>
              <w:t>tele</w:t>
            </w:r>
            <w:r w:rsidR="007B3269" w:rsidRPr="000A4200">
              <w:rPr>
                <w:rFonts w:asciiTheme="minorHAnsi" w:hAnsiTheme="minorHAnsi" w:cstheme="minorHAnsi"/>
                <w:szCs w:val="22"/>
              </w:rPr>
              <w:t xml:space="preserve">phone: 36 1 468 0595, fax: 36 1 457 7163, </w:t>
            </w:r>
            <w:r w:rsidR="00CB5270">
              <w:rPr>
                <w:rFonts w:asciiTheme="minorHAnsi" w:hAnsiTheme="minorHAnsi" w:cstheme="minorHAnsi"/>
                <w:szCs w:val="22"/>
              </w:rPr>
              <w:t xml:space="preserve">email: </w:t>
            </w:r>
            <w:hyperlink r:id="rId11" w:history="1">
              <w:r w:rsidR="00CB5270" w:rsidRPr="00131D97">
                <w:rPr>
                  <w:rStyle w:val="Hyperlink"/>
                  <w:rFonts w:asciiTheme="minorHAnsi" w:hAnsiTheme="minorHAnsi" w:cstheme="minorHAnsi"/>
                  <w:szCs w:val="22"/>
                </w:rPr>
                <w:t>szeremi@nmhh.hu</w:t>
              </w:r>
            </w:hyperlink>
            <w:r w:rsidR="007B3269" w:rsidRPr="000A4200">
              <w:rPr>
                <w:rFonts w:asciiTheme="minorHAnsi" w:hAnsiTheme="minorHAnsi" w:cstheme="minorHAnsi"/>
                <w:szCs w:val="22"/>
              </w:rPr>
              <w:t>)</w:t>
            </w:r>
            <w:r w:rsidR="002542D0" w:rsidRPr="000A4200">
              <w:rPr>
                <w:szCs w:val="22"/>
              </w:rPr>
              <w:t xml:space="preserve">. For any other questions concerning this seminar please contact </w:t>
            </w:r>
            <w:proofErr w:type="spellStart"/>
            <w:r w:rsidR="002542D0" w:rsidRPr="000A4200">
              <w:rPr>
                <w:szCs w:val="22"/>
              </w:rPr>
              <w:t>Mr</w:t>
            </w:r>
            <w:proofErr w:type="spellEnd"/>
            <w:r w:rsidR="002542D0" w:rsidRPr="000A4200">
              <w:rPr>
                <w:szCs w:val="22"/>
              </w:rPr>
              <w:t xml:space="preserve"> Jaroslaw Ponder, Coordinator for Europe Region (tel</w:t>
            </w:r>
            <w:r w:rsidR="00CB5270">
              <w:rPr>
                <w:szCs w:val="22"/>
              </w:rPr>
              <w:t xml:space="preserve">ephone: </w:t>
            </w:r>
            <w:r w:rsidR="002542D0" w:rsidRPr="000A4200">
              <w:rPr>
                <w:szCs w:val="22"/>
              </w:rPr>
              <w:t xml:space="preserve">+41 22 730 60 65, e-mail: </w:t>
            </w:r>
            <w:hyperlink r:id="rId12" w:history="1">
              <w:r w:rsidR="00F67039" w:rsidRPr="009D5C0B">
                <w:rPr>
                  <w:rStyle w:val="Hyperlink"/>
                  <w:rFonts w:cs="Traditional Arabic"/>
                  <w:szCs w:val="22"/>
                </w:rPr>
                <w:t>jaroslaw.ponder@itu.int</w:t>
              </w:r>
            </w:hyperlink>
            <w:r w:rsidR="00F67039">
              <w:rPr>
                <w:szCs w:val="22"/>
              </w:rPr>
              <w:t xml:space="preserve">) </w:t>
            </w:r>
            <w:r w:rsidR="002542D0" w:rsidRPr="000A4200">
              <w:rPr>
                <w:szCs w:val="22"/>
              </w:rPr>
              <w:t xml:space="preserve">or </w:t>
            </w:r>
            <w:proofErr w:type="spellStart"/>
            <w:r w:rsidR="002542D0" w:rsidRPr="000A4200">
              <w:rPr>
                <w:szCs w:val="22"/>
              </w:rPr>
              <w:t>Mr</w:t>
            </w:r>
            <w:proofErr w:type="spellEnd"/>
            <w:r w:rsidR="002542D0" w:rsidRPr="000A4200">
              <w:rPr>
                <w:szCs w:val="22"/>
              </w:rPr>
              <w:t xml:space="preserve"> Istvan Bozsoki, Senior Telecommunication Engineer (tel</w:t>
            </w:r>
            <w:r w:rsidR="00CB5270">
              <w:rPr>
                <w:szCs w:val="22"/>
              </w:rPr>
              <w:t>ephone:</w:t>
            </w:r>
            <w:r w:rsidR="002542D0" w:rsidRPr="000A4200">
              <w:rPr>
                <w:szCs w:val="22"/>
              </w:rPr>
              <w:t xml:space="preserve"> +41 22 730 63 47, e-mail: </w:t>
            </w:r>
            <w:hyperlink r:id="rId13" w:history="1">
              <w:r w:rsidR="00F67039" w:rsidRPr="009D5C0B">
                <w:rPr>
                  <w:rStyle w:val="Hyperlink"/>
                  <w:rFonts w:cs="Traditional Arabic"/>
                  <w:szCs w:val="22"/>
                </w:rPr>
                <w:t>istvan.bozsoki@itu.int</w:t>
              </w:r>
            </w:hyperlink>
            <w:r w:rsidR="002542D0" w:rsidRPr="000A4200">
              <w:rPr>
                <w:szCs w:val="22"/>
              </w:rPr>
              <w:t>)</w:t>
            </w:r>
          </w:p>
          <w:p w:rsidR="001A4008" w:rsidRPr="00F67039" w:rsidRDefault="001A4008" w:rsidP="00B6703B">
            <w:pPr>
              <w:rPr>
                <w:szCs w:val="22"/>
              </w:rPr>
            </w:pPr>
            <w:r w:rsidRPr="000A4200">
              <w:rPr>
                <w:szCs w:val="22"/>
              </w:rPr>
              <w:t xml:space="preserve">I look forward to active participation from your </w:t>
            </w:r>
            <w:r w:rsidR="00B6703B">
              <w:rPr>
                <w:szCs w:val="22"/>
              </w:rPr>
              <w:t>O</w:t>
            </w:r>
            <w:r w:rsidRPr="000A4200">
              <w:rPr>
                <w:szCs w:val="22"/>
              </w:rPr>
              <w:t>rganization.</w:t>
            </w:r>
          </w:p>
          <w:p w:rsidR="00CC175A" w:rsidRDefault="00AD1AE1" w:rsidP="00042E48">
            <w:pPr>
              <w:rPr>
                <w:rFonts w:asciiTheme="minorHAnsi" w:hAnsiTheme="minorHAnsi" w:cstheme="minorHAnsi"/>
                <w:bCs/>
                <w:szCs w:val="22"/>
                <w:lang w:eastAsia="ko-KR"/>
              </w:rPr>
            </w:pPr>
            <w:r w:rsidRPr="000A4200">
              <w:rPr>
                <w:rFonts w:asciiTheme="minorHAnsi" w:hAnsiTheme="minorHAnsi" w:cstheme="minorHAnsi"/>
                <w:bCs/>
                <w:szCs w:val="22"/>
                <w:lang w:eastAsia="ko-KR"/>
              </w:rPr>
              <w:fldChar w:fldCharType="begin"/>
            </w:r>
            <w:r w:rsidR="00CC175A" w:rsidRPr="000A4200">
              <w:rPr>
                <w:rFonts w:asciiTheme="minorHAnsi" w:hAnsiTheme="minorHAnsi" w:cstheme="minorHAnsi"/>
                <w:bCs/>
                <w:szCs w:val="22"/>
                <w:lang w:eastAsia="ko-KR"/>
              </w:rPr>
              <w:instrText xml:space="preserve"> MERGEFIELD FormuleDePolitesse_Closing </w:instrText>
            </w:r>
            <w:r w:rsidRPr="000A4200">
              <w:rPr>
                <w:rFonts w:asciiTheme="minorHAnsi" w:hAnsiTheme="minorHAnsi" w:cstheme="minorHAnsi"/>
                <w:bCs/>
                <w:szCs w:val="22"/>
                <w:lang w:eastAsia="ko-KR"/>
              </w:rPr>
              <w:fldChar w:fldCharType="separate"/>
            </w:r>
            <w:r w:rsidR="00CC175A" w:rsidRPr="000A4200">
              <w:rPr>
                <w:rFonts w:asciiTheme="minorHAnsi" w:hAnsiTheme="minorHAnsi" w:cstheme="minorHAnsi"/>
                <w:bCs/>
                <w:szCs w:val="22"/>
                <w:lang w:eastAsia="ko-KR"/>
              </w:rPr>
              <w:t>Yours faithfully,</w:t>
            </w:r>
            <w:r w:rsidRPr="000A4200">
              <w:rPr>
                <w:rFonts w:asciiTheme="minorHAnsi" w:hAnsiTheme="minorHAnsi" w:cstheme="minorHAnsi"/>
                <w:bCs/>
                <w:szCs w:val="22"/>
                <w:lang w:eastAsia="ko-KR"/>
              </w:rPr>
              <w:fldChar w:fldCharType="end"/>
            </w:r>
          </w:p>
          <w:p w:rsidR="00F67039" w:rsidRPr="000A4200" w:rsidRDefault="00F67039" w:rsidP="00042E48">
            <w:pPr>
              <w:rPr>
                <w:rFonts w:asciiTheme="minorHAnsi" w:hAnsiTheme="minorHAnsi" w:cstheme="minorHAnsi"/>
                <w:szCs w:val="22"/>
              </w:rPr>
            </w:pPr>
          </w:p>
          <w:p w:rsidR="00030689" w:rsidRDefault="00390626" w:rsidP="000110CB">
            <w:pPr>
              <w:pStyle w:val="BDTSignatureName"/>
              <w:rPr>
                <w:rFonts w:asciiTheme="minorHAnsi" w:hAnsiTheme="minorHAnsi" w:cs="Arial"/>
                <w:szCs w:val="22"/>
              </w:rPr>
            </w:pPr>
            <w:bookmarkStart w:id="6" w:name="Signature"/>
            <w:bookmarkEnd w:id="6"/>
            <w:r>
              <w:rPr>
                <w:rFonts w:asciiTheme="minorHAnsi" w:hAnsiTheme="minorHAnsi" w:cs="Arial"/>
                <w:szCs w:val="22"/>
              </w:rPr>
              <w:t>[Original signed]</w:t>
            </w:r>
          </w:p>
          <w:p w:rsidR="00000000" w:rsidRDefault="00E93751">
            <w:pPr>
              <w:pStyle w:val="BDTSignatureTitle"/>
            </w:pPr>
          </w:p>
          <w:p w:rsidR="00563963" w:rsidRPr="000A4200" w:rsidRDefault="00FC258E" w:rsidP="00304770">
            <w:pPr>
              <w:pStyle w:val="BDTSignatureName"/>
              <w:rPr>
                <w:rFonts w:asciiTheme="minorHAnsi" w:hAnsiTheme="minorHAnsi" w:cs="Arial"/>
                <w:szCs w:val="22"/>
              </w:rPr>
            </w:pPr>
            <w:r w:rsidRPr="000A4200">
              <w:rPr>
                <w:rFonts w:asciiTheme="minorHAnsi" w:hAnsiTheme="minorHAnsi" w:cs="Arial"/>
                <w:szCs w:val="22"/>
              </w:rPr>
              <w:t>Brahima Sanou</w:t>
            </w:r>
            <w:r w:rsidR="009E6E67" w:rsidRPr="000A4200">
              <w:rPr>
                <w:rFonts w:asciiTheme="minorHAnsi" w:hAnsiTheme="minorHAnsi" w:cs="Arial"/>
                <w:szCs w:val="22"/>
              </w:rPr>
              <w:t xml:space="preserve">                             </w:t>
            </w:r>
            <w:r w:rsidR="000110CB" w:rsidRPr="000A4200">
              <w:rPr>
                <w:rFonts w:asciiTheme="minorHAnsi" w:hAnsiTheme="minorHAnsi" w:cs="Arial"/>
                <w:szCs w:val="22"/>
              </w:rPr>
              <w:br/>
            </w:r>
            <w:r w:rsidR="00563963" w:rsidRPr="000A4200">
              <w:rPr>
                <w:rFonts w:asciiTheme="minorHAnsi" w:hAnsiTheme="minorHAnsi" w:cs="Arial"/>
                <w:szCs w:val="22"/>
              </w:rPr>
              <w:t>Director</w:t>
            </w:r>
          </w:p>
          <w:p w:rsidR="00722241" w:rsidRPr="000A4200" w:rsidRDefault="00722241" w:rsidP="00722241">
            <w:pPr>
              <w:pStyle w:val="BDTSignatureTitle"/>
              <w:rPr>
                <w:szCs w:val="22"/>
                <w:lang w:val="en-GB"/>
              </w:rPr>
            </w:pPr>
          </w:p>
          <w:p w:rsidR="000A4200" w:rsidRPr="00F67039" w:rsidRDefault="00DA05C1" w:rsidP="00206D07">
            <w:pPr>
              <w:pStyle w:val="BDTVisa"/>
              <w:rPr>
                <w:szCs w:val="22"/>
                <w:lang w:val="en-US"/>
              </w:rPr>
            </w:pPr>
            <w:r w:rsidRPr="00F67039">
              <w:rPr>
                <w:szCs w:val="22"/>
                <w:lang w:val="en-US"/>
              </w:rPr>
              <w:t>Annex</w:t>
            </w:r>
            <w:r w:rsidR="000A4200" w:rsidRPr="00F67039">
              <w:rPr>
                <w:szCs w:val="22"/>
                <w:lang w:val="en-US"/>
              </w:rPr>
              <w:t xml:space="preserve"> 1</w:t>
            </w:r>
            <w:r w:rsidRPr="00F67039">
              <w:rPr>
                <w:szCs w:val="22"/>
                <w:lang w:val="en-US"/>
              </w:rPr>
              <w:t>:         Provisional Agenda</w:t>
            </w:r>
          </w:p>
          <w:p w:rsidR="00B86D4D" w:rsidRPr="00F67039" w:rsidRDefault="00B86D4D" w:rsidP="00206D07">
            <w:pPr>
              <w:pStyle w:val="BDTVisa"/>
              <w:rPr>
                <w:szCs w:val="22"/>
                <w:lang w:val="en-US"/>
              </w:rPr>
            </w:pPr>
          </w:p>
          <w:p w:rsidR="00B86D4D" w:rsidRPr="00F67039" w:rsidRDefault="00B86D4D" w:rsidP="00206D07">
            <w:pPr>
              <w:pStyle w:val="BDTVisa"/>
              <w:rPr>
                <w:szCs w:val="22"/>
                <w:lang w:val="en-US"/>
              </w:rPr>
            </w:pPr>
          </w:p>
          <w:p w:rsidR="00F67039" w:rsidRPr="00F67039" w:rsidRDefault="00F67039" w:rsidP="00206D07">
            <w:pPr>
              <w:pStyle w:val="BDTVisa"/>
              <w:rPr>
                <w:szCs w:val="22"/>
                <w:lang w:val="en-US"/>
              </w:rPr>
            </w:pPr>
          </w:p>
          <w:p w:rsidR="00F67039" w:rsidRPr="00F67039" w:rsidRDefault="00F67039" w:rsidP="00206D07">
            <w:pPr>
              <w:pStyle w:val="BDTVisa"/>
              <w:rPr>
                <w:szCs w:val="22"/>
                <w:lang w:val="en-US"/>
              </w:rPr>
            </w:pPr>
          </w:p>
          <w:p w:rsidR="00F67039" w:rsidRDefault="00F67039" w:rsidP="00206D07">
            <w:pPr>
              <w:pStyle w:val="BDTVisa"/>
              <w:rPr>
                <w:szCs w:val="22"/>
                <w:lang w:val="en-US"/>
              </w:rPr>
            </w:pPr>
          </w:p>
          <w:p w:rsidR="00F67039" w:rsidRPr="00F67039" w:rsidRDefault="00F67039" w:rsidP="00206D07">
            <w:pPr>
              <w:pStyle w:val="BDTVisa"/>
              <w:rPr>
                <w:szCs w:val="22"/>
                <w:lang w:val="en-US"/>
              </w:rPr>
            </w:pPr>
          </w:p>
          <w:p w:rsidR="00F67039" w:rsidRPr="00F67039" w:rsidRDefault="00F67039" w:rsidP="00206D07">
            <w:pPr>
              <w:pStyle w:val="BDTVisa"/>
              <w:rPr>
                <w:szCs w:val="22"/>
                <w:lang w:val="en-US"/>
              </w:rPr>
            </w:pPr>
          </w:p>
          <w:p w:rsidR="00206D07" w:rsidRPr="00F67039" w:rsidRDefault="00D55FD3" w:rsidP="00206D07">
            <w:pPr>
              <w:pStyle w:val="BDTVisa"/>
              <w:rPr>
                <w:szCs w:val="22"/>
                <w:lang w:val="en-US"/>
              </w:rPr>
            </w:pPr>
            <w:r w:rsidRPr="00F67039">
              <w:rPr>
                <w:szCs w:val="22"/>
                <w:lang w:val="en-US"/>
              </w:rPr>
              <w:br/>
            </w:r>
          </w:p>
          <w:p w:rsidR="007B29D4" w:rsidRPr="00F67039" w:rsidRDefault="007B29D4" w:rsidP="00477EED">
            <w:pPr>
              <w:pStyle w:val="BDTVisa"/>
              <w:rPr>
                <w:rFonts w:asciiTheme="minorHAnsi" w:hAnsiTheme="minorHAnsi"/>
                <w:szCs w:val="22"/>
                <w:lang w:val="en-US"/>
              </w:rPr>
            </w:pPr>
          </w:p>
        </w:tc>
      </w:tr>
      <w:tr w:rsidR="00453D41" w:rsidRPr="000A4200" w:rsidTr="00F67039">
        <w:trPr>
          <w:jc w:val="center"/>
        </w:trPr>
        <w:tc>
          <w:tcPr>
            <w:tcW w:w="10048" w:type="dxa"/>
            <w:gridSpan w:val="5"/>
          </w:tcPr>
          <w:p w:rsidR="00453D41" w:rsidRPr="00F67039" w:rsidRDefault="00453D41">
            <w:pPr>
              <w:pStyle w:val="BDTOpening"/>
            </w:pPr>
          </w:p>
        </w:tc>
      </w:tr>
      <w:tr w:rsidR="00F67039" w:rsidRPr="007D0522" w:rsidTr="00F67039">
        <w:tblPrEx>
          <w:jc w:val="left"/>
          <w:tblLook w:val="01E0"/>
        </w:tblPrEx>
        <w:trPr>
          <w:gridAfter w:val="1"/>
          <w:wAfter w:w="301" w:type="dxa"/>
        </w:trPr>
        <w:tc>
          <w:tcPr>
            <w:tcW w:w="9747" w:type="dxa"/>
            <w:gridSpan w:val="4"/>
          </w:tcPr>
          <w:tbl>
            <w:tblPr>
              <w:tblStyle w:val="TableGrid"/>
              <w:tblW w:w="106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835"/>
              <w:gridCol w:w="3969"/>
              <w:gridCol w:w="3827"/>
            </w:tblGrid>
            <w:tr w:rsidR="00F67039" w:rsidRPr="00265BC1" w:rsidTr="00A877CA">
              <w:tc>
                <w:tcPr>
                  <w:tcW w:w="2835" w:type="dxa"/>
                </w:tcPr>
                <w:p w:rsidR="00F67039" w:rsidRPr="00265BC1" w:rsidRDefault="00F67039" w:rsidP="00A877CA">
                  <w:pPr>
                    <w:spacing w:before="720" w:after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szCs w:val="22"/>
                      <w:lang w:eastAsia="zh-CN"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-179705</wp:posOffset>
                        </wp:positionV>
                        <wp:extent cx="696595" cy="795020"/>
                        <wp:effectExtent l="0" t="0" r="0" b="0"/>
                        <wp:wrapNone/>
                        <wp:docPr id="9" name="Picture 1" descr="C:\Users\stankovic\Desktop\ITU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tankovic\Desktop\ITU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595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969" w:type="dxa"/>
                </w:tcPr>
                <w:p w:rsidR="00F67039" w:rsidRDefault="00F67039" w:rsidP="00A877CA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</w:p>
                <w:p w:rsidR="00F67039" w:rsidRPr="004E7519" w:rsidRDefault="00F67039" w:rsidP="00A877CA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4E751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Regional Seminar for Europe</w:t>
                  </w:r>
                </w:p>
                <w:p w:rsidR="00F67039" w:rsidRPr="00265BC1" w:rsidRDefault="00F67039" w:rsidP="00A877CA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br/>
                    <w:t>on</w:t>
                  </w:r>
                </w:p>
              </w:tc>
              <w:tc>
                <w:tcPr>
                  <w:tcW w:w="3827" w:type="dxa"/>
                </w:tcPr>
                <w:p w:rsidR="00F67039" w:rsidRPr="00265BC1" w:rsidRDefault="00F67039" w:rsidP="00A877CA">
                  <w:pPr>
                    <w:spacing w:before="840"/>
                    <w:ind w:left="-391" w:firstLine="391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szCs w:val="22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913130</wp:posOffset>
                        </wp:positionH>
                        <wp:positionV relativeFrom="paragraph">
                          <wp:posOffset>-286385</wp:posOffset>
                        </wp:positionV>
                        <wp:extent cx="1139190" cy="1001395"/>
                        <wp:effectExtent l="0" t="0" r="0" b="0"/>
                        <wp:wrapNone/>
                        <wp:docPr id="3" name="Picture 3" descr="http://www.itu.int/ITU-D/eur/ri/broadcasting/seminar/NMH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itu.int/ITU-D/eur/ri/broadcasting/seminar/NMH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9190" cy="1001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F67039" w:rsidRPr="004E7519" w:rsidRDefault="00F67039" w:rsidP="00A877CA">
            <w:pPr>
              <w:jc w:val="center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4E7519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 xml:space="preserve">Transition to Digital Terrestrial Television Broadcasting and </w:t>
            </w:r>
            <w:r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br/>
            </w:r>
            <w:r w:rsidRPr="004E7519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Digital Dividend in Europe</w:t>
            </w:r>
          </w:p>
          <w:p w:rsidR="00F67039" w:rsidRDefault="00F67039" w:rsidP="00A877CA">
            <w:pPr>
              <w:tabs>
                <w:tab w:val="left" w:pos="791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  <w:p w:rsidR="00F67039" w:rsidRPr="00265BC1" w:rsidRDefault="00F67039" w:rsidP="00A877C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29-31 January 2014</w:t>
            </w:r>
          </w:p>
          <w:p w:rsidR="00F67039" w:rsidRDefault="00F67039" w:rsidP="00A877C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67039" w:rsidRDefault="00F67039" w:rsidP="00A877C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Hotel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Mercure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Buda</w:t>
            </w:r>
            <w:r w:rsidRPr="000D539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F67039" w:rsidRDefault="00F67039" w:rsidP="00A877C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0D53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Krisztina</w:t>
            </w:r>
            <w:proofErr w:type="spellEnd"/>
            <w:r w:rsidRPr="000D53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53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krt</w:t>
            </w:r>
            <w:proofErr w:type="spellEnd"/>
            <w:r w:rsidRPr="000D53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41-43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r w:rsidRPr="000D5390">
              <w:rPr>
                <w:rFonts w:asciiTheme="majorHAnsi" w:hAnsiTheme="majorHAnsi"/>
                <w:b/>
                <w:sz w:val="24"/>
                <w:szCs w:val="24"/>
              </w:rPr>
              <w:t>Budapest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, Hungary</w:t>
            </w:r>
          </w:p>
          <w:p w:rsidR="00F67039" w:rsidRPr="004E7519" w:rsidRDefault="00F67039" w:rsidP="00A877CA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67039" w:rsidRDefault="00F67039" w:rsidP="00A877C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E7519">
              <w:rPr>
                <w:rFonts w:asciiTheme="majorHAnsi" w:hAnsiTheme="majorHAnsi"/>
                <w:b/>
                <w:sz w:val="32"/>
                <w:szCs w:val="32"/>
              </w:rPr>
              <w:t>DRAFT AGENDA</w:t>
            </w:r>
          </w:p>
          <w:p w:rsidR="00F67039" w:rsidRPr="004E7519" w:rsidRDefault="00F67039" w:rsidP="00A877CA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tbl>
            <w:tblPr>
              <w:tblStyle w:val="LightShading-Accent1"/>
              <w:tblW w:w="18608" w:type="dxa"/>
              <w:tblLayout w:type="fixed"/>
              <w:tblLook w:val="04A0"/>
            </w:tblPr>
            <w:tblGrid>
              <w:gridCol w:w="2088"/>
              <w:gridCol w:w="8260"/>
              <w:gridCol w:w="8260"/>
            </w:tblGrid>
            <w:tr w:rsidR="00F67039" w:rsidRPr="00265BC1" w:rsidTr="00A877CA">
              <w:trPr>
                <w:gridAfter w:val="1"/>
                <w:cnfStyle w:val="100000000000"/>
                <w:wAfter w:w="8260" w:type="dxa"/>
              </w:trPr>
              <w:tc>
                <w:tcPr>
                  <w:cnfStyle w:val="001000000000"/>
                  <w:tcW w:w="10348" w:type="dxa"/>
                  <w:gridSpan w:val="2"/>
                </w:tcPr>
                <w:p w:rsidR="00F67039" w:rsidRPr="00265BC1" w:rsidRDefault="00F67039" w:rsidP="00A877CA">
                  <w:pPr>
                    <w:pStyle w:val="Event"/>
                    <w:tabs>
                      <w:tab w:val="left" w:pos="2019"/>
                    </w:tabs>
                    <w:ind w:left="2019"/>
                    <w:rPr>
                      <w:rFonts w:asciiTheme="majorHAnsi" w:hAnsiTheme="majorHAnsi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                   Wednesday, 29 January 2014</w:t>
                  </w:r>
                </w:p>
              </w:tc>
            </w:tr>
            <w:tr w:rsidR="00F67039" w:rsidRPr="00265BC1" w:rsidTr="00A877CA">
              <w:trPr>
                <w:gridAfter w:val="1"/>
                <w:cnfStyle w:val="000000100000"/>
                <w:wAfter w:w="8260" w:type="dxa"/>
              </w:trPr>
              <w:tc>
                <w:tcPr>
                  <w:cnfStyle w:val="001000000000"/>
                  <w:tcW w:w="2088" w:type="dxa"/>
                </w:tcPr>
                <w:p w:rsidR="00F67039" w:rsidRPr="00265BC1" w:rsidRDefault="00F67039" w:rsidP="00A877CA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 xml:space="preserve">9:00 – 9:30 </w:t>
                  </w:r>
                </w:p>
              </w:tc>
              <w:tc>
                <w:tcPr>
                  <w:tcW w:w="8260" w:type="dxa"/>
                </w:tcPr>
                <w:p w:rsidR="00F67039" w:rsidRPr="00265BC1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614D8C">
                    <w:rPr>
                      <w:rFonts w:asciiTheme="majorHAnsi" w:hAnsiTheme="majorHAnsi"/>
                      <w:sz w:val="24"/>
                      <w:szCs w:val="24"/>
                    </w:rPr>
                    <w:t xml:space="preserve">Registration </w:t>
                  </w:r>
                </w:p>
              </w:tc>
            </w:tr>
            <w:tr w:rsidR="00F67039" w:rsidRPr="00265BC1" w:rsidTr="00A877CA">
              <w:trPr>
                <w:gridAfter w:val="1"/>
                <w:wAfter w:w="8260" w:type="dxa"/>
              </w:trPr>
              <w:tc>
                <w:tcPr>
                  <w:cnfStyle w:val="001000000000"/>
                  <w:tcW w:w="2088" w:type="dxa"/>
                </w:tcPr>
                <w:p w:rsidR="00F67039" w:rsidRPr="00265BC1" w:rsidRDefault="00F67039" w:rsidP="00A877CA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9:30 – 10:30</w:t>
                  </w:r>
                </w:p>
              </w:tc>
              <w:tc>
                <w:tcPr>
                  <w:tcW w:w="8260" w:type="dxa"/>
                </w:tcPr>
                <w:p w:rsidR="00F67039" w:rsidRPr="00265BC1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65BC1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Welcome Addresses</w:t>
                  </w:r>
                </w:p>
                <w:p w:rsidR="00F67039" w:rsidRDefault="00F67039" w:rsidP="00F67039">
                  <w:pPr>
                    <w:pStyle w:val="Event"/>
                    <w:numPr>
                      <w:ilvl w:val="0"/>
                      <w:numId w:val="49"/>
                    </w:numPr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Ministry TBC</w:t>
                  </w:r>
                </w:p>
                <w:p w:rsidR="00F67039" w:rsidRDefault="00F67039" w:rsidP="00F67039">
                  <w:pPr>
                    <w:pStyle w:val="Event"/>
                    <w:numPr>
                      <w:ilvl w:val="0"/>
                      <w:numId w:val="49"/>
                    </w:numPr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NMHH</w:t>
                  </w:r>
                </w:p>
                <w:p w:rsidR="00F67039" w:rsidRPr="00C56683" w:rsidRDefault="00F67039" w:rsidP="00F67039">
                  <w:pPr>
                    <w:pStyle w:val="Event"/>
                    <w:numPr>
                      <w:ilvl w:val="0"/>
                      <w:numId w:val="49"/>
                    </w:numPr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0D5390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ITU</w:t>
                  </w:r>
                </w:p>
              </w:tc>
            </w:tr>
            <w:tr w:rsidR="00F67039" w:rsidRPr="00265BC1" w:rsidTr="00A877CA">
              <w:trPr>
                <w:gridAfter w:val="1"/>
                <w:cnfStyle w:val="000000100000"/>
                <w:wAfter w:w="8260" w:type="dxa"/>
              </w:trPr>
              <w:tc>
                <w:tcPr>
                  <w:cnfStyle w:val="001000000000"/>
                  <w:tcW w:w="2088" w:type="dxa"/>
                </w:tcPr>
                <w:p w:rsidR="00F67039" w:rsidRPr="00265BC1" w:rsidRDefault="00F67039" w:rsidP="00A877CA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10:30  – 11</w:t>
                  </w:r>
                  <w:r w:rsidRPr="00265BC1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 xml:space="preserve">:00 </w:t>
                  </w:r>
                </w:p>
              </w:tc>
              <w:tc>
                <w:tcPr>
                  <w:tcW w:w="8260" w:type="dxa"/>
                </w:tcPr>
                <w:p w:rsidR="00F67039" w:rsidRPr="00265BC1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614D8C">
                    <w:rPr>
                      <w:rFonts w:asciiTheme="majorHAnsi" w:hAnsiTheme="majorHAnsi"/>
                      <w:sz w:val="24"/>
                      <w:szCs w:val="24"/>
                    </w:rPr>
                    <w:t>Group Photo and Coffee Break</w:t>
                  </w:r>
                </w:p>
              </w:tc>
            </w:tr>
            <w:tr w:rsidR="00F67039" w:rsidRPr="00265BC1" w:rsidTr="00A877CA">
              <w:trPr>
                <w:gridAfter w:val="1"/>
                <w:wAfter w:w="8260" w:type="dxa"/>
              </w:trPr>
              <w:tc>
                <w:tcPr>
                  <w:cnfStyle w:val="001000000000"/>
                  <w:tcW w:w="2088" w:type="dxa"/>
                </w:tcPr>
                <w:p w:rsidR="00F67039" w:rsidRPr="00265BC1" w:rsidRDefault="00F67039" w:rsidP="00A877CA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11:00  – 12:30</w:t>
                  </w:r>
                  <w:r w:rsidRPr="00265BC1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 xml:space="preserve"> </w:t>
                  </w:r>
                </w:p>
              </w:tc>
              <w:tc>
                <w:tcPr>
                  <w:tcW w:w="8260" w:type="dxa"/>
                </w:tcPr>
                <w:p w:rsidR="00F67039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65BC1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Session 1</w:t>
                  </w: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: </w:t>
                  </w:r>
                  <w:r w:rsidRPr="000D5390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Digital terrestrial television transition</w:t>
                  </w:r>
                </w:p>
                <w:p w:rsidR="00F67039" w:rsidRPr="00265BC1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Round table on Experiences from countries on switch-over process</w:t>
                  </w:r>
                </w:p>
                <w:p w:rsidR="00F67039" w:rsidRPr="00265BC1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65BC1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Open Discussion </w:t>
                  </w:r>
                </w:p>
              </w:tc>
            </w:tr>
            <w:tr w:rsidR="00F67039" w:rsidRPr="00265BC1" w:rsidTr="00A877CA">
              <w:trPr>
                <w:gridAfter w:val="1"/>
                <w:cnfStyle w:val="000000100000"/>
                <w:wAfter w:w="8260" w:type="dxa"/>
              </w:trPr>
              <w:tc>
                <w:tcPr>
                  <w:cnfStyle w:val="001000000000"/>
                  <w:tcW w:w="2088" w:type="dxa"/>
                </w:tcPr>
                <w:p w:rsidR="00F67039" w:rsidRPr="00265BC1" w:rsidRDefault="00F67039" w:rsidP="00A877CA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12:30 – 14:00</w:t>
                  </w:r>
                </w:p>
              </w:tc>
              <w:tc>
                <w:tcPr>
                  <w:tcW w:w="8260" w:type="dxa"/>
                </w:tcPr>
                <w:p w:rsidR="00F67039" w:rsidRPr="00265BC1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614D8C">
                    <w:rPr>
                      <w:rFonts w:asciiTheme="majorHAnsi" w:hAnsiTheme="majorHAnsi"/>
                      <w:sz w:val="24"/>
                      <w:szCs w:val="24"/>
                    </w:rPr>
                    <w:t>Lunch Break</w:t>
                  </w:r>
                </w:p>
              </w:tc>
            </w:tr>
            <w:tr w:rsidR="00F67039" w:rsidRPr="00265BC1" w:rsidTr="00A877CA">
              <w:trPr>
                <w:gridAfter w:val="1"/>
                <w:wAfter w:w="8260" w:type="dxa"/>
              </w:trPr>
              <w:tc>
                <w:tcPr>
                  <w:cnfStyle w:val="001000000000"/>
                  <w:tcW w:w="2088" w:type="dxa"/>
                </w:tcPr>
                <w:p w:rsidR="00F67039" w:rsidRPr="00265BC1" w:rsidRDefault="00F67039" w:rsidP="00A877CA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14:00 – 15:3</w:t>
                  </w:r>
                  <w:r w:rsidRPr="00265BC1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0</w:t>
                  </w:r>
                </w:p>
              </w:tc>
              <w:tc>
                <w:tcPr>
                  <w:tcW w:w="8260" w:type="dxa"/>
                </w:tcPr>
                <w:p w:rsidR="00F67039" w:rsidRDefault="00F67039" w:rsidP="00A877CA">
                  <w:pPr>
                    <w:pStyle w:val="Event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Session 2: </w:t>
                  </w:r>
                  <w:r w:rsidRPr="000D5390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Digital terrestrial television transition</w:t>
                  </w: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 [Cont’d]</w:t>
                  </w:r>
                </w:p>
                <w:p w:rsidR="00F67039" w:rsidRPr="00265BC1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Round table on Experiences from countries on switch-over process</w:t>
                  </w:r>
                </w:p>
                <w:p w:rsidR="00F67039" w:rsidRPr="00265BC1" w:rsidRDefault="00F67039" w:rsidP="00A877CA">
                  <w:pPr>
                    <w:pStyle w:val="Event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65BC1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Open Discussion</w:t>
                  </w:r>
                </w:p>
              </w:tc>
            </w:tr>
            <w:tr w:rsidR="00F67039" w:rsidRPr="00265BC1" w:rsidTr="00A877CA">
              <w:trPr>
                <w:gridAfter w:val="1"/>
                <w:cnfStyle w:val="000000100000"/>
                <w:wAfter w:w="8260" w:type="dxa"/>
              </w:trPr>
              <w:tc>
                <w:tcPr>
                  <w:cnfStyle w:val="001000000000"/>
                  <w:tcW w:w="2088" w:type="dxa"/>
                </w:tcPr>
                <w:p w:rsidR="00F67039" w:rsidRPr="00265BC1" w:rsidRDefault="00F67039" w:rsidP="00A877CA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15:30 – 15:45</w:t>
                  </w:r>
                </w:p>
              </w:tc>
              <w:tc>
                <w:tcPr>
                  <w:tcW w:w="8260" w:type="dxa"/>
                </w:tcPr>
                <w:p w:rsidR="00F67039" w:rsidRPr="00265BC1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614D8C">
                    <w:rPr>
                      <w:rFonts w:asciiTheme="majorHAnsi" w:hAnsiTheme="majorHAnsi"/>
                      <w:sz w:val="24"/>
                      <w:szCs w:val="24"/>
                    </w:rPr>
                    <w:t>Coffee Break</w:t>
                  </w:r>
                </w:p>
              </w:tc>
            </w:tr>
            <w:tr w:rsidR="00F67039" w:rsidRPr="00265BC1" w:rsidTr="00A877CA">
              <w:tc>
                <w:tcPr>
                  <w:cnfStyle w:val="001000000000"/>
                  <w:tcW w:w="10348" w:type="dxa"/>
                  <w:gridSpan w:val="2"/>
                </w:tcPr>
                <w:tbl>
                  <w:tblPr>
                    <w:tblStyle w:val="LightShading-Accent11"/>
                    <w:tblW w:w="10348" w:type="dxa"/>
                    <w:tblLayout w:type="fixed"/>
                    <w:tblLook w:val="04A0"/>
                  </w:tblPr>
                  <w:tblGrid>
                    <w:gridCol w:w="2088"/>
                    <w:gridCol w:w="8260"/>
                  </w:tblGrid>
                  <w:tr w:rsidR="00F67039" w:rsidRPr="00265BC1" w:rsidTr="00A877CA">
                    <w:trPr>
                      <w:cnfStyle w:val="100000000000"/>
                    </w:trPr>
                    <w:tc>
                      <w:tcPr>
                        <w:cnfStyle w:val="001000000000"/>
                        <w:tcW w:w="2088" w:type="dxa"/>
                      </w:tcPr>
                      <w:p w:rsidR="00000000" w:rsidRDefault="00F67039">
                        <w:pPr>
                          <w:pStyle w:val="Event"/>
                          <w:ind w:left="-74"/>
                          <w:rPr>
                            <w:rFonts w:asciiTheme="majorHAnsi" w:hAnsiTheme="majorHAnsi"/>
                            <w:b w:val="0"/>
                            <w:bCs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PlaceholderText"/>
                            <w:rFonts w:asciiTheme="majorHAnsi" w:hAnsiTheme="majorHAnsi"/>
                            <w:color w:val="auto"/>
                            <w:szCs w:val="24"/>
                          </w:rPr>
                          <w:t>15:45 – 17:15</w:t>
                        </w:r>
                      </w:p>
                    </w:tc>
                    <w:tc>
                      <w:tcPr>
                        <w:tcW w:w="8260" w:type="dxa"/>
                      </w:tcPr>
                      <w:p w:rsidR="00F67039" w:rsidRPr="00BE378F" w:rsidRDefault="00F67039" w:rsidP="00A877CA">
                        <w:pPr>
                          <w:pStyle w:val="Event"/>
                          <w:ind w:left="-36"/>
                          <w:jc w:val="both"/>
                          <w:cnfStyle w:val="100000000000"/>
                          <w:rPr>
                            <w:rFonts w:asciiTheme="majorHAnsi" w:hAnsiTheme="majorHAnsi"/>
                            <w:b w:val="0"/>
                            <w:bCs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 w:val="0"/>
                            <w:bCs w:val="0"/>
                            <w:color w:val="auto"/>
                            <w:sz w:val="24"/>
                            <w:szCs w:val="24"/>
                          </w:rPr>
                          <w:t>Session 3</w:t>
                        </w:r>
                        <w:r w:rsidRPr="00BE378F">
                          <w:rPr>
                            <w:rFonts w:asciiTheme="majorHAnsi" w:hAnsiTheme="majorHAnsi"/>
                            <w:b w:val="0"/>
                            <w:bCs w:val="0"/>
                            <w:color w:val="auto"/>
                            <w:sz w:val="24"/>
                            <w:szCs w:val="24"/>
                          </w:rPr>
                          <w:t>: Licensing policies and criteria</w:t>
                        </w:r>
                      </w:p>
                      <w:p w:rsidR="00F67039" w:rsidRDefault="00F67039" w:rsidP="00A877CA">
                        <w:pPr>
                          <w:pStyle w:val="Event"/>
                          <w:ind w:left="-36"/>
                          <w:jc w:val="both"/>
                          <w:cnfStyle w:val="100000000000"/>
                          <w:rPr>
                            <w:rFonts w:asciiTheme="majorHAnsi" w:hAnsiTheme="majorHAnsi"/>
                            <w:b w:val="0"/>
                            <w:bCs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 w:val="0"/>
                            <w:bCs w:val="0"/>
                            <w:color w:val="auto"/>
                            <w:sz w:val="24"/>
                            <w:szCs w:val="24"/>
                          </w:rPr>
                          <w:t>Round Table Presentations (NMHH, neighboring countries)</w:t>
                        </w:r>
                      </w:p>
                      <w:p w:rsidR="00F67039" w:rsidRPr="00265BC1" w:rsidRDefault="00F67039" w:rsidP="00A877CA">
                        <w:pPr>
                          <w:pStyle w:val="Event"/>
                          <w:ind w:left="-36"/>
                          <w:jc w:val="both"/>
                          <w:cnfStyle w:val="100000000000"/>
                          <w:rPr>
                            <w:rFonts w:asciiTheme="majorHAnsi" w:hAnsiTheme="majorHAnsi"/>
                            <w:color w:val="auto"/>
                            <w:sz w:val="24"/>
                            <w:szCs w:val="24"/>
                          </w:rPr>
                        </w:pPr>
                        <w:r w:rsidRPr="00BE378F">
                          <w:rPr>
                            <w:rFonts w:asciiTheme="majorHAnsi" w:hAnsiTheme="majorHAnsi"/>
                            <w:b w:val="0"/>
                            <w:bCs w:val="0"/>
                            <w:color w:val="auto"/>
                            <w:sz w:val="24"/>
                            <w:szCs w:val="24"/>
                          </w:rPr>
                          <w:t>Open Discussion</w:t>
                        </w:r>
                      </w:p>
                    </w:tc>
                  </w:tr>
                </w:tbl>
                <w:p w:rsidR="00F67039" w:rsidRPr="00265BC1" w:rsidRDefault="00F67039" w:rsidP="00A877CA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8260" w:type="dxa"/>
                </w:tcPr>
                <w:p w:rsidR="00F67039" w:rsidRDefault="00F67039" w:rsidP="00A877CA">
                  <w:pPr>
                    <w:pStyle w:val="Event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Session 2: </w:t>
                  </w:r>
                  <w:r w:rsidRPr="000D5390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Digital terrestrial television transition</w:t>
                  </w: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 [Cont’d]</w:t>
                  </w:r>
                </w:p>
                <w:p w:rsidR="00F67039" w:rsidRPr="00265BC1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Round table on Experiences from countries on switch-over process</w:t>
                  </w:r>
                </w:p>
                <w:p w:rsidR="00F67039" w:rsidRPr="00265BC1" w:rsidRDefault="00F67039" w:rsidP="00A877CA">
                  <w:pPr>
                    <w:pStyle w:val="Event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65BC1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Open Discussion</w:t>
                  </w:r>
                </w:p>
              </w:tc>
            </w:tr>
            <w:tr w:rsidR="00F67039" w:rsidRPr="00265BC1" w:rsidTr="00A877CA">
              <w:trPr>
                <w:gridAfter w:val="1"/>
                <w:cnfStyle w:val="000000100000"/>
                <w:wAfter w:w="8260" w:type="dxa"/>
              </w:trPr>
              <w:tc>
                <w:tcPr>
                  <w:cnfStyle w:val="001000000000"/>
                  <w:tcW w:w="10348" w:type="dxa"/>
                  <w:gridSpan w:val="2"/>
                </w:tcPr>
                <w:p w:rsidR="00F67039" w:rsidRPr="00265BC1" w:rsidRDefault="00F67039" w:rsidP="00A877CA">
                  <w:pPr>
                    <w:pStyle w:val="Event"/>
                    <w:tabs>
                      <w:tab w:val="left" w:pos="300"/>
                      <w:tab w:val="center" w:pos="5066"/>
                    </w:tabs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ab/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ab/>
                    <w:t>Social Event TBA</w:t>
                  </w:r>
                </w:p>
              </w:tc>
            </w:tr>
          </w:tbl>
          <w:p w:rsidR="00F67039" w:rsidRDefault="00F67039" w:rsidP="00A877CA">
            <w:pPr>
              <w:pStyle w:val="Even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F67039" w:rsidRPr="00265BC1" w:rsidRDefault="00F67039" w:rsidP="00A877CA">
            <w:pPr>
              <w:pStyle w:val="Even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tbl>
            <w:tblPr>
              <w:tblStyle w:val="LightShading-Accent1"/>
              <w:tblW w:w="9639" w:type="dxa"/>
              <w:tblLayout w:type="fixed"/>
              <w:tblLook w:val="04A0"/>
            </w:tblPr>
            <w:tblGrid>
              <w:gridCol w:w="1985"/>
              <w:gridCol w:w="7654"/>
            </w:tblGrid>
            <w:tr w:rsidR="00F67039" w:rsidRPr="00265BC1" w:rsidTr="00A877CA">
              <w:trPr>
                <w:cnfStyle w:val="100000000000"/>
              </w:trPr>
              <w:tc>
                <w:tcPr>
                  <w:cnfStyle w:val="001000000000"/>
                  <w:tcW w:w="9639" w:type="dxa"/>
                  <w:gridSpan w:val="2"/>
                </w:tcPr>
                <w:p w:rsidR="00F67039" w:rsidRPr="004E7519" w:rsidRDefault="00F67039" w:rsidP="00A877CA">
                  <w:pPr>
                    <w:pStyle w:val="Event"/>
                    <w:jc w:val="center"/>
                    <w:rPr>
                      <w:rFonts w:asciiTheme="majorHAnsi" w:hAnsiTheme="majorHAnsi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Thursday, 30 January 2014</w:t>
                  </w:r>
                </w:p>
              </w:tc>
            </w:tr>
            <w:tr w:rsidR="00F67039" w:rsidRPr="00265BC1" w:rsidTr="00A877CA">
              <w:trPr>
                <w:cnfStyle w:val="000000100000"/>
              </w:trPr>
              <w:tc>
                <w:tcPr>
                  <w:cnfStyle w:val="001000000000"/>
                  <w:tcW w:w="1985" w:type="dxa"/>
                </w:tcPr>
                <w:p w:rsidR="00F67039" w:rsidRPr="00265BC1" w:rsidRDefault="00F67039" w:rsidP="00A877CA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9:30  – 11:00</w:t>
                  </w:r>
                </w:p>
              </w:tc>
              <w:tc>
                <w:tcPr>
                  <w:tcW w:w="7654" w:type="dxa"/>
                </w:tcPr>
                <w:p w:rsidR="00F67039" w:rsidRPr="00C56683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C56683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Session 4: Utilization of the Digital dividend</w:t>
                  </w:r>
                </w:p>
                <w:p w:rsidR="00F67039" w:rsidRPr="00C56683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C56683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lastRenderedPageBreak/>
                    <w:t>Round Table Presentations</w:t>
                  </w:r>
                </w:p>
                <w:p w:rsidR="00F67039" w:rsidRPr="00C56683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C56683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Open Discussion</w:t>
                  </w:r>
                </w:p>
              </w:tc>
            </w:tr>
            <w:tr w:rsidR="00F67039" w:rsidRPr="00265BC1" w:rsidTr="00A877CA">
              <w:tc>
                <w:tcPr>
                  <w:cnfStyle w:val="001000000000"/>
                  <w:tcW w:w="1985" w:type="dxa"/>
                </w:tcPr>
                <w:p w:rsidR="00F67039" w:rsidRDefault="00F67039" w:rsidP="00A877CA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lastRenderedPageBreak/>
                    <w:t>11:00 – 11:15</w:t>
                  </w:r>
                </w:p>
              </w:tc>
              <w:tc>
                <w:tcPr>
                  <w:tcW w:w="7654" w:type="dxa"/>
                </w:tcPr>
                <w:p w:rsidR="00F67039" w:rsidRPr="00C56683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614D8C">
                    <w:rPr>
                      <w:rFonts w:asciiTheme="majorHAnsi" w:hAnsiTheme="majorHAnsi"/>
                      <w:sz w:val="24"/>
                      <w:szCs w:val="24"/>
                    </w:rPr>
                    <w:t>Coffee Break</w:t>
                  </w:r>
                </w:p>
              </w:tc>
            </w:tr>
            <w:tr w:rsidR="00F67039" w:rsidRPr="00265BC1" w:rsidTr="00A877CA">
              <w:trPr>
                <w:cnfStyle w:val="000000100000"/>
              </w:trPr>
              <w:tc>
                <w:tcPr>
                  <w:cnfStyle w:val="001000000000"/>
                  <w:tcW w:w="1985" w:type="dxa"/>
                </w:tcPr>
                <w:p w:rsidR="00F67039" w:rsidRDefault="00F67039" w:rsidP="00A877CA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11:15 – 12:45</w:t>
                  </w:r>
                </w:p>
              </w:tc>
              <w:tc>
                <w:tcPr>
                  <w:tcW w:w="7654" w:type="dxa"/>
                </w:tcPr>
                <w:p w:rsidR="00F67039" w:rsidRPr="00C56683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C56683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Session 5: Utilization of the Digital dividend [Cont’d]</w:t>
                  </w:r>
                </w:p>
                <w:p w:rsidR="00F67039" w:rsidRPr="00C56683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C56683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Round Table Presentations</w:t>
                  </w:r>
                </w:p>
                <w:p w:rsidR="00F67039" w:rsidRPr="00C56683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C56683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Open Discussion</w:t>
                  </w:r>
                </w:p>
              </w:tc>
            </w:tr>
            <w:tr w:rsidR="00F67039" w:rsidRPr="00265BC1" w:rsidTr="00A877CA">
              <w:tc>
                <w:tcPr>
                  <w:cnfStyle w:val="001000000000"/>
                  <w:tcW w:w="1985" w:type="dxa"/>
                </w:tcPr>
                <w:p w:rsidR="00F67039" w:rsidRDefault="00F67039" w:rsidP="00A877CA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12:45 – 14:15</w:t>
                  </w:r>
                </w:p>
              </w:tc>
              <w:tc>
                <w:tcPr>
                  <w:tcW w:w="7654" w:type="dxa"/>
                </w:tcPr>
                <w:p w:rsidR="00F67039" w:rsidRPr="00C56683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Lunch Break</w:t>
                  </w:r>
                </w:p>
              </w:tc>
            </w:tr>
            <w:tr w:rsidR="00F67039" w:rsidRPr="00265BC1" w:rsidTr="00A877CA">
              <w:trPr>
                <w:cnfStyle w:val="000000100000"/>
              </w:trPr>
              <w:tc>
                <w:tcPr>
                  <w:cnfStyle w:val="001000000000"/>
                  <w:tcW w:w="1985" w:type="dxa"/>
                </w:tcPr>
                <w:p w:rsidR="00F67039" w:rsidRDefault="00F67039" w:rsidP="00A877CA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14:15 – 15:45</w:t>
                  </w:r>
                </w:p>
              </w:tc>
              <w:tc>
                <w:tcPr>
                  <w:tcW w:w="7654" w:type="dxa"/>
                </w:tcPr>
                <w:p w:rsidR="00F67039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C56683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Session 5</w:t>
                  </w: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: </w:t>
                  </w:r>
                  <w:r w:rsidRPr="00C56683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Decision about introduction of the HDTV</w:t>
                  </w:r>
                </w:p>
                <w:p w:rsidR="00F67039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Round Table Presentations</w:t>
                  </w:r>
                </w:p>
                <w:p w:rsidR="00F67039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Open Discussion</w:t>
                  </w:r>
                </w:p>
              </w:tc>
            </w:tr>
            <w:tr w:rsidR="00F67039" w:rsidRPr="00265BC1" w:rsidTr="00A877CA">
              <w:tc>
                <w:tcPr>
                  <w:cnfStyle w:val="001000000000"/>
                  <w:tcW w:w="1985" w:type="dxa"/>
                </w:tcPr>
                <w:p w:rsidR="00F67039" w:rsidRDefault="00F67039" w:rsidP="00A877CA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15:45 – 16:00</w:t>
                  </w:r>
                </w:p>
              </w:tc>
              <w:tc>
                <w:tcPr>
                  <w:tcW w:w="7654" w:type="dxa"/>
                </w:tcPr>
                <w:p w:rsidR="00F67039" w:rsidRPr="00C56683" w:rsidRDefault="00F67039" w:rsidP="00A877CA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614D8C">
                    <w:rPr>
                      <w:rFonts w:asciiTheme="majorHAnsi" w:hAnsiTheme="majorHAnsi"/>
                      <w:sz w:val="24"/>
                      <w:szCs w:val="24"/>
                    </w:rPr>
                    <w:t>Coffee Break</w:t>
                  </w:r>
                </w:p>
              </w:tc>
            </w:tr>
            <w:tr w:rsidR="00F67039" w:rsidRPr="00265BC1" w:rsidTr="00A877CA">
              <w:trPr>
                <w:cnfStyle w:val="000000100000"/>
              </w:trPr>
              <w:tc>
                <w:tcPr>
                  <w:cnfStyle w:val="001000000000"/>
                  <w:tcW w:w="1985" w:type="dxa"/>
                </w:tcPr>
                <w:p w:rsidR="00F67039" w:rsidRPr="00265BC1" w:rsidRDefault="00F67039" w:rsidP="00A877CA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16:00 – 17:30</w:t>
                  </w:r>
                </w:p>
              </w:tc>
              <w:tc>
                <w:tcPr>
                  <w:tcW w:w="7654" w:type="dxa"/>
                </w:tcPr>
                <w:p w:rsidR="00F67039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Session 7: </w:t>
                  </w:r>
                  <w:r w:rsidRPr="00137EAC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Emerging Challenges in the Digital TV Market</w:t>
                  </w:r>
                </w:p>
                <w:p w:rsidR="00F67039" w:rsidRPr="00265BC1" w:rsidRDefault="00F67039" w:rsidP="00A877CA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Overall presentations on experiences in the region</w:t>
                  </w:r>
                </w:p>
                <w:p w:rsidR="00F67039" w:rsidRPr="00265BC1" w:rsidRDefault="00F67039" w:rsidP="00A877CA">
                  <w:pPr>
                    <w:pStyle w:val="Event"/>
                    <w:jc w:val="both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65BC1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Open Discussion </w:t>
                  </w:r>
                </w:p>
              </w:tc>
            </w:tr>
          </w:tbl>
          <w:p w:rsidR="00F67039" w:rsidRPr="00265BC1" w:rsidRDefault="00F67039" w:rsidP="00A877CA">
            <w:pPr>
              <w:pStyle w:val="CEOMeetingDates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7039" w:rsidRPr="007D0522" w:rsidTr="00F67039">
        <w:tblPrEx>
          <w:jc w:val="left"/>
          <w:tblLook w:val="01E0"/>
        </w:tblPrEx>
        <w:trPr>
          <w:gridAfter w:val="1"/>
          <w:wAfter w:w="301" w:type="dxa"/>
          <w:trHeight w:val="245"/>
        </w:trPr>
        <w:tc>
          <w:tcPr>
            <w:tcW w:w="9747" w:type="dxa"/>
            <w:gridSpan w:val="4"/>
            <w:shd w:val="clear" w:color="auto" w:fill="auto"/>
          </w:tcPr>
          <w:p w:rsidR="00F67039" w:rsidRPr="00265BC1" w:rsidRDefault="00F67039" w:rsidP="00A877CA">
            <w:pPr>
              <w:pStyle w:val="BDTSignatureName"/>
              <w:spacing w:before="120"/>
            </w:pPr>
          </w:p>
        </w:tc>
      </w:tr>
    </w:tbl>
    <w:tbl>
      <w:tblPr>
        <w:tblStyle w:val="LightShading-Accent1"/>
        <w:tblW w:w="9639" w:type="dxa"/>
        <w:tblLayout w:type="fixed"/>
        <w:tblLook w:val="04A0"/>
      </w:tblPr>
      <w:tblGrid>
        <w:gridCol w:w="1985"/>
        <w:gridCol w:w="7654"/>
      </w:tblGrid>
      <w:tr w:rsidR="00F67039" w:rsidTr="00A877CA">
        <w:trPr>
          <w:cnfStyle w:val="100000000000"/>
        </w:trPr>
        <w:tc>
          <w:tcPr>
            <w:cnfStyle w:val="001000000000"/>
            <w:tcW w:w="9639" w:type="dxa"/>
            <w:gridSpan w:val="2"/>
          </w:tcPr>
          <w:p w:rsidR="00F67039" w:rsidRDefault="00F67039" w:rsidP="00A877CA">
            <w:pPr>
              <w:jc w:val="center"/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Friday, 31 January 2014</w:t>
            </w:r>
          </w:p>
        </w:tc>
      </w:tr>
      <w:tr w:rsidR="00F67039" w:rsidRPr="00265BC1" w:rsidTr="00A877CA">
        <w:trPr>
          <w:cnfStyle w:val="000000100000"/>
        </w:trPr>
        <w:tc>
          <w:tcPr>
            <w:cnfStyle w:val="001000000000"/>
            <w:tcW w:w="1985" w:type="dxa"/>
          </w:tcPr>
          <w:p w:rsidR="00F67039" w:rsidRPr="00265BC1" w:rsidRDefault="00F67039" w:rsidP="00A877CA">
            <w:pPr>
              <w:pStyle w:val="Event"/>
              <w:rPr>
                <w:rStyle w:val="PlaceholderText"/>
                <w:rFonts w:asciiTheme="majorHAnsi" w:hAnsiTheme="majorHAnsi"/>
                <w:color w:val="auto"/>
                <w:szCs w:val="24"/>
              </w:rPr>
            </w:pPr>
            <w:r>
              <w:rPr>
                <w:rStyle w:val="PlaceholderText"/>
                <w:rFonts w:asciiTheme="majorHAnsi" w:hAnsiTheme="majorHAnsi"/>
                <w:color w:val="auto"/>
                <w:szCs w:val="24"/>
              </w:rPr>
              <w:t>9:30  – 11</w:t>
            </w:r>
            <w:r w:rsidRPr="00265BC1">
              <w:rPr>
                <w:rStyle w:val="PlaceholderText"/>
                <w:rFonts w:asciiTheme="majorHAnsi" w:hAnsiTheme="majorHAnsi"/>
                <w:color w:val="auto"/>
                <w:szCs w:val="24"/>
              </w:rPr>
              <w:t>:00</w:t>
            </w:r>
          </w:p>
        </w:tc>
        <w:tc>
          <w:tcPr>
            <w:tcW w:w="7654" w:type="dxa"/>
          </w:tcPr>
          <w:p w:rsidR="00F67039" w:rsidRDefault="00F67039" w:rsidP="00A877CA">
            <w:pPr>
              <w:pStyle w:val="Event"/>
              <w:cnfStyle w:val="000000100000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Session 8: </w:t>
            </w:r>
            <w:r w:rsidRPr="00137EAC">
              <w:rPr>
                <w:rFonts w:asciiTheme="majorHAnsi" w:hAnsiTheme="majorHAnsi"/>
                <w:color w:val="auto"/>
                <w:sz w:val="24"/>
                <w:szCs w:val="24"/>
              </w:rPr>
              <w:t>Emerging Challenges in the Digital TV Market</w:t>
            </w:r>
          </w:p>
          <w:p w:rsidR="00F67039" w:rsidRPr="00265BC1" w:rsidRDefault="00F67039" w:rsidP="00A877CA">
            <w:pPr>
              <w:pStyle w:val="Event"/>
              <w:cnfStyle w:val="000000100000"/>
              <w:rPr>
                <w:rFonts w:asciiTheme="majorHAnsi" w:hAnsiTheme="maj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auto"/>
                <w:sz w:val="24"/>
                <w:szCs w:val="24"/>
              </w:rPr>
              <w:t>Hbb</w:t>
            </w:r>
            <w:proofErr w:type="spellEnd"/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TV presentation by Antenna Hungary</w:t>
            </w:r>
          </w:p>
          <w:p w:rsidR="00F67039" w:rsidRPr="00265BC1" w:rsidRDefault="00F67039" w:rsidP="00A877CA">
            <w:pPr>
              <w:pStyle w:val="Event-Bold"/>
              <w:cnfStyle w:val="000000100000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B330C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Open Discussion</w:t>
            </w:r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 xml:space="preserve"> and Q&amp;A</w:t>
            </w:r>
          </w:p>
        </w:tc>
      </w:tr>
      <w:tr w:rsidR="00F67039" w:rsidRPr="00B330CE" w:rsidTr="00A877CA">
        <w:tc>
          <w:tcPr>
            <w:cnfStyle w:val="001000000000"/>
            <w:tcW w:w="1985" w:type="dxa"/>
          </w:tcPr>
          <w:p w:rsidR="00F67039" w:rsidRPr="00265BC1" w:rsidRDefault="00F67039" w:rsidP="00A877CA">
            <w:pPr>
              <w:pStyle w:val="Event"/>
              <w:rPr>
                <w:rStyle w:val="PlaceholderText"/>
                <w:rFonts w:asciiTheme="majorHAnsi" w:hAnsiTheme="majorHAnsi"/>
                <w:color w:val="auto"/>
                <w:szCs w:val="24"/>
              </w:rPr>
            </w:pPr>
            <w:r>
              <w:rPr>
                <w:rStyle w:val="PlaceholderText"/>
                <w:rFonts w:asciiTheme="majorHAnsi" w:hAnsiTheme="majorHAnsi"/>
                <w:color w:val="auto"/>
                <w:szCs w:val="24"/>
              </w:rPr>
              <w:t>11:00 – 11:15</w:t>
            </w:r>
          </w:p>
        </w:tc>
        <w:tc>
          <w:tcPr>
            <w:tcW w:w="7654" w:type="dxa"/>
          </w:tcPr>
          <w:p w:rsidR="00F67039" w:rsidRPr="00B330CE" w:rsidRDefault="00F67039" w:rsidP="00A877CA">
            <w:pPr>
              <w:pStyle w:val="Event"/>
              <w:cnfStyle w:val="000000000000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Coffee B</w:t>
            </w:r>
            <w:r w:rsidRPr="00614D8C">
              <w:rPr>
                <w:rFonts w:asciiTheme="majorHAnsi" w:hAnsiTheme="majorHAnsi"/>
                <w:sz w:val="24"/>
                <w:szCs w:val="24"/>
              </w:rPr>
              <w:t>reak</w:t>
            </w:r>
          </w:p>
        </w:tc>
      </w:tr>
      <w:tr w:rsidR="00F67039" w:rsidRPr="00B330CE" w:rsidTr="00A877CA">
        <w:trPr>
          <w:cnfStyle w:val="000000100000"/>
        </w:trPr>
        <w:tc>
          <w:tcPr>
            <w:cnfStyle w:val="001000000000"/>
            <w:tcW w:w="1985" w:type="dxa"/>
          </w:tcPr>
          <w:p w:rsidR="00F67039" w:rsidRPr="00265BC1" w:rsidRDefault="00F67039" w:rsidP="00A877CA">
            <w:pPr>
              <w:pStyle w:val="Event"/>
              <w:rPr>
                <w:rStyle w:val="PlaceholderText"/>
                <w:rFonts w:asciiTheme="majorHAnsi" w:hAnsiTheme="majorHAnsi"/>
                <w:color w:val="auto"/>
                <w:szCs w:val="24"/>
              </w:rPr>
            </w:pPr>
            <w:r>
              <w:rPr>
                <w:rStyle w:val="PlaceholderText"/>
                <w:rFonts w:asciiTheme="majorHAnsi" w:hAnsiTheme="majorHAnsi"/>
                <w:color w:val="auto"/>
                <w:szCs w:val="24"/>
              </w:rPr>
              <w:t>11:15 – 12:00</w:t>
            </w:r>
          </w:p>
        </w:tc>
        <w:tc>
          <w:tcPr>
            <w:tcW w:w="7654" w:type="dxa"/>
          </w:tcPr>
          <w:p w:rsidR="00F67039" w:rsidRPr="00B330CE" w:rsidRDefault="00F67039" w:rsidP="00A877CA">
            <w:pPr>
              <w:pStyle w:val="Event-Bold"/>
              <w:cnfStyle w:val="000000100000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265BC1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 xml:space="preserve">Closing Remarks and Ways Forward </w:t>
            </w:r>
          </w:p>
        </w:tc>
      </w:tr>
      <w:tr w:rsidR="00F67039" w:rsidRPr="00B330CE" w:rsidTr="00A877CA">
        <w:tc>
          <w:tcPr>
            <w:cnfStyle w:val="001000000000"/>
            <w:tcW w:w="1985" w:type="dxa"/>
          </w:tcPr>
          <w:p w:rsidR="00F67039" w:rsidRDefault="00F67039" w:rsidP="00A877CA">
            <w:pPr>
              <w:pStyle w:val="Event"/>
              <w:rPr>
                <w:rStyle w:val="PlaceholderText"/>
                <w:rFonts w:asciiTheme="majorHAnsi" w:hAnsiTheme="majorHAnsi"/>
                <w:color w:val="auto"/>
                <w:szCs w:val="24"/>
              </w:rPr>
            </w:pPr>
            <w:r>
              <w:rPr>
                <w:rStyle w:val="PlaceholderText"/>
                <w:rFonts w:asciiTheme="majorHAnsi" w:hAnsiTheme="majorHAnsi"/>
                <w:color w:val="auto"/>
                <w:szCs w:val="24"/>
              </w:rPr>
              <w:t>12:00 – 14:00</w:t>
            </w:r>
          </w:p>
        </w:tc>
        <w:tc>
          <w:tcPr>
            <w:tcW w:w="7654" w:type="dxa"/>
          </w:tcPr>
          <w:p w:rsidR="00F67039" w:rsidRPr="00B330CE" w:rsidRDefault="00F67039" w:rsidP="00A877CA">
            <w:pPr>
              <w:pStyle w:val="Event"/>
              <w:cnfStyle w:val="000000000000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614D8C">
              <w:rPr>
                <w:rFonts w:asciiTheme="majorHAnsi" w:hAnsiTheme="majorHAnsi"/>
                <w:sz w:val="24"/>
                <w:szCs w:val="24"/>
              </w:rPr>
              <w:t>Lunch Break</w:t>
            </w:r>
          </w:p>
        </w:tc>
      </w:tr>
    </w:tbl>
    <w:p w:rsidR="00F67039" w:rsidRDefault="00F67039" w:rsidP="00F67039"/>
    <w:p w:rsidR="00563963" w:rsidRPr="000A4200" w:rsidRDefault="00563963">
      <w:pPr>
        <w:pStyle w:val="BDTEndReturn"/>
        <w:rPr>
          <w:sz w:val="22"/>
          <w:szCs w:val="22"/>
          <w:lang w:val="fr-CH"/>
        </w:rPr>
      </w:pPr>
    </w:p>
    <w:sectPr w:rsidR="00563963" w:rsidRPr="000A4200" w:rsidSect="00563963">
      <w:headerReference w:type="even" r:id="rId16"/>
      <w:headerReference w:type="default" r:id="rId17"/>
      <w:headerReference w:type="first" r:id="rId18"/>
      <w:footerReference w:type="first" r:id="rId19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751" w:rsidRDefault="00E9375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:rsidR="00E93751" w:rsidRDefault="00E9375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E93751" w:rsidRDefault="00E93751"/>
  </w:endnote>
  <w:endnote w:type="continuationSeparator" w:id="0">
    <w:p w:rsidR="00E93751" w:rsidRDefault="00E9375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E93751" w:rsidRDefault="00E9375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E93751" w:rsidRDefault="00E9375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CD" w:rsidRDefault="00C53CCD">
    <w:pPr>
      <w:pStyle w:val="BDTFooter"/>
      <w:jc w:val="center"/>
      <w:rPr>
        <w:lang w:val="fr-CH"/>
      </w:rPr>
    </w:pPr>
    <w:r>
      <w:rPr>
        <w:lang w:val="fr-CH"/>
      </w:rPr>
      <w:t xml:space="preserve">International </w:t>
    </w:r>
    <w:proofErr w:type="spellStart"/>
    <w:r>
      <w:rPr>
        <w:lang w:val="fr-CH"/>
      </w:rPr>
      <w:t>Telecommunication</w:t>
    </w:r>
    <w:proofErr w:type="spellEnd"/>
    <w:r>
      <w:rPr>
        <w:lang w:val="fr-CH"/>
      </w:rPr>
      <w:t xml:space="preserve"> Union • Place des Nations • CH</w:t>
    </w:r>
    <w:r>
      <w:rPr>
        <w:lang w:val="fr-CH"/>
      </w:rPr>
      <w:noBreakHyphen/>
      <w:t xml:space="preserve">1211 Geneva 20 • </w:t>
    </w:r>
    <w:proofErr w:type="spellStart"/>
    <w:r>
      <w:rPr>
        <w:lang w:val="fr-CH"/>
      </w:rPr>
      <w:t>Switzerland</w:t>
    </w:r>
    <w:proofErr w:type="spellEnd"/>
    <w:r>
      <w:rPr>
        <w:lang w:val="fr-CH"/>
      </w:rPr>
      <w:t xml:space="preserve"> </w:t>
    </w:r>
    <w:r>
      <w:rPr>
        <w:lang w:val="fr-CH"/>
      </w:rPr>
      <w:br/>
      <w:t xml:space="preserve">Tel: +41 22 730 5111 • Fax: +41 22 730 5545/730 5484 • E-mail: </w:t>
    </w:r>
    <w:hyperlink r:id="rId1" w:history="1">
      <w:r>
        <w:rPr>
          <w:rStyle w:val="Hyperlink"/>
          <w:rFonts w:cs="Traditional Arabic"/>
          <w:szCs w:val="18"/>
          <w:lang w:val="fr-CH"/>
        </w:rPr>
        <w:t>bdtmail@itu.int</w:t>
      </w:r>
    </w:hyperlink>
    <w:r>
      <w:rPr>
        <w:lang w:val="fr-CH"/>
      </w:rPr>
      <w:t xml:space="preserve"> • </w:t>
    </w:r>
    <w:hyperlink r:id="rId2" w:history="1">
      <w:r>
        <w:rPr>
          <w:lang w:val="fr-CH"/>
        </w:rPr>
        <w:t>www.itu.int</w:t>
      </w:r>
    </w:hyperlink>
    <w:r>
      <w:t>/</w:t>
    </w:r>
    <w:proofErr w:type="spellStart"/>
    <w:r>
      <w:t>itu</w:t>
    </w:r>
    <w:proofErr w:type="spellEnd"/>
    <w:r>
      <w:t>-d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751" w:rsidRDefault="00E9375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:rsidR="00E93751" w:rsidRDefault="00E9375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E93751" w:rsidRDefault="00E93751"/>
  </w:footnote>
  <w:footnote w:type="continuationSeparator" w:id="0">
    <w:p w:rsidR="00E93751" w:rsidRDefault="00E9375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E93751" w:rsidRDefault="00E9375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E93751" w:rsidRDefault="00E937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CD" w:rsidRDefault="00C53CCD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>
      <w:t xml:space="preserve"> </w:t>
    </w:r>
    <w:r w:rsidR="00AD1AE1">
      <w:rPr>
        <w:rStyle w:val="PageNumber"/>
        <w:rFonts w:cs="Traditional Arabic"/>
      </w:rPr>
      <w:fldChar w:fldCharType="begin"/>
    </w:r>
    <w:r>
      <w:rPr>
        <w:rStyle w:val="PageNumber"/>
        <w:rFonts w:cs="Traditional Arabic"/>
      </w:rPr>
      <w:instrText xml:space="preserve"> PAGE </w:instrText>
    </w:r>
    <w:r w:rsidR="00AD1AE1">
      <w:rPr>
        <w:rStyle w:val="PageNumber"/>
        <w:rFonts w:cs="Traditional Arabic"/>
      </w:rPr>
      <w:fldChar w:fldCharType="separate"/>
    </w:r>
    <w:r w:rsidR="00E94023">
      <w:rPr>
        <w:rStyle w:val="PageNumber"/>
        <w:rFonts w:cs="Traditional Arabic"/>
        <w:noProof/>
      </w:rPr>
      <w:t>2</w:t>
    </w:r>
    <w:r w:rsidR="00AD1AE1">
      <w:rPr>
        <w:rStyle w:val="PageNumber"/>
        <w:rFonts w:cs="Traditional Arabic"/>
      </w:rPr>
      <w:fldChar w:fldCharType="end"/>
    </w:r>
    <w:r>
      <w:rPr>
        <w:rStyle w:val="PageNumber"/>
        <w:rFonts w:cs="Traditional Arabic"/>
      </w:rPr>
      <w:t xml:space="preserve"> </w:t>
    </w:r>
  </w:p>
  <w:p w:rsidR="00C53CCD" w:rsidRDefault="00C53CCD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p>
  <w:p w:rsidR="00C53CCD" w:rsidRDefault="00C53CC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1727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3CCD" w:rsidRDefault="00AD1AE1">
        <w:pPr>
          <w:pStyle w:val="Header"/>
          <w:jc w:val="center"/>
        </w:pPr>
        <w:r>
          <w:fldChar w:fldCharType="begin"/>
        </w:r>
        <w:r w:rsidR="00C53CCD">
          <w:instrText xml:space="preserve"> PAGE   \* MERGEFORMAT </w:instrText>
        </w:r>
        <w:r>
          <w:fldChar w:fldCharType="separate"/>
        </w:r>
        <w:r w:rsidR="00E940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3CCD" w:rsidRDefault="00C53CC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CD" w:rsidRDefault="00C53CCD" w:rsidP="00477EED">
    <w:pPr>
      <w:pStyle w:val="Header"/>
      <w:jc w:val="center"/>
    </w:pPr>
  </w:p>
  <w:p w:rsidR="00C53CCD" w:rsidRDefault="00C53CCD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textAlignment w:val="base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"/>
      </v:shape>
    </w:pict>
  </w:numPicBullet>
  <w:abstractNum w:abstractNumId="0">
    <w:nsid w:val="FFFFFF7C"/>
    <w:multiLevelType w:val="singleLevel"/>
    <w:tmpl w:val="48987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5E1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C0F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D68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6E58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4E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FE2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724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72B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F2E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50B36F2"/>
    <w:multiLevelType w:val="hybridMultilevel"/>
    <w:tmpl w:val="1D7C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0D9125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2453403D"/>
    <w:multiLevelType w:val="hybridMultilevel"/>
    <w:tmpl w:val="3E5CE034"/>
    <w:lvl w:ilvl="0" w:tplc="A166665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Albertus Medium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264FAF"/>
    <w:multiLevelType w:val="hybridMultilevel"/>
    <w:tmpl w:val="F0081474"/>
    <w:lvl w:ilvl="0" w:tplc="9A8A04E4">
      <w:start w:val="201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807560"/>
    <w:multiLevelType w:val="hybridMultilevel"/>
    <w:tmpl w:val="11D69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2"/>
  </w:num>
  <w:num w:numId="4">
    <w:abstractNumId w:val="21"/>
  </w:num>
  <w:num w:numId="5">
    <w:abstractNumId w:val="19"/>
  </w:num>
  <w:num w:numId="6">
    <w:abstractNumId w:val="14"/>
  </w:num>
  <w:num w:numId="7">
    <w:abstractNumId w:val="26"/>
  </w:num>
  <w:num w:numId="8">
    <w:abstractNumId w:val="28"/>
  </w:num>
  <w:num w:numId="9">
    <w:abstractNumId w:val="24"/>
  </w:num>
  <w:num w:numId="10">
    <w:abstractNumId w:val="16"/>
  </w:num>
  <w:num w:numId="11">
    <w:abstractNumId w:val="29"/>
  </w:num>
  <w:num w:numId="12">
    <w:abstractNumId w:val="20"/>
    <w:lvlOverride w:ilvl="0">
      <w:startOverride w:val="1"/>
    </w:lvlOverride>
  </w:num>
  <w:num w:numId="13">
    <w:abstractNumId w:val="29"/>
  </w:num>
  <w:num w:numId="14">
    <w:abstractNumId w:val="29"/>
  </w:num>
  <w:num w:numId="15">
    <w:abstractNumId w:val="22"/>
  </w:num>
  <w:num w:numId="16">
    <w:abstractNumId w:val="21"/>
  </w:num>
  <w:num w:numId="17">
    <w:abstractNumId w:val="19"/>
  </w:num>
  <w:num w:numId="18">
    <w:abstractNumId w:val="14"/>
  </w:num>
  <w:num w:numId="19">
    <w:abstractNumId w:val="26"/>
  </w:num>
  <w:num w:numId="20">
    <w:abstractNumId w:val="28"/>
  </w:num>
  <w:num w:numId="21">
    <w:abstractNumId w:val="24"/>
  </w:num>
  <w:num w:numId="22">
    <w:abstractNumId w:val="16"/>
  </w:num>
  <w:num w:numId="23">
    <w:abstractNumId w:val="29"/>
  </w:num>
  <w:num w:numId="24">
    <w:abstractNumId w:val="20"/>
    <w:lvlOverride w:ilvl="0">
      <w:startOverride w:val="1"/>
    </w:lvlOverride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7"/>
  </w:num>
  <w:num w:numId="36">
    <w:abstractNumId w:val="18"/>
  </w:num>
  <w:num w:numId="37">
    <w:abstractNumId w:val="22"/>
  </w:num>
  <w:num w:numId="38">
    <w:abstractNumId w:val="27"/>
  </w:num>
  <w:num w:numId="39">
    <w:abstractNumId w:val="29"/>
  </w:num>
  <w:num w:numId="40">
    <w:abstractNumId w:val="21"/>
  </w:num>
  <w:num w:numId="41">
    <w:abstractNumId w:val="19"/>
  </w:num>
  <w:num w:numId="42">
    <w:abstractNumId w:val="14"/>
  </w:num>
  <w:num w:numId="43">
    <w:abstractNumId w:val="26"/>
  </w:num>
  <w:num w:numId="44">
    <w:abstractNumId w:val="24"/>
  </w:num>
  <w:num w:numId="45">
    <w:abstractNumId w:val="16"/>
  </w:num>
  <w:num w:numId="46">
    <w:abstractNumId w:val="27"/>
  </w:num>
  <w:num w:numId="47">
    <w:abstractNumId w:val="15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C004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uildingBlockITU" w:val="Building Blocks ITU.dotx"/>
  </w:docVars>
  <w:rsids>
    <w:rsidRoot w:val="00563963"/>
    <w:rsid w:val="000110CB"/>
    <w:rsid w:val="00030689"/>
    <w:rsid w:val="00030DE6"/>
    <w:rsid w:val="00035383"/>
    <w:rsid w:val="00042E48"/>
    <w:rsid w:val="000447B8"/>
    <w:rsid w:val="00053FD9"/>
    <w:rsid w:val="0007776D"/>
    <w:rsid w:val="000A4200"/>
    <w:rsid w:val="000B03EA"/>
    <w:rsid w:val="001647E4"/>
    <w:rsid w:val="00176D3E"/>
    <w:rsid w:val="00195D2F"/>
    <w:rsid w:val="001A4008"/>
    <w:rsid w:val="001D5DCF"/>
    <w:rsid w:val="001E7F0A"/>
    <w:rsid w:val="001F7B98"/>
    <w:rsid w:val="00206D07"/>
    <w:rsid w:val="002423AB"/>
    <w:rsid w:val="002527F8"/>
    <w:rsid w:val="002542D0"/>
    <w:rsid w:val="002632F8"/>
    <w:rsid w:val="00266A6F"/>
    <w:rsid w:val="002749A8"/>
    <w:rsid w:val="00281329"/>
    <w:rsid w:val="00283334"/>
    <w:rsid w:val="00283902"/>
    <w:rsid w:val="002B02E7"/>
    <w:rsid w:val="002B6E57"/>
    <w:rsid w:val="002C3EDD"/>
    <w:rsid w:val="002D1BAC"/>
    <w:rsid w:val="002F56E5"/>
    <w:rsid w:val="00304770"/>
    <w:rsid w:val="00312E8B"/>
    <w:rsid w:val="00315FC7"/>
    <w:rsid w:val="00326641"/>
    <w:rsid w:val="0033597E"/>
    <w:rsid w:val="00343C2D"/>
    <w:rsid w:val="00346BB5"/>
    <w:rsid w:val="003754FF"/>
    <w:rsid w:val="003872A6"/>
    <w:rsid w:val="00390626"/>
    <w:rsid w:val="003C6851"/>
    <w:rsid w:val="003E4048"/>
    <w:rsid w:val="003E7C77"/>
    <w:rsid w:val="0041623B"/>
    <w:rsid w:val="0042068C"/>
    <w:rsid w:val="00431578"/>
    <w:rsid w:val="00437F01"/>
    <w:rsid w:val="00446B42"/>
    <w:rsid w:val="00450632"/>
    <w:rsid w:val="00453D41"/>
    <w:rsid w:val="00457681"/>
    <w:rsid w:val="0046366D"/>
    <w:rsid w:val="00470CAD"/>
    <w:rsid w:val="00472FD0"/>
    <w:rsid w:val="00477EED"/>
    <w:rsid w:val="00484BFF"/>
    <w:rsid w:val="004959B5"/>
    <w:rsid w:val="004C197F"/>
    <w:rsid w:val="004D05E3"/>
    <w:rsid w:val="004F0431"/>
    <w:rsid w:val="004F3515"/>
    <w:rsid w:val="004F5146"/>
    <w:rsid w:val="004F60D4"/>
    <w:rsid w:val="005367D5"/>
    <w:rsid w:val="00550859"/>
    <w:rsid w:val="00563963"/>
    <w:rsid w:val="00570014"/>
    <w:rsid w:val="00614DA6"/>
    <w:rsid w:val="0063757E"/>
    <w:rsid w:val="00653587"/>
    <w:rsid w:val="00670E1A"/>
    <w:rsid w:val="00696BFC"/>
    <w:rsid w:val="006A41B7"/>
    <w:rsid w:val="006B6552"/>
    <w:rsid w:val="006C4B5E"/>
    <w:rsid w:val="006D5F4C"/>
    <w:rsid w:val="006E6667"/>
    <w:rsid w:val="006F54C6"/>
    <w:rsid w:val="00722241"/>
    <w:rsid w:val="0074458D"/>
    <w:rsid w:val="00756FD5"/>
    <w:rsid w:val="007678D0"/>
    <w:rsid w:val="007724C5"/>
    <w:rsid w:val="007B29D4"/>
    <w:rsid w:val="007B3269"/>
    <w:rsid w:val="007B611D"/>
    <w:rsid w:val="007C1EFC"/>
    <w:rsid w:val="007D7574"/>
    <w:rsid w:val="008217FD"/>
    <w:rsid w:val="008A021B"/>
    <w:rsid w:val="008D2FB7"/>
    <w:rsid w:val="008E016F"/>
    <w:rsid w:val="008F041B"/>
    <w:rsid w:val="00922D89"/>
    <w:rsid w:val="00955BB4"/>
    <w:rsid w:val="009702C4"/>
    <w:rsid w:val="0097562D"/>
    <w:rsid w:val="00981947"/>
    <w:rsid w:val="009903A4"/>
    <w:rsid w:val="00992EC7"/>
    <w:rsid w:val="009A4504"/>
    <w:rsid w:val="009B19D9"/>
    <w:rsid w:val="009E6E67"/>
    <w:rsid w:val="00A0199A"/>
    <w:rsid w:val="00A02840"/>
    <w:rsid w:val="00A06852"/>
    <w:rsid w:val="00A073E1"/>
    <w:rsid w:val="00A11DE3"/>
    <w:rsid w:val="00A336A5"/>
    <w:rsid w:val="00A35602"/>
    <w:rsid w:val="00A438A7"/>
    <w:rsid w:val="00A50365"/>
    <w:rsid w:val="00A527A7"/>
    <w:rsid w:val="00A70E97"/>
    <w:rsid w:val="00A82E7F"/>
    <w:rsid w:val="00A914D6"/>
    <w:rsid w:val="00AA216B"/>
    <w:rsid w:val="00AB234D"/>
    <w:rsid w:val="00AB37F2"/>
    <w:rsid w:val="00AB77EC"/>
    <w:rsid w:val="00AC7C6B"/>
    <w:rsid w:val="00AD1AE1"/>
    <w:rsid w:val="00AD4F85"/>
    <w:rsid w:val="00AD5FB8"/>
    <w:rsid w:val="00AE58AD"/>
    <w:rsid w:val="00B130DF"/>
    <w:rsid w:val="00B31058"/>
    <w:rsid w:val="00B52953"/>
    <w:rsid w:val="00B665CF"/>
    <w:rsid w:val="00B6703B"/>
    <w:rsid w:val="00B676C2"/>
    <w:rsid w:val="00B729CA"/>
    <w:rsid w:val="00B774C1"/>
    <w:rsid w:val="00B84AEE"/>
    <w:rsid w:val="00B86D4D"/>
    <w:rsid w:val="00BA1CAF"/>
    <w:rsid w:val="00BC0A70"/>
    <w:rsid w:val="00BC3CD6"/>
    <w:rsid w:val="00BE4238"/>
    <w:rsid w:val="00C019C6"/>
    <w:rsid w:val="00C13931"/>
    <w:rsid w:val="00C36E4D"/>
    <w:rsid w:val="00C5210A"/>
    <w:rsid w:val="00C53CCD"/>
    <w:rsid w:val="00C63673"/>
    <w:rsid w:val="00C639DB"/>
    <w:rsid w:val="00C722F8"/>
    <w:rsid w:val="00C90D64"/>
    <w:rsid w:val="00C9124B"/>
    <w:rsid w:val="00C97FC5"/>
    <w:rsid w:val="00CA48F4"/>
    <w:rsid w:val="00CB37B7"/>
    <w:rsid w:val="00CB4DC1"/>
    <w:rsid w:val="00CB5270"/>
    <w:rsid w:val="00CC175A"/>
    <w:rsid w:val="00CD12B9"/>
    <w:rsid w:val="00CF2F1C"/>
    <w:rsid w:val="00D05646"/>
    <w:rsid w:val="00D16BBD"/>
    <w:rsid w:val="00D55FD3"/>
    <w:rsid w:val="00D752D0"/>
    <w:rsid w:val="00DA05C1"/>
    <w:rsid w:val="00DA2B28"/>
    <w:rsid w:val="00DA51B1"/>
    <w:rsid w:val="00DA6FD5"/>
    <w:rsid w:val="00DB600F"/>
    <w:rsid w:val="00DC43E9"/>
    <w:rsid w:val="00DC5C63"/>
    <w:rsid w:val="00DF4CDB"/>
    <w:rsid w:val="00E10820"/>
    <w:rsid w:val="00E231A8"/>
    <w:rsid w:val="00E465B2"/>
    <w:rsid w:val="00E57621"/>
    <w:rsid w:val="00E64441"/>
    <w:rsid w:val="00E93751"/>
    <w:rsid w:val="00E94023"/>
    <w:rsid w:val="00EB303B"/>
    <w:rsid w:val="00F069A5"/>
    <w:rsid w:val="00F14E37"/>
    <w:rsid w:val="00F236E8"/>
    <w:rsid w:val="00F401FF"/>
    <w:rsid w:val="00F41603"/>
    <w:rsid w:val="00F42415"/>
    <w:rsid w:val="00F460D8"/>
    <w:rsid w:val="00F62560"/>
    <w:rsid w:val="00F648CD"/>
    <w:rsid w:val="00F67039"/>
    <w:rsid w:val="00F67B54"/>
    <w:rsid w:val="00F853A0"/>
    <w:rsid w:val="00F919ED"/>
    <w:rsid w:val="00FC258E"/>
    <w:rsid w:val="00FE0870"/>
    <w:rsid w:val="00FF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39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uiPriority w:val="99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7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46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40"/>
      </w:numPr>
    </w:pPr>
    <w:rPr>
      <w:rFonts w:eastAsia="SimHei"/>
    </w:rPr>
  </w:style>
  <w:style w:type="paragraph" w:customStyle="1" w:styleId="BDTFooter">
    <w:name w:val="BDT_Footer"/>
    <w:uiPriority w:val="99"/>
    <w:rsid w:val="00DB600F"/>
    <w:pPr>
      <w:tabs>
        <w:tab w:val="right" w:pos="9072"/>
      </w:tabs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41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42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43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20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44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45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4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ascii="Calibri" w:eastAsia="SimSun" w:hAnsi="Calibri" w:cs="Times New Roman"/>
      <w:sz w:val="19"/>
      <w:szCs w:val="19"/>
      <w:lang w:val="en-GB" w:eastAsia="en-US" w:bidi="ar-SA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Message">
    <w:name w:val="Message"/>
    <w:rsid w:val="00DF4CDB"/>
    <w:pPr>
      <w:spacing w:before="240" w:line="300" w:lineRule="exact"/>
      <w:ind w:left="794" w:right="794"/>
    </w:pPr>
    <w:rPr>
      <w:rFonts w:ascii="Arial" w:hAnsi="Arial" w:cs="Times New Roman"/>
      <w:szCs w:val="20"/>
      <w:lang w:eastAsia="en-US" w:bidi="he-IL"/>
    </w:rPr>
  </w:style>
  <w:style w:type="character" w:customStyle="1" w:styleId="st1">
    <w:name w:val="st1"/>
    <w:basedOn w:val="DefaultParagraphFont"/>
    <w:rsid w:val="00CC175A"/>
  </w:style>
  <w:style w:type="paragraph" w:styleId="ListParagraph">
    <w:name w:val="List Paragraph"/>
    <w:basedOn w:val="Normal"/>
    <w:uiPriority w:val="99"/>
    <w:qFormat/>
    <w:rsid w:val="00CC175A"/>
    <w:pPr>
      <w:spacing w:before="0" w:after="0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A05C1"/>
  </w:style>
  <w:style w:type="character" w:styleId="FollowedHyperlink">
    <w:name w:val="FollowedHyperlink"/>
    <w:basedOn w:val="DefaultParagraphFont"/>
    <w:uiPriority w:val="99"/>
    <w:semiHidden/>
    <w:unhideWhenUsed/>
    <w:locked/>
    <w:rsid w:val="002542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D55FD3"/>
    <w:pPr>
      <w:tabs>
        <w:tab w:val="center" w:pos="4680"/>
        <w:tab w:val="right" w:pos="9360"/>
      </w:tabs>
      <w:spacing w:before="0" w:after="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55FD3"/>
    <w:rPr>
      <w:rFonts w:asciiTheme="minorHAnsi" w:eastAsiaTheme="minorEastAsia" w:hAnsiTheme="minorHAnsi" w:cstheme="minorBidi"/>
      <w:lang w:eastAsia="ja-JP"/>
    </w:rPr>
  </w:style>
  <w:style w:type="paragraph" w:customStyle="1" w:styleId="CEOMeetingDates">
    <w:name w:val="CEO_MeetingDates"/>
    <w:basedOn w:val="Normal"/>
    <w:rsid w:val="00F67039"/>
    <w:rPr>
      <w:rFonts w:ascii="Verdana" w:hAnsi="Verdana" w:cs="Times New Roman"/>
      <w:b/>
      <w:bCs/>
      <w:sz w:val="19"/>
      <w:szCs w:val="20"/>
      <w:lang w:val="en-GB"/>
    </w:rPr>
  </w:style>
  <w:style w:type="table" w:styleId="TableGrid">
    <w:name w:val="Table Grid"/>
    <w:basedOn w:val="TableNormal"/>
    <w:uiPriority w:val="59"/>
    <w:locked/>
    <w:rsid w:val="00F6703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67039"/>
    <w:rPr>
      <w:color w:val="808080"/>
    </w:rPr>
  </w:style>
  <w:style w:type="paragraph" w:customStyle="1" w:styleId="Event-Bold">
    <w:name w:val="Event - Bold"/>
    <w:basedOn w:val="Event"/>
    <w:qFormat/>
    <w:rsid w:val="00F67039"/>
    <w:rPr>
      <w:b/>
    </w:rPr>
  </w:style>
  <w:style w:type="paragraph" w:customStyle="1" w:styleId="Event">
    <w:name w:val="Event"/>
    <w:basedOn w:val="Normal"/>
    <w:qFormat/>
    <w:rsid w:val="00F67039"/>
    <w:pPr>
      <w:spacing w:before="0" w:after="80"/>
    </w:pPr>
    <w:rPr>
      <w:rFonts w:eastAsia="Calibri" w:cs="Arial"/>
      <w:sz w:val="18"/>
      <w:szCs w:val="22"/>
    </w:rPr>
  </w:style>
  <w:style w:type="table" w:customStyle="1" w:styleId="LightShading-Accent11">
    <w:name w:val="Light Shading - Accent 11"/>
    <w:basedOn w:val="TableNormal"/>
    <w:uiPriority w:val="60"/>
    <w:rsid w:val="00F67039"/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F67039"/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39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uiPriority w:val="99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7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46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40"/>
      </w:numPr>
    </w:pPr>
    <w:rPr>
      <w:rFonts w:eastAsia="SimHei"/>
    </w:rPr>
  </w:style>
  <w:style w:type="paragraph" w:customStyle="1" w:styleId="BDTFooter">
    <w:name w:val="BDT_Footer"/>
    <w:uiPriority w:val="99"/>
    <w:rsid w:val="00DB600F"/>
    <w:pPr>
      <w:tabs>
        <w:tab w:val="right" w:pos="9072"/>
      </w:tabs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41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42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43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20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44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45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4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ascii="Calibri" w:eastAsia="SimSun" w:hAnsi="Calibri" w:cs="Times New Roman"/>
      <w:sz w:val="19"/>
      <w:szCs w:val="19"/>
      <w:lang w:val="en-GB" w:eastAsia="en-US" w:bidi="ar-SA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Message">
    <w:name w:val="Message"/>
    <w:rsid w:val="00DF4CDB"/>
    <w:pPr>
      <w:spacing w:before="240" w:line="300" w:lineRule="exact"/>
      <w:ind w:left="794" w:right="794"/>
    </w:pPr>
    <w:rPr>
      <w:rFonts w:ascii="Arial" w:hAnsi="Arial" w:cs="Times New Roman"/>
      <w:szCs w:val="20"/>
      <w:lang w:eastAsia="en-US" w:bidi="he-IL"/>
    </w:rPr>
  </w:style>
  <w:style w:type="character" w:customStyle="1" w:styleId="st1">
    <w:name w:val="st1"/>
    <w:basedOn w:val="DefaultParagraphFont"/>
    <w:rsid w:val="00CC175A"/>
  </w:style>
  <w:style w:type="paragraph" w:styleId="ListParagraph">
    <w:name w:val="List Paragraph"/>
    <w:basedOn w:val="Normal"/>
    <w:uiPriority w:val="99"/>
    <w:qFormat/>
    <w:rsid w:val="00CC175A"/>
    <w:pPr>
      <w:spacing w:before="0" w:after="0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A05C1"/>
  </w:style>
  <w:style w:type="character" w:styleId="FollowedHyperlink">
    <w:name w:val="FollowedHyperlink"/>
    <w:basedOn w:val="DefaultParagraphFont"/>
    <w:uiPriority w:val="99"/>
    <w:semiHidden/>
    <w:unhideWhenUsed/>
    <w:locked/>
    <w:rsid w:val="002542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D55FD3"/>
    <w:pPr>
      <w:tabs>
        <w:tab w:val="center" w:pos="4680"/>
        <w:tab w:val="right" w:pos="9360"/>
      </w:tabs>
      <w:spacing w:before="0" w:after="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55FD3"/>
    <w:rPr>
      <w:rFonts w:asciiTheme="minorHAnsi" w:eastAsiaTheme="minorEastAsia" w:hAnsiTheme="minorHAnsi" w:cstheme="minorBidi"/>
      <w:lang w:eastAsia="ja-JP"/>
    </w:rPr>
  </w:style>
  <w:style w:type="paragraph" w:customStyle="1" w:styleId="CEOMeetingDates">
    <w:name w:val="CEO_MeetingDates"/>
    <w:basedOn w:val="Normal"/>
    <w:rsid w:val="00F67039"/>
    <w:rPr>
      <w:rFonts w:ascii="Verdana" w:hAnsi="Verdana" w:cs="Times New Roman"/>
      <w:b/>
      <w:bCs/>
      <w:sz w:val="19"/>
      <w:szCs w:val="20"/>
      <w:lang w:val="en-GB"/>
    </w:rPr>
  </w:style>
  <w:style w:type="table" w:styleId="TableGrid">
    <w:name w:val="Table Grid"/>
    <w:basedOn w:val="TableNormal"/>
    <w:uiPriority w:val="59"/>
    <w:locked/>
    <w:rsid w:val="00F6703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67039"/>
    <w:rPr>
      <w:color w:val="808080"/>
    </w:rPr>
  </w:style>
  <w:style w:type="paragraph" w:customStyle="1" w:styleId="Event-Bold">
    <w:name w:val="Event - Bold"/>
    <w:basedOn w:val="Event"/>
    <w:qFormat/>
    <w:rsid w:val="00F67039"/>
    <w:rPr>
      <w:b/>
    </w:rPr>
  </w:style>
  <w:style w:type="paragraph" w:customStyle="1" w:styleId="Event">
    <w:name w:val="Event"/>
    <w:basedOn w:val="Normal"/>
    <w:qFormat/>
    <w:rsid w:val="00F67039"/>
    <w:pPr>
      <w:spacing w:before="0" w:after="80"/>
    </w:pPr>
    <w:rPr>
      <w:rFonts w:eastAsia="Calibri" w:cs="Arial"/>
      <w:sz w:val="18"/>
      <w:szCs w:val="22"/>
    </w:rPr>
  </w:style>
  <w:style w:type="table" w:customStyle="1" w:styleId="LightShading-Accent11">
    <w:name w:val="Light Shading - Accent 11"/>
    <w:basedOn w:val="TableNormal"/>
    <w:uiPriority w:val="60"/>
    <w:rsid w:val="00F67039"/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F67039"/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istvan.bozsoki@itu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aroslaw.ponder@itu.int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eremi@nmhh.hu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ustomXml" Target="../customXml/item2.xml"/><Relationship Id="rId10" Type="http://schemas.openxmlformats.org/officeDocument/2006/relationships/hyperlink" Target="mailto:szeremi@nmhh.h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int/en/ITU-D/Regional-Presence/Europe/" TargetMode="External"/><Relationship Id="rId14" Type="http://schemas.openxmlformats.org/officeDocument/2006/relationships/image" Target="media/image3.jpeg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-24june2019.aspx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5456D-B1A6-41DE-AB65-ADB321FCD478}"/>
</file>

<file path=customXml/itemProps2.xml><?xml version="1.0" encoding="utf-8"?>
<ds:datastoreItem xmlns:ds="http://schemas.openxmlformats.org/officeDocument/2006/customXml" ds:itemID="{AFA45622-FF03-4966-991C-C2EB0A539C86}"/>
</file>

<file path=customXml/itemProps3.xml><?xml version="1.0" encoding="utf-8"?>
<ds:datastoreItem xmlns:ds="http://schemas.openxmlformats.org/officeDocument/2006/customXml" ds:itemID="{7C534448-E156-49F6-812A-0A635893E6A8}"/>
</file>

<file path=customXml/itemProps4.xml><?xml version="1.0" encoding="utf-8"?>
<ds:datastoreItem xmlns:ds="http://schemas.openxmlformats.org/officeDocument/2006/customXml" ds:itemID="{EDC02A5B-A47B-44D6-A92F-95E2263D80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Efrem Yosef</dc:creator>
  <cp:lastModifiedBy>Vladimir Stankovic</cp:lastModifiedBy>
  <cp:revision>2</cp:revision>
  <cp:lastPrinted>2013-12-04T10:47:00Z</cp:lastPrinted>
  <dcterms:created xsi:type="dcterms:W3CDTF">2013-12-09T16:03:00Z</dcterms:created>
  <dcterms:modified xsi:type="dcterms:W3CDTF">2013-12-09T16:03:00Z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0x01010042240BEE36140C4099AA2AE462C59614</vt:lpwstr>
  </property>
</Properties>
</file>