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E305" w14:textId="77777777" w:rsidR="0063328C" w:rsidRDefault="0063328C" w:rsidP="00E56975">
      <w:pPr>
        <w:jc w:val="center"/>
        <w:rPr>
          <w:b/>
          <w:bCs/>
          <w:sz w:val="28"/>
          <w:szCs w:val="28"/>
        </w:rPr>
      </w:pPr>
    </w:p>
    <w:p w14:paraId="7ED855CD" w14:textId="77777777" w:rsidR="0063328C" w:rsidRDefault="0063328C" w:rsidP="006242B5">
      <w:pPr>
        <w:rPr>
          <w:b/>
          <w:bCs/>
          <w:sz w:val="28"/>
          <w:szCs w:val="28"/>
        </w:rPr>
      </w:pPr>
    </w:p>
    <w:p w14:paraId="3261633F" w14:textId="51200A98" w:rsidR="0063328C" w:rsidRDefault="0063328C" w:rsidP="00E56975">
      <w:pPr>
        <w:jc w:val="center"/>
        <w:rPr>
          <w:b/>
          <w:bCs/>
          <w:sz w:val="28"/>
          <w:szCs w:val="28"/>
        </w:rPr>
      </w:pPr>
    </w:p>
    <w:p w14:paraId="55433F76" w14:textId="1A432276" w:rsidR="002C2705" w:rsidRDefault="002C2705" w:rsidP="00E56975">
      <w:pPr>
        <w:jc w:val="center"/>
        <w:rPr>
          <w:b/>
          <w:bCs/>
          <w:sz w:val="28"/>
          <w:szCs w:val="28"/>
        </w:rPr>
      </w:pPr>
      <w:r>
        <w:rPr>
          <w:noProof/>
        </w:rPr>
        <w:drawing>
          <wp:inline distT="0" distB="0" distL="0" distR="0" wp14:anchorId="1C8DDB37" wp14:editId="13ADB029">
            <wp:extent cx="1862667" cy="1862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2667" cy="1862667"/>
                    </a:xfrm>
                    <a:prstGeom prst="rect">
                      <a:avLst/>
                    </a:prstGeom>
                  </pic:spPr>
                </pic:pic>
              </a:graphicData>
            </a:graphic>
          </wp:inline>
        </w:drawing>
      </w:r>
    </w:p>
    <w:p w14:paraId="5F70B53B" w14:textId="77777777" w:rsidR="002C2705" w:rsidRDefault="002C2705" w:rsidP="006242B5">
      <w:pPr>
        <w:rPr>
          <w:b/>
          <w:bCs/>
          <w:sz w:val="28"/>
          <w:szCs w:val="28"/>
        </w:rPr>
      </w:pPr>
    </w:p>
    <w:p w14:paraId="111F0184" w14:textId="77777777" w:rsidR="0063328C" w:rsidRDefault="0063328C" w:rsidP="00E56975">
      <w:pPr>
        <w:jc w:val="center"/>
        <w:rPr>
          <w:b/>
          <w:bCs/>
          <w:sz w:val="28"/>
          <w:szCs w:val="28"/>
        </w:rPr>
      </w:pPr>
    </w:p>
    <w:p w14:paraId="5C382605" w14:textId="32313C8C" w:rsidR="0063328C" w:rsidRPr="0063328C" w:rsidRDefault="008915B2" w:rsidP="147885A2">
      <w:pPr>
        <w:jc w:val="center"/>
        <w:rPr>
          <w:b/>
          <w:bCs/>
          <w:sz w:val="44"/>
          <w:szCs w:val="44"/>
        </w:rPr>
      </w:pPr>
      <w:r>
        <w:rPr>
          <w:b/>
          <w:bCs/>
          <w:sz w:val="44"/>
          <w:szCs w:val="44"/>
        </w:rPr>
        <w:t>REPUBLIC OF MOLDOVA</w:t>
      </w:r>
    </w:p>
    <w:p w14:paraId="72D45085" w14:textId="1CC9761E" w:rsidR="009815A2" w:rsidRPr="0063328C" w:rsidRDefault="009815A2" w:rsidP="00E56975">
      <w:pPr>
        <w:jc w:val="center"/>
        <w:rPr>
          <w:b/>
          <w:bCs/>
          <w:sz w:val="36"/>
          <w:szCs w:val="36"/>
        </w:rPr>
      </w:pPr>
      <w:r w:rsidRPr="0063328C">
        <w:rPr>
          <w:b/>
          <w:bCs/>
          <w:sz w:val="36"/>
          <w:szCs w:val="36"/>
        </w:rPr>
        <w:t xml:space="preserve">Digital Development Country Profile </w:t>
      </w:r>
    </w:p>
    <w:p w14:paraId="3BEA4447" w14:textId="77777777" w:rsidR="009815A2" w:rsidRPr="0063328C" w:rsidRDefault="009815A2" w:rsidP="00E56975">
      <w:pPr>
        <w:jc w:val="center"/>
        <w:rPr>
          <w:sz w:val="32"/>
          <w:szCs w:val="32"/>
        </w:rPr>
      </w:pPr>
    </w:p>
    <w:p w14:paraId="24D77659" w14:textId="77777777" w:rsidR="002E7B10" w:rsidRDefault="002E7B10" w:rsidP="147885A2">
      <w:pPr>
        <w:jc w:val="center"/>
        <w:rPr>
          <w:rFonts w:ascii="Calibri" w:eastAsia="Calibri" w:hAnsi="Calibri" w:cs="Calibri"/>
          <w:color w:val="FF0000"/>
        </w:rPr>
      </w:pPr>
    </w:p>
    <w:p w14:paraId="5AE2B46C" w14:textId="64B4FC7B" w:rsidR="147885A2" w:rsidRDefault="147885A2" w:rsidP="147885A2">
      <w:pPr>
        <w:jc w:val="center"/>
        <w:rPr>
          <w:rFonts w:ascii="Calibri" w:eastAsia="Calibri" w:hAnsi="Calibri" w:cs="Calibri"/>
          <w:color w:val="FF0000"/>
        </w:rPr>
      </w:pPr>
    </w:p>
    <w:p w14:paraId="15ABEABE" w14:textId="0EB1CC46" w:rsidR="4A665296" w:rsidRDefault="4A665296" w:rsidP="147885A2">
      <w:pPr>
        <w:jc w:val="center"/>
      </w:pPr>
      <w:r w:rsidRPr="147885A2">
        <w:rPr>
          <w:rFonts w:ascii="Symbol" w:eastAsia="Symbol" w:hAnsi="Symbol" w:cs="Symbol"/>
        </w:rPr>
        <w:t></w:t>
      </w:r>
      <w:r w:rsidRPr="147885A2">
        <w:rPr>
          <w:rFonts w:ascii="Calibri" w:eastAsia="Calibri" w:hAnsi="Calibri" w:cs="Calibri"/>
        </w:rPr>
        <w:t xml:space="preserve"> </w:t>
      </w:r>
      <w:r w:rsidRPr="147885A2">
        <w:rPr>
          <w:rFonts w:ascii="Calibri" w:eastAsia="Calibri" w:hAnsi="Calibri" w:cs="Calibri"/>
          <w:lang w:val="en-GB"/>
        </w:rPr>
        <w:t>ITU June 2021</w:t>
      </w:r>
    </w:p>
    <w:p w14:paraId="5A462D9D" w14:textId="58DD264E" w:rsidR="4A665296" w:rsidRDefault="4A665296" w:rsidP="147885A2">
      <w:pPr>
        <w:jc w:val="center"/>
      </w:pPr>
      <w:r w:rsidRPr="147885A2">
        <w:rPr>
          <w:rFonts w:ascii="Calibri" w:eastAsia="Calibri" w:hAnsi="Calibri" w:cs="Calibri"/>
          <w:lang w:val="en-GB"/>
        </w:rPr>
        <w:t>Version 1.</w:t>
      </w:r>
      <w:r w:rsidR="006242B5">
        <w:rPr>
          <w:rFonts w:ascii="Calibri" w:eastAsia="Calibri" w:hAnsi="Calibri" w:cs="Calibri"/>
          <w:lang w:val="en-GB"/>
        </w:rPr>
        <w:t>1</w:t>
      </w:r>
    </w:p>
    <w:p w14:paraId="56D4803D" w14:textId="4B02F86B" w:rsidR="002E7B10" w:rsidRDefault="4A665296" w:rsidP="002E7B10">
      <w:pPr>
        <w:jc w:val="center"/>
      </w:pPr>
      <w:r w:rsidRPr="147885A2">
        <w:rPr>
          <w:rFonts w:ascii="Calibri" w:eastAsia="Calibri" w:hAnsi="Calibri" w:cs="Calibri"/>
          <w:lang w:val="en-GB"/>
        </w:rPr>
        <w:t>Living Document</w:t>
      </w:r>
      <w:r w:rsidR="002E7B10">
        <w:rPr>
          <w:rFonts w:ascii="Calibri" w:eastAsia="Calibri" w:hAnsi="Calibri" w:cs="Calibri"/>
          <w:lang w:val="en-GB"/>
        </w:rPr>
        <w:t xml:space="preserve">   </w:t>
      </w:r>
      <w:r w:rsidR="002E7B10">
        <w:rPr>
          <w:rFonts w:ascii="Calibri" w:eastAsia="Calibri" w:hAnsi="Calibri" w:cs="Calibri"/>
          <w:lang w:val="en-GB"/>
        </w:rPr>
        <w:br/>
        <w:t>Comments/</w:t>
      </w:r>
      <w:r w:rsidR="00292A86">
        <w:rPr>
          <w:rFonts w:ascii="Calibri" w:eastAsia="Calibri" w:hAnsi="Calibri" w:cs="Calibri"/>
          <w:lang w:val="en-GB"/>
        </w:rPr>
        <w:t>I</w:t>
      </w:r>
      <w:r w:rsidR="002E7B10">
        <w:rPr>
          <w:rFonts w:ascii="Calibri" w:eastAsia="Calibri" w:hAnsi="Calibri" w:cs="Calibri"/>
          <w:lang w:val="en-GB"/>
        </w:rPr>
        <w:t xml:space="preserve">nputs =&gt; </w:t>
      </w:r>
      <w:r w:rsidR="00F26BEF">
        <w:rPr>
          <w:rFonts w:ascii="Calibri" w:eastAsia="Calibri" w:hAnsi="Calibri" w:cs="Calibri"/>
          <w:lang w:val="en-GB"/>
        </w:rPr>
        <w:t>ITU Office for Europe (</w:t>
      </w:r>
      <w:hyperlink r:id="rId9" w:history="1">
        <w:r w:rsidR="00F26BEF" w:rsidRPr="00321E6A">
          <w:rPr>
            <w:rStyle w:val="Hyperlink"/>
            <w:rFonts w:ascii="Calibri" w:eastAsia="Calibri" w:hAnsi="Calibri" w:cs="Calibri"/>
            <w:lang w:val="en-GB"/>
          </w:rPr>
          <w:t>EURregion@itu.int</w:t>
        </w:r>
      </w:hyperlink>
      <w:r w:rsidR="00F26BEF">
        <w:rPr>
          <w:rFonts w:ascii="Calibri" w:eastAsia="Calibri" w:hAnsi="Calibri" w:cs="Calibri"/>
          <w:lang w:val="en-GB"/>
        </w:rPr>
        <w:t>)</w:t>
      </w:r>
      <w:r w:rsidR="002E7B10">
        <w:rPr>
          <w:rFonts w:ascii="Calibri" w:eastAsia="Calibri" w:hAnsi="Calibri" w:cs="Calibri"/>
          <w:lang w:val="en-GB"/>
        </w:rPr>
        <w:t xml:space="preserve"> </w:t>
      </w:r>
    </w:p>
    <w:p w14:paraId="080D9194" w14:textId="78E3EB67" w:rsidR="4A665296" w:rsidRDefault="4A665296" w:rsidP="147885A2">
      <w:pPr>
        <w:jc w:val="center"/>
      </w:pPr>
    </w:p>
    <w:p w14:paraId="0080E589" w14:textId="73ACBA0E" w:rsidR="00DC5A7F" w:rsidRPr="00104C7C" w:rsidRDefault="00DC5A7F">
      <w:pPr>
        <w:rPr>
          <w:color w:val="FF0000"/>
        </w:rPr>
      </w:pPr>
    </w:p>
    <w:sdt>
      <w:sdtPr>
        <w:rPr>
          <w:rFonts w:asciiTheme="minorHAnsi" w:eastAsiaTheme="minorHAnsi" w:hAnsiTheme="minorHAnsi" w:cstheme="minorBidi"/>
          <w:b w:val="0"/>
          <w:bCs w:val="0"/>
          <w:color w:val="auto"/>
          <w:sz w:val="24"/>
          <w:szCs w:val="24"/>
          <w:shd w:val="clear" w:color="auto" w:fill="E6E6E6"/>
          <w:lang w:val="en-GB"/>
        </w:rPr>
        <w:id w:val="872341404"/>
        <w:docPartObj>
          <w:docPartGallery w:val="Table of Contents"/>
          <w:docPartUnique/>
        </w:docPartObj>
      </w:sdtPr>
      <w:sdtEndPr>
        <w:rPr>
          <w:rFonts w:eastAsiaTheme="minorEastAsia"/>
          <w:sz w:val="22"/>
          <w:szCs w:val="22"/>
          <w:lang w:val="en-US"/>
        </w:rPr>
      </w:sdtEndPr>
      <w:sdtContent>
        <w:p w14:paraId="176CCF86" w14:textId="1076D1FF" w:rsidR="00DC5A7F" w:rsidRPr="00104C7C" w:rsidRDefault="00DC5A7F">
          <w:pPr>
            <w:pStyle w:val="TOCHeading"/>
          </w:pPr>
          <w:r w:rsidRPr="00104C7C">
            <w:t>Table of Contents</w:t>
          </w:r>
        </w:p>
        <w:p w14:paraId="3235A3A6" w14:textId="45A5434B" w:rsidR="00EB1955" w:rsidRDefault="00DC5A7F">
          <w:pPr>
            <w:pStyle w:val="TOC1"/>
            <w:tabs>
              <w:tab w:val="left" w:pos="480"/>
            </w:tabs>
            <w:rPr>
              <w:rFonts w:cstheme="minorBidi"/>
              <w:b w:val="0"/>
            </w:rPr>
          </w:pPr>
          <w:r w:rsidRPr="00104C7C">
            <w:rPr>
              <w:i/>
              <w:iCs/>
              <w:color w:val="2B579A"/>
              <w:shd w:val="clear" w:color="auto" w:fill="E6E6E6"/>
            </w:rPr>
            <w:fldChar w:fldCharType="begin"/>
          </w:r>
          <w:r w:rsidRPr="00104C7C">
            <w:instrText xml:space="preserve"> TOC \o "1-3" \h \z \u </w:instrText>
          </w:r>
          <w:r w:rsidRPr="00104C7C">
            <w:rPr>
              <w:i/>
              <w:iCs/>
              <w:color w:val="2B579A"/>
              <w:shd w:val="clear" w:color="auto" w:fill="E6E6E6"/>
            </w:rPr>
            <w:fldChar w:fldCharType="separate"/>
          </w:r>
          <w:hyperlink w:anchor="_Toc74850921" w:history="1">
            <w:r w:rsidR="00EB1955" w:rsidRPr="008A7663">
              <w:rPr>
                <w:rStyle w:val="Hyperlink"/>
              </w:rPr>
              <w:t>1.</w:t>
            </w:r>
            <w:r w:rsidR="00EB1955">
              <w:rPr>
                <w:rFonts w:cstheme="minorBidi"/>
                <w:b w:val="0"/>
              </w:rPr>
              <w:tab/>
            </w:r>
            <w:r w:rsidR="00EB1955" w:rsidRPr="008A7663">
              <w:rPr>
                <w:rStyle w:val="Hyperlink"/>
              </w:rPr>
              <w:t>Introduction</w:t>
            </w:r>
            <w:r w:rsidR="00EB1955">
              <w:rPr>
                <w:webHidden/>
              </w:rPr>
              <w:tab/>
            </w:r>
            <w:r w:rsidR="00EB1955">
              <w:rPr>
                <w:webHidden/>
              </w:rPr>
              <w:fldChar w:fldCharType="begin"/>
            </w:r>
            <w:r w:rsidR="00EB1955">
              <w:rPr>
                <w:webHidden/>
              </w:rPr>
              <w:instrText xml:space="preserve"> PAGEREF _Toc74850921 \h </w:instrText>
            </w:r>
            <w:r w:rsidR="00EB1955">
              <w:rPr>
                <w:webHidden/>
              </w:rPr>
            </w:r>
            <w:r w:rsidR="00EB1955">
              <w:rPr>
                <w:webHidden/>
              </w:rPr>
              <w:fldChar w:fldCharType="separate"/>
            </w:r>
            <w:r w:rsidR="00EB1955">
              <w:rPr>
                <w:webHidden/>
              </w:rPr>
              <w:t>4</w:t>
            </w:r>
            <w:r w:rsidR="00EB1955">
              <w:rPr>
                <w:webHidden/>
              </w:rPr>
              <w:fldChar w:fldCharType="end"/>
            </w:r>
          </w:hyperlink>
        </w:p>
        <w:p w14:paraId="4ED3F377" w14:textId="2A05AED6" w:rsidR="00EB1955" w:rsidRDefault="0020682B">
          <w:pPr>
            <w:pStyle w:val="TOC2"/>
            <w:tabs>
              <w:tab w:val="left" w:pos="960"/>
              <w:tab w:val="right" w:leader="dot" w:pos="9350"/>
            </w:tabs>
            <w:rPr>
              <w:rFonts w:cstheme="minorBidi"/>
              <w:b w:val="0"/>
              <w:bCs w:val="0"/>
              <w:noProof/>
            </w:rPr>
          </w:pPr>
          <w:hyperlink w:anchor="_Toc74850922" w:history="1">
            <w:r w:rsidR="00EB1955" w:rsidRPr="008A7663">
              <w:rPr>
                <w:rStyle w:val="Hyperlink"/>
                <w:noProof/>
              </w:rPr>
              <w:t xml:space="preserve">1.1 </w:t>
            </w:r>
            <w:r w:rsidR="00EB1955">
              <w:rPr>
                <w:rFonts w:cstheme="minorBidi"/>
                <w:b w:val="0"/>
                <w:bCs w:val="0"/>
                <w:noProof/>
              </w:rPr>
              <w:tab/>
            </w:r>
            <w:r w:rsidR="00EB1955" w:rsidRPr="008A7663">
              <w:rPr>
                <w:rStyle w:val="Hyperlink"/>
                <w:noProof/>
              </w:rPr>
              <w:t>Background and context</w:t>
            </w:r>
            <w:r w:rsidR="00EB1955">
              <w:rPr>
                <w:noProof/>
                <w:webHidden/>
              </w:rPr>
              <w:tab/>
            </w:r>
            <w:r w:rsidR="00EB1955">
              <w:rPr>
                <w:noProof/>
                <w:webHidden/>
              </w:rPr>
              <w:fldChar w:fldCharType="begin"/>
            </w:r>
            <w:r w:rsidR="00EB1955">
              <w:rPr>
                <w:noProof/>
                <w:webHidden/>
              </w:rPr>
              <w:instrText xml:space="preserve"> PAGEREF _Toc74850922 \h </w:instrText>
            </w:r>
            <w:r w:rsidR="00EB1955">
              <w:rPr>
                <w:noProof/>
                <w:webHidden/>
              </w:rPr>
            </w:r>
            <w:r w:rsidR="00EB1955">
              <w:rPr>
                <w:noProof/>
                <w:webHidden/>
              </w:rPr>
              <w:fldChar w:fldCharType="separate"/>
            </w:r>
            <w:r w:rsidR="00EB1955">
              <w:rPr>
                <w:noProof/>
                <w:webHidden/>
              </w:rPr>
              <w:t>4</w:t>
            </w:r>
            <w:r w:rsidR="00EB1955">
              <w:rPr>
                <w:noProof/>
                <w:webHidden/>
              </w:rPr>
              <w:fldChar w:fldCharType="end"/>
            </w:r>
          </w:hyperlink>
        </w:p>
        <w:p w14:paraId="3430061B" w14:textId="3FF90857" w:rsidR="00EB1955" w:rsidRDefault="0020682B">
          <w:pPr>
            <w:pStyle w:val="TOC2"/>
            <w:tabs>
              <w:tab w:val="left" w:pos="960"/>
              <w:tab w:val="right" w:leader="dot" w:pos="9350"/>
            </w:tabs>
            <w:rPr>
              <w:rFonts w:cstheme="minorBidi"/>
              <w:b w:val="0"/>
              <w:bCs w:val="0"/>
              <w:noProof/>
            </w:rPr>
          </w:pPr>
          <w:hyperlink w:anchor="_Toc74850923" w:history="1">
            <w:r w:rsidR="00EB1955" w:rsidRPr="008A7663">
              <w:rPr>
                <w:rStyle w:val="Hyperlink"/>
                <w:noProof/>
              </w:rPr>
              <w:t xml:space="preserve">1.2 </w:t>
            </w:r>
            <w:r w:rsidR="00EB1955">
              <w:rPr>
                <w:rFonts w:cstheme="minorBidi"/>
                <w:b w:val="0"/>
                <w:bCs w:val="0"/>
                <w:noProof/>
              </w:rPr>
              <w:tab/>
            </w:r>
            <w:r w:rsidR="00EB1955" w:rsidRPr="008A7663">
              <w:rPr>
                <w:rStyle w:val="Hyperlink"/>
                <w:noProof/>
              </w:rPr>
              <w:t>Objective of the Report</w:t>
            </w:r>
            <w:r w:rsidR="00EB1955">
              <w:rPr>
                <w:noProof/>
                <w:webHidden/>
              </w:rPr>
              <w:tab/>
            </w:r>
            <w:r w:rsidR="00EB1955">
              <w:rPr>
                <w:noProof/>
                <w:webHidden/>
              </w:rPr>
              <w:fldChar w:fldCharType="begin"/>
            </w:r>
            <w:r w:rsidR="00EB1955">
              <w:rPr>
                <w:noProof/>
                <w:webHidden/>
              </w:rPr>
              <w:instrText xml:space="preserve"> PAGEREF _Toc74850923 \h </w:instrText>
            </w:r>
            <w:r w:rsidR="00EB1955">
              <w:rPr>
                <w:noProof/>
                <w:webHidden/>
              </w:rPr>
            </w:r>
            <w:r w:rsidR="00EB1955">
              <w:rPr>
                <w:noProof/>
                <w:webHidden/>
              </w:rPr>
              <w:fldChar w:fldCharType="separate"/>
            </w:r>
            <w:r w:rsidR="00EB1955">
              <w:rPr>
                <w:noProof/>
                <w:webHidden/>
              </w:rPr>
              <w:t>4</w:t>
            </w:r>
            <w:r w:rsidR="00EB1955">
              <w:rPr>
                <w:noProof/>
                <w:webHidden/>
              </w:rPr>
              <w:fldChar w:fldCharType="end"/>
            </w:r>
          </w:hyperlink>
        </w:p>
        <w:p w14:paraId="31670689" w14:textId="287678A1" w:rsidR="00EB1955" w:rsidRDefault="0020682B">
          <w:pPr>
            <w:pStyle w:val="TOC2"/>
            <w:tabs>
              <w:tab w:val="left" w:pos="960"/>
              <w:tab w:val="right" w:leader="dot" w:pos="9350"/>
            </w:tabs>
            <w:rPr>
              <w:rFonts w:cstheme="minorBidi"/>
              <w:b w:val="0"/>
              <w:bCs w:val="0"/>
              <w:noProof/>
            </w:rPr>
          </w:pPr>
          <w:hyperlink w:anchor="_Toc74850924" w:history="1">
            <w:r w:rsidR="00EB1955" w:rsidRPr="008A7663">
              <w:rPr>
                <w:rStyle w:val="Hyperlink"/>
                <w:noProof/>
              </w:rPr>
              <w:t xml:space="preserve">1.3 </w:t>
            </w:r>
            <w:r w:rsidR="00EB1955">
              <w:rPr>
                <w:rFonts w:cstheme="minorBidi"/>
                <w:b w:val="0"/>
                <w:bCs w:val="0"/>
                <w:noProof/>
              </w:rPr>
              <w:tab/>
            </w:r>
            <w:r w:rsidR="00EB1955" w:rsidRPr="008A7663">
              <w:rPr>
                <w:rStyle w:val="Hyperlink"/>
                <w:noProof/>
              </w:rPr>
              <w:t>Methodology</w:t>
            </w:r>
            <w:r w:rsidR="00EB1955">
              <w:rPr>
                <w:noProof/>
                <w:webHidden/>
              </w:rPr>
              <w:tab/>
            </w:r>
            <w:r w:rsidR="00EB1955">
              <w:rPr>
                <w:noProof/>
                <w:webHidden/>
              </w:rPr>
              <w:fldChar w:fldCharType="begin"/>
            </w:r>
            <w:r w:rsidR="00EB1955">
              <w:rPr>
                <w:noProof/>
                <w:webHidden/>
              </w:rPr>
              <w:instrText xml:space="preserve"> PAGEREF _Toc74850924 \h </w:instrText>
            </w:r>
            <w:r w:rsidR="00EB1955">
              <w:rPr>
                <w:noProof/>
                <w:webHidden/>
              </w:rPr>
            </w:r>
            <w:r w:rsidR="00EB1955">
              <w:rPr>
                <w:noProof/>
                <w:webHidden/>
              </w:rPr>
              <w:fldChar w:fldCharType="separate"/>
            </w:r>
            <w:r w:rsidR="00EB1955">
              <w:rPr>
                <w:noProof/>
                <w:webHidden/>
              </w:rPr>
              <w:t>5</w:t>
            </w:r>
            <w:r w:rsidR="00EB1955">
              <w:rPr>
                <w:noProof/>
                <w:webHidden/>
              </w:rPr>
              <w:fldChar w:fldCharType="end"/>
            </w:r>
          </w:hyperlink>
        </w:p>
        <w:p w14:paraId="58728F9B" w14:textId="4CDE11EA" w:rsidR="00EB1955" w:rsidRDefault="0020682B">
          <w:pPr>
            <w:pStyle w:val="TOC1"/>
            <w:tabs>
              <w:tab w:val="left" w:pos="480"/>
            </w:tabs>
            <w:rPr>
              <w:rFonts w:cstheme="minorBidi"/>
              <w:b w:val="0"/>
            </w:rPr>
          </w:pPr>
          <w:hyperlink w:anchor="_Toc74850925" w:history="1">
            <w:r w:rsidR="00EB1955" w:rsidRPr="008A7663">
              <w:rPr>
                <w:rStyle w:val="Hyperlink"/>
              </w:rPr>
              <w:t>2.</w:t>
            </w:r>
            <w:r w:rsidR="00EB1955">
              <w:rPr>
                <w:rFonts w:cstheme="minorBidi"/>
                <w:b w:val="0"/>
              </w:rPr>
              <w:tab/>
            </w:r>
            <w:r w:rsidR="00EB1955" w:rsidRPr="008A7663">
              <w:rPr>
                <w:rStyle w:val="Hyperlink"/>
              </w:rPr>
              <w:t>Country Profile – Republic of Moldova</w:t>
            </w:r>
            <w:r w:rsidR="00EB1955">
              <w:rPr>
                <w:webHidden/>
              </w:rPr>
              <w:tab/>
            </w:r>
            <w:r w:rsidR="00EB1955">
              <w:rPr>
                <w:webHidden/>
              </w:rPr>
              <w:fldChar w:fldCharType="begin"/>
            </w:r>
            <w:r w:rsidR="00EB1955">
              <w:rPr>
                <w:webHidden/>
              </w:rPr>
              <w:instrText xml:space="preserve"> PAGEREF _Toc74850925 \h </w:instrText>
            </w:r>
            <w:r w:rsidR="00EB1955">
              <w:rPr>
                <w:webHidden/>
              </w:rPr>
            </w:r>
            <w:r w:rsidR="00EB1955">
              <w:rPr>
                <w:webHidden/>
              </w:rPr>
              <w:fldChar w:fldCharType="separate"/>
            </w:r>
            <w:r w:rsidR="00EB1955">
              <w:rPr>
                <w:webHidden/>
              </w:rPr>
              <w:t>6</w:t>
            </w:r>
            <w:r w:rsidR="00EB1955">
              <w:rPr>
                <w:webHidden/>
              </w:rPr>
              <w:fldChar w:fldCharType="end"/>
            </w:r>
          </w:hyperlink>
        </w:p>
        <w:p w14:paraId="3DFC2558" w14:textId="7587B855" w:rsidR="00EB1955" w:rsidRDefault="0020682B">
          <w:pPr>
            <w:pStyle w:val="TOC2"/>
            <w:tabs>
              <w:tab w:val="left" w:pos="960"/>
              <w:tab w:val="right" w:leader="dot" w:pos="9350"/>
            </w:tabs>
            <w:rPr>
              <w:rFonts w:cstheme="minorBidi"/>
              <w:b w:val="0"/>
              <w:bCs w:val="0"/>
              <w:noProof/>
            </w:rPr>
          </w:pPr>
          <w:hyperlink w:anchor="_Toc74850926" w:history="1">
            <w:r w:rsidR="00EB1955" w:rsidRPr="008A7663">
              <w:rPr>
                <w:rStyle w:val="Hyperlink"/>
                <w:noProof/>
              </w:rPr>
              <w:t xml:space="preserve">2.1 </w:t>
            </w:r>
            <w:r w:rsidR="00EB1955">
              <w:rPr>
                <w:rFonts w:cstheme="minorBidi"/>
                <w:b w:val="0"/>
                <w:bCs w:val="0"/>
                <w:noProof/>
              </w:rPr>
              <w:tab/>
            </w:r>
            <w:r w:rsidR="00EB1955" w:rsidRPr="008A7663">
              <w:rPr>
                <w:rStyle w:val="Hyperlink"/>
                <w:noProof/>
              </w:rPr>
              <w:t>Building Block 1 - Meaningful connectivity as foundation for digital transformation</w:t>
            </w:r>
            <w:r w:rsidR="00EB1955">
              <w:rPr>
                <w:noProof/>
                <w:webHidden/>
              </w:rPr>
              <w:tab/>
            </w:r>
            <w:r w:rsidR="00EB1955">
              <w:rPr>
                <w:noProof/>
                <w:webHidden/>
              </w:rPr>
              <w:fldChar w:fldCharType="begin"/>
            </w:r>
            <w:r w:rsidR="00EB1955">
              <w:rPr>
                <w:noProof/>
                <w:webHidden/>
              </w:rPr>
              <w:instrText xml:space="preserve"> PAGEREF _Toc74850926 \h </w:instrText>
            </w:r>
            <w:r w:rsidR="00EB1955">
              <w:rPr>
                <w:noProof/>
                <w:webHidden/>
              </w:rPr>
            </w:r>
            <w:r w:rsidR="00EB1955">
              <w:rPr>
                <w:noProof/>
                <w:webHidden/>
              </w:rPr>
              <w:fldChar w:fldCharType="separate"/>
            </w:r>
            <w:r w:rsidR="00EB1955">
              <w:rPr>
                <w:noProof/>
                <w:webHidden/>
              </w:rPr>
              <w:t>6</w:t>
            </w:r>
            <w:r w:rsidR="00EB1955">
              <w:rPr>
                <w:noProof/>
                <w:webHidden/>
              </w:rPr>
              <w:fldChar w:fldCharType="end"/>
            </w:r>
          </w:hyperlink>
        </w:p>
        <w:p w14:paraId="0D317A5D" w14:textId="5312083F" w:rsidR="00EB1955" w:rsidRDefault="0020682B">
          <w:pPr>
            <w:pStyle w:val="TOC3"/>
            <w:rPr>
              <w:rFonts w:cstheme="minorBidi"/>
              <w:noProof/>
              <w:sz w:val="22"/>
              <w:szCs w:val="22"/>
            </w:rPr>
          </w:pPr>
          <w:hyperlink w:anchor="_Toc74850927" w:history="1">
            <w:r w:rsidR="00EB1955" w:rsidRPr="008A7663">
              <w:rPr>
                <w:rStyle w:val="Hyperlink"/>
                <w:noProof/>
              </w:rPr>
              <w:t>2.1.1 General overview on connectivity indicators</w:t>
            </w:r>
            <w:r w:rsidR="00EB1955">
              <w:rPr>
                <w:noProof/>
                <w:webHidden/>
              </w:rPr>
              <w:tab/>
            </w:r>
            <w:r w:rsidR="00EB1955">
              <w:rPr>
                <w:noProof/>
                <w:webHidden/>
              </w:rPr>
              <w:fldChar w:fldCharType="begin"/>
            </w:r>
            <w:r w:rsidR="00EB1955">
              <w:rPr>
                <w:noProof/>
                <w:webHidden/>
              </w:rPr>
              <w:instrText xml:space="preserve"> PAGEREF _Toc74850927 \h </w:instrText>
            </w:r>
            <w:r w:rsidR="00EB1955">
              <w:rPr>
                <w:noProof/>
                <w:webHidden/>
              </w:rPr>
            </w:r>
            <w:r w:rsidR="00EB1955">
              <w:rPr>
                <w:noProof/>
                <w:webHidden/>
              </w:rPr>
              <w:fldChar w:fldCharType="separate"/>
            </w:r>
            <w:r w:rsidR="00EB1955">
              <w:rPr>
                <w:noProof/>
                <w:webHidden/>
              </w:rPr>
              <w:t>6</w:t>
            </w:r>
            <w:r w:rsidR="00EB1955">
              <w:rPr>
                <w:noProof/>
                <w:webHidden/>
              </w:rPr>
              <w:fldChar w:fldCharType="end"/>
            </w:r>
          </w:hyperlink>
        </w:p>
        <w:p w14:paraId="3E2FE9A6" w14:textId="6C90DFEA" w:rsidR="00EB1955" w:rsidRDefault="0020682B">
          <w:pPr>
            <w:pStyle w:val="TOC3"/>
            <w:rPr>
              <w:rFonts w:cstheme="minorBidi"/>
              <w:noProof/>
              <w:sz w:val="22"/>
              <w:szCs w:val="22"/>
            </w:rPr>
          </w:pPr>
          <w:hyperlink w:anchor="_Toc74850928" w:history="1">
            <w:r w:rsidR="00EB1955" w:rsidRPr="008A7663">
              <w:rPr>
                <w:rStyle w:val="Hyperlink"/>
                <w:noProof/>
              </w:rPr>
              <w:t>2.1.2 Market environment</w:t>
            </w:r>
            <w:r w:rsidR="00EB1955">
              <w:rPr>
                <w:noProof/>
                <w:webHidden/>
              </w:rPr>
              <w:tab/>
            </w:r>
            <w:r w:rsidR="00EB1955">
              <w:rPr>
                <w:noProof/>
                <w:webHidden/>
              </w:rPr>
              <w:fldChar w:fldCharType="begin"/>
            </w:r>
            <w:r w:rsidR="00EB1955">
              <w:rPr>
                <w:noProof/>
                <w:webHidden/>
              </w:rPr>
              <w:instrText xml:space="preserve"> PAGEREF _Toc74850928 \h </w:instrText>
            </w:r>
            <w:r w:rsidR="00EB1955">
              <w:rPr>
                <w:noProof/>
                <w:webHidden/>
              </w:rPr>
            </w:r>
            <w:r w:rsidR="00EB1955">
              <w:rPr>
                <w:noProof/>
                <w:webHidden/>
              </w:rPr>
              <w:fldChar w:fldCharType="separate"/>
            </w:r>
            <w:r w:rsidR="00EB1955">
              <w:rPr>
                <w:noProof/>
                <w:webHidden/>
              </w:rPr>
              <w:t>8</w:t>
            </w:r>
            <w:r w:rsidR="00EB1955">
              <w:rPr>
                <w:noProof/>
                <w:webHidden/>
              </w:rPr>
              <w:fldChar w:fldCharType="end"/>
            </w:r>
          </w:hyperlink>
        </w:p>
        <w:p w14:paraId="4F23510E" w14:textId="20EA74FC" w:rsidR="00EB1955" w:rsidRDefault="0020682B">
          <w:pPr>
            <w:pStyle w:val="TOC3"/>
            <w:rPr>
              <w:rFonts w:cstheme="minorBidi"/>
              <w:noProof/>
              <w:sz w:val="22"/>
              <w:szCs w:val="22"/>
            </w:rPr>
          </w:pPr>
          <w:hyperlink w:anchor="_Toc74850929" w:history="1">
            <w:r w:rsidR="00EB1955" w:rsidRPr="008A7663">
              <w:rPr>
                <w:rStyle w:val="Hyperlink"/>
                <w:noProof/>
              </w:rPr>
              <w:t>2.1.3 Meaningful connectivity in the regional context</w:t>
            </w:r>
            <w:r w:rsidR="00EB1955">
              <w:rPr>
                <w:noProof/>
                <w:webHidden/>
              </w:rPr>
              <w:tab/>
            </w:r>
            <w:r w:rsidR="00EB1955">
              <w:rPr>
                <w:noProof/>
                <w:webHidden/>
              </w:rPr>
              <w:fldChar w:fldCharType="begin"/>
            </w:r>
            <w:r w:rsidR="00EB1955">
              <w:rPr>
                <w:noProof/>
                <w:webHidden/>
              </w:rPr>
              <w:instrText xml:space="preserve"> PAGEREF _Toc74850929 \h </w:instrText>
            </w:r>
            <w:r w:rsidR="00EB1955">
              <w:rPr>
                <w:noProof/>
                <w:webHidden/>
              </w:rPr>
            </w:r>
            <w:r w:rsidR="00EB1955">
              <w:rPr>
                <w:noProof/>
                <w:webHidden/>
              </w:rPr>
              <w:fldChar w:fldCharType="separate"/>
            </w:r>
            <w:r w:rsidR="00EB1955">
              <w:rPr>
                <w:noProof/>
                <w:webHidden/>
              </w:rPr>
              <w:t>9</w:t>
            </w:r>
            <w:r w:rsidR="00EB1955">
              <w:rPr>
                <w:noProof/>
                <w:webHidden/>
              </w:rPr>
              <w:fldChar w:fldCharType="end"/>
            </w:r>
          </w:hyperlink>
        </w:p>
        <w:p w14:paraId="18E9786E" w14:textId="3D8296E3" w:rsidR="00EB1955" w:rsidRDefault="0020682B">
          <w:pPr>
            <w:pStyle w:val="TOC3"/>
            <w:rPr>
              <w:rFonts w:cstheme="minorBidi"/>
              <w:noProof/>
              <w:sz w:val="22"/>
              <w:szCs w:val="22"/>
            </w:rPr>
          </w:pPr>
          <w:hyperlink w:anchor="_Toc74850930" w:history="1">
            <w:r w:rsidR="00EB1955" w:rsidRPr="008A7663">
              <w:rPr>
                <w:rStyle w:val="Hyperlink"/>
                <w:noProof/>
              </w:rPr>
              <w:t>2.1.4 Connectivity policies and regulations</w:t>
            </w:r>
            <w:r w:rsidR="00EB1955">
              <w:rPr>
                <w:noProof/>
                <w:webHidden/>
              </w:rPr>
              <w:tab/>
            </w:r>
            <w:r w:rsidR="00EB1955">
              <w:rPr>
                <w:noProof/>
                <w:webHidden/>
              </w:rPr>
              <w:fldChar w:fldCharType="begin"/>
            </w:r>
            <w:r w:rsidR="00EB1955">
              <w:rPr>
                <w:noProof/>
                <w:webHidden/>
              </w:rPr>
              <w:instrText xml:space="preserve"> PAGEREF _Toc74850930 \h </w:instrText>
            </w:r>
            <w:r w:rsidR="00EB1955">
              <w:rPr>
                <w:noProof/>
                <w:webHidden/>
              </w:rPr>
            </w:r>
            <w:r w:rsidR="00EB1955">
              <w:rPr>
                <w:noProof/>
                <w:webHidden/>
              </w:rPr>
              <w:fldChar w:fldCharType="separate"/>
            </w:r>
            <w:r w:rsidR="00EB1955">
              <w:rPr>
                <w:noProof/>
                <w:webHidden/>
              </w:rPr>
              <w:t>10</w:t>
            </w:r>
            <w:r w:rsidR="00EB1955">
              <w:rPr>
                <w:noProof/>
                <w:webHidden/>
              </w:rPr>
              <w:fldChar w:fldCharType="end"/>
            </w:r>
          </w:hyperlink>
        </w:p>
        <w:p w14:paraId="4FBDCE7B" w14:textId="42161C56" w:rsidR="00EB1955" w:rsidRDefault="0020682B">
          <w:pPr>
            <w:pStyle w:val="TOC3"/>
            <w:rPr>
              <w:rFonts w:cstheme="minorBidi"/>
              <w:noProof/>
              <w:sz w:val="22"/>
              <w:szCs w:val="22"/>
            </w:rPr>
          </w:pPr>
          <w:hyperlink w:anchor="_Toc74850931" w:history="1">
            <w:r w:rsidR="00EB1955" w:rsidRPr="008A7663">
              <w:rPr>
                <w:rStyle w:val="Hyperlink"/>
                <w:noProof/>
              </w:rPr>
              <w:t>2.1.5 Next generation infrastructure: 5G Development</w:t>
            </w:r>
            <w:r w:rsidR="00EB1955">
              <w:rPr>
                <w:noProof/>
                <w:webHidden/>
              </w:rPr>
              <w:tab/>
            </w:r>
            <w:r w:rsidR="00EB1955">
              <w:rPr>
                <w:noProof/>
                <w:webHidden/>
              </w:rPr>
              <w:fldChar w:fldCharType="begin"/>
            </w:r>
            <w:r w:rsidR="00EB1955">
              <w:rPr>
                <w:noProof/>
                <w:webHidden/>
              </w:rPr>
              <w:instrText xml:space="preserve"> PAGEREF _Toc74850931 \h </w:instrText>
            </w:r>
            <w:r w:rsidR="00EB1955">
              <w:rPr>
                <w:noProof/>
                <w:webHidden/>
              </w:rPr>
            </w:r>
            <w:r w:rsidR="00EB1955">
              <w:rPr>
                <w:noProof/>
                <w:webHidden/>
              </w:rPr>
              <w:fldChar w:fldCharType="separate"/>
            </w:r>
            <w:r w:rsidR="00EB1955">
              <w:rPr>
                <w:noProof/>
                <w:webHidden/>
              </w:rPr>
              <w:t>12</w:t>
            </w:r>
            <w:r w:rsidR="00EB1955">
              <w:rPr>
                <w:noProof/>
                <w:webHidden/>
              </w:rPr>
              <w:fldChar w:fldCharType="end"/>
            </w:r>
          </w:hyperlink>
        </w:p>
        <w:p w14:paraId="3FA71934" w14:textId="078A02B6" w:rsidR="00EB1955" w:rsidRDefault="0020682B">
          <w:pPr>
            <w:pStyle w:val="TOC3"/>
            <w:rPr>
              <w:rFonts w:cstheme="minorBidi"/>
              <w:noProof/>
              <w:sz w:val="22"/>
              <w:szCs w:val="22"/>
            </w:rPr>
          </w:pPr>
          <w:hyperlink w:anchor="_Toc74850932" w:history="1">
            <w:r w:rsidR="00EB1955" w:rsidRPr="008A7663">
              <w:rPr>
                <w:rStyle w:val="Hyperlink"/>
                <w:noProof/>
              </w:rPr>
              <w:t>2.1.6 Increasing Infrastructure reliability through cybersecurity</w:t>
            </w:r>
            <w:r w:rsidR="00EB1955">
              <w:rPr>
                <w:noProof/>
                <w:webHidden/>
              </w:rPr>
              <w:tab/>
            </w:r>
            <w:r w:rsidR="00EB1955">
              <w:rPr>
                <w:noProof/>
                <w:webHidden/>
              </w:rPr>
              <w:fldChar w:fldCharType="begin"/>
            </w:r>
            <w:r w:rsidR="00EB1955">
              <w:rPr>
                <w:noProof/>
                <w:webHidden/>
              </w:rPr>
              <w:instrText xml:space="preserve"> PAGEREF _Toc74850932 \h </w:instrText>
            </w:r>
            <w:r w:rsidR="00EB1955">
              <w:rPr>
                <w:noProof/>
                <w:webHidden/>
              </w:rPr>
            </w:r>
            <w:r w:rsidR="00EB1955">
              <w:rPr>
                <w:noProof/>
                <w:webHidden/>
              </w:rPr>
              <w:fldChar w:fldCharType="separate"/>
            </w:r>
            <w:r w:rsidR="00EB1955">
              <w:rPr>
                <w:noProof/>
                <w:webHidden/>
              </w:rPr>
              <w:t>14</w:t>
            </w:r>
            <w:r w:rsidR="00EB1955">
              <w:rPr>
                <w:noProof/>
                <w:webHidden/>
              </w:rPr>
              <w:fldChar w:fldCharType="end"/>
            </w:r>
          </w:hyperlink>
        </w:p>
        <w:p w14:paraId="087EB58A" w14:textId="01D29F27" w:rsidR="00EB1955" w:rsidRDefault="0020682B">
          <w:pPr>
            <w:pStyle w:val="TOC2"/>
            <w:tabs>
              <w:tab w:val="left" w:pos="960"/>
              <w:tab w:val="right" w:leader="dot" w:pos="9350"/>
            </w:tabs>
            <w:rPr>
              <w:rFonts w:cstheme="minorBidi"/>
              <w:b w:val="0"/>
              <w:bCs w:val="0"/>
              <w:noProof/>
            </w:rPr>
          </w:pPr>
          <w:hyperlink w:anchor="_Toc74850933" w:history="1">
            <w:r w:rsidR="00EB1955" w:rsidRPr="008A7663">
              <w:rPr>
                <w:rStyle w:val="Hyperlink"/>
                <w:noProof/>
              </w:rPr>
              <w:t xml:space="preserve">2.2 </w:t>
            </w:r>
            <w:r w:rsidR="00EB1955">
              <w:rPr>
                <w:rFonts w:cstheme="minorBidi"/>
                <w:b w:val="0"/>
                <w:bCs w:val="0"/>
                <w:noProof/>
              </w:rPr>
              <w:tab/>
            </w:r>
            <w:r w:rsidR="00EB1955" w:rsidRPr="008A7663">
              <w:rPr>
                <w:rStyle w:val="Hyperlink"/>
                <w:noProof/>
              </w:rPr>
              <w:t>Building Block 2 - People-centric digital transformation</w:t>
            </w:r>
            <w:r w:rsidR="00EB1955">
              <w:rPr>
                <w:noProof/>
                <w:webHidden/>
              </w:rPr>
              <w:tab/>
            </w:r>
            <w:r w:rsidR="00EB1955">
              <w:rPr>
                <w:noProof/>
                <w:webHidden/>
              </w:rPr>
              <w:fldChar w:fldCharType="begin"/>
            </w:r>
            <w:r w:rsidR="00EB1955">
              <w:rPr>
                <w:noProof/>
                <w:webHidden/>
              </w:rPr>
              <w:instrText xml:space="preserve"> PAGEREF _Toc74850933 \h </w:instrText>
            </w:r>
            <w:r w:rsidR="00EB1955">
              <w:rPr>
                <w:noProof/>
                <w:webHidden/>
              </w:rPr>
            </w:r>
            <w:r w:rsidR="00EB1955">
              <w:rPr>
                <w:noProof/>
                <w:webHidden/>
              </w:rPr>
              <w:fldChar w:fldCharType="separate"/>
            </w:r>
            <w:r w:rsidR="00EB1955">
              <w:rPr>
                <w:noProof/>
                <w:webHidden/>
              </w:rPr>
              <w:t>15</w:t>
            </w:r>
            <w:r w:rsidR="00EB1955">
              <w:rPr>
                <w:noProof/>
                <w:webHidden/>
              </w:rPr>
              <w:fldChar w:fldCharType="end"/>
            </w:r>
          </w:hyperlink>
        </w:p>
        <w:p w14:paraId="000713DA" w14:textId="3182A3AF" w:rsidR="00EB1955" w:rsidRDefault="0020682B">
          <w:pPr>
            <w:pStyle w:val="TOC3"/>
            <w:rPr>
              <w:rFonts w:cstheme="minorBidi"/>
              <w:noProof/>
              <w:sz w:val="22"/>
              <w:szCs w:val="22"/>
            </w:rPr>
          </w:pPr>
          <w:hyperlink w:anchor="_Toc74850934" w:history="1">
            <w:r w:rsidR="00EB1955" w:rsidRPr="008A7663">
              <w:rPr>
                <w:rStyle w:val="Hyperlink"/>
                <w:noProof/>
              </w:rPr>
              <w:t>2.2.1 Digital skills development</w:t>
            </w:r>
            <w:r w:rsidR="00EB1955">
              <w:rPr>
                <w:noProof/>
                <w:webHidden/>
              </w:rPr>
              <w:tab/>
            </w:r>
            <w:r w:rsidR="00EB1955">
              <w:rPr>
                <w:noProof/>
                <w:webHidden/>
              </w:rPr>
              <w:fldChar w:fldCharType="begin"/>
            </w:r>
            <w:r w:rsidR="00EB1955">
              <w:rPr>
                <w:noProof/>
                <w:webHidden/>
              </w:rPr>
              <w:instrText xml:space="preserve"> PAGEREF _Toc74850934 \h </w:instrText>
            </w:r>
            <w:r w:rsidR="00EB1955">
              <w:rPr>
                <w:noProof/>
                <w:webHidden/>
              </w:rPr>
            </w:r>
            <w:r w:rsidR="00EB1955">
              <w:rPr>
                <w:noProof/>
                <w:webHidden/>
              </w:rPr>
              <w:fldChar w:fldCharType="separate"/>
            </w:r>
            <w:r w:rsidR="00EB1955">
              <w:rPr>
                <w:noProof/>
                <w:webHidden/>
              </w:rPr>
              <w:t>15</w:t>
            </w:r>
            <w:r w:rsidR="00EB1955">
              <w:rPr>
                <w:noProof/>
                <w:webHidden/>
              </w:rPr>
              <w:fldChar w:fldCharType="end"/>
            </w:r>
          </w:hyperlink>
        </w:p>
        <w:p w14:paraId="2A9145D3" w14:textId="396F52F1" w:rsidR="00EB1955" w:rsidRDefault="0020682B">
          <w:pPr>
            <w:pStyle w:val="TOC3"/>
            <w:rPr>
              <w:rFonts w:cstheme="minorBidi"/>
              <w:noProof/>
              <w:sz w:val="22"/>
              <w:szCs w:val="22"/>
            </w:rPr>
          </w:pPr>
          <w:hyperlink w:anchor="_Toc74850935" w:history="1">
            <w:r w:rsidR="00EB1955" w:rsidRPr="008A7663">
              <w:rPr>
                <w:rStyle w:val="Hyperlink"/>
                <w:noProof/>
              </w:rPr>
              <w:t>2.2.2 Bridging the gendered digital divide – Women and girls in the ICT and STEAM sectors</w:t>
            </w:r>
            <w:r w:rsidR="00EB1955">
              <w:rPr>
                <w:noProof/>
                <w:webHidden/>
              </w:rPr>
              <w:tab/>
            </w:r>
            <w:r w:rsidR="00EB1955">
              <w:rPr>
                <w:noProof/>
                <w:webHidden/>
              </w:rPr>
              <w:fldChar w:fldCharType="begin"/>
            </w:r>
            <w:r w:rsidR="00EB1955">
              <w:rPr>
                <w:noProof/>
                <w:webHidden/>
              </w:rPr>
              <w:instrText xml:space="preserve"> PAGEREF _Toc74850935 \h </w:instrText>
            </w:r>
            <w:r w:rsidR="00EB1955">
              <w:rPr>
                <w:noProof/>
                <w:webHidden/>
              </w:rPr>
            </w:r>
            <w:r w:rsidR="00EB1955">
              <w:rPr>
                <w:noProof/>
                <w:webHidden/>
              </w:rPr>
              <w:fldChar w:fldCharType="separate"/>
            </w:r>
            <w:r w:rsidR="00EB1955">
              <w:rPr>
                <w:noProof/>
                <w:webHidden/>
              </w:rPr>
              <w:t>17</w:t>
            </w:r>
            <w:r w:rsidR="00EB1955">
              <w:rPr>
                <w:noProof/>
                <w:webHidden/>
              </w:rPr>
              <w:fldChar w:fldCharType="end"/>
            </w:r>
          </w:hyperlink>
        </w:p>
        <w:p w14:paraId="223068E7" w14:textId="6BBBC609" w:rsidR="00EB1955" w:rsidRDefault="0020682B">
          <w:pPr>
            <w:pStyle w:val="TOC3"/>
            <w:rPr>
              <w:rFonts w:cstheme="minorBidi"/>
              <w:noProof/>
              <w:sz w:val="22"/>
              <w:szCs w:val="22"/>
            </w:rPr>
          </w:pPr>
          <w:hyperlink w:anchor="_Toc74850936" w:history="1">
            <w:r w:rsidR="00EB1955" w:rsidRPr="008A7663">
              <w:rPr>
                <w:rStyle w:val="Hyperlink"/>
                <w:noProof/>
              </w:rPr>
              <w:t>2.2.3 Digital inclusion and ICT accessibility for persons with disabilities</w:t>
            </w:r>
            <w:r w:rsidR="00EB1955">
              <w:rPr>
                <w:noProof/>
                <w:webHidden/>
              </w:rPr>
              <w:tab/>
            </w:r>
            <w:r w:rsidR="00EB1955">
              <w:rPr>
                <w:noProof/>
                <w:webHidden/>
              </w:rPr>
              <w:fldChar w:fldCharType="begin"/>
            </w:r>
            <w:r w:rsidR="00EB1955">
              <w:rPr>
                <w:noProof/>
                <w:webHidden/>
              </w:rPr>
              <w:instrText xml:space="preserve"> PAGEREF _Toc74850936 \h </w:instrText>
            </w:r>
            <w:r w:rsidR="00EB1955">
              <w:rPr>
                <w:noProof/>
                <w:webHidden/>
              </w:rPr>
            </w:r>
            <w:r w:rsidR="00EB1955">
              <w:rPr>
                <w:noProof/>
                <w:webHidden/>
              </w:rPr>
              <w:fldChar w:fldCharType="separate"/>
            </w:r>
            <w:r w:rsidR="00EB1955">
              <w:rPr>
                <w:noProof/>
                <w:webHidden/>
              </w:rPr>
              <w:t>19</w:t>
            </w:r>
            <w:r w:rsidR="00EB1955">
              <w:rPr>
                <w:noProof/>
                <w:webHidden/>
              </w:rPr>
              <w:fldChar w:fldCharType="end"/>
            </w:r>
          </w:hyperlink>
        </w:p>
        <w:p w14:paraId="36351E57" w14:textId="329100CF" w:rsidR="00EB1955" w:rsidRDefault="0020682B">
          <w:pPr>
            <w:pStyle w:val="TOC3"/>
            <w:rPr>
              <w:rFonts w:cstheme="minorBidi"/>
              <w:noProof/>
              <w:sz w:val="22"/>
              <w:szCs w:val="22"/>
            </w:rPr>
          </w:pPr>
          <w:hyperlink w:anchor="_Toc74850937" w:history="1">
            <w:r w:rsidR="00EB1955" w:rsidRPr="008A7663">
              <w:rPr>
                <w:rStyle w:val="Hyperlink"/>
                <w:noProof/>
              </w:rPr>
              <w:t>2.2.4 Building trust and confidence in the use of ICTs for children and youth</w:t>
            </w:r>
            <w:r w:rsidR="00EB1955">
              <w:rPr>
                <w:noProof/>
                <w:webHidden/>
              </w:rPr>
              <w:tab/>
            </w:r>
            <w:r w:rsidR="00EB1955">
              <w:rPr>
                <w:noProof/>
                <w:webHidden/>
              </w:rPr>
              <w:fldChar w:fldCharType="begin"/>
            </w:r>
            <w:r w:rsidR="00EB1955">
              <w:rPr>
                <w:noProof/>
                <w:webHidden/>
              </w:rPr>
              <w:instrText xml:space="preserve"> PAGEREF _Toc74850937 \h </w:instrText>
            </w:r>
            <w:r w:rsidR="00EB1955">
              <w:rPr>
                <w:noProof/>
                <w:webHidden/>
              </w:rPr>
            </w:r>
            <w:r w:rsidR="00EB1955">
              <w:rPr>
                <w:noProof/>
                <w:webHidden/>
              </w:rPr>
              <w:fldChar w:fldCharType="separate"/>
            </w:r>
            <w:r w:rsidR="00EB1955">
              <w:rPr>
                <w:noProof/>
                <w:webHidden/>
              </w:rPr>
              <w:t>21</w:t>
            </w:r>
            <w:r w:rsidR="00EB1955">
              <w:rPr>
                <w:noProof/>
                <w:webHidden/>
              </w:rPr>
              <w:fldChar w:fldCharType="end"/>
            </w:r>
          </w:hyperlink>
        </w:p>
        <w:p w14:paraId="2ED9C0D4" w14:textId="4DCBE934" w:rsidR="00EB1955" w:rsidRDefault="0020682B">
          <w:pPr>
            <w:pStyle w:val="TOC2"/>
            <w:tabs>
              <w:tab w:val="left" w:pos="960"/>
              <w:tab w:val="right" w:leader="dot" w:pos="9350"/>
            </w:tabs>
            <w:rPr>
              <w:rFonts w:cstheme="minorBidi"/>
              <w:b w:val="0"/>
              <w:bCs w:val="0"/>
              <w:noProof/>
            </w:rPr>
          </w:pPr>
          <w:hyperlink w:anchor="_Toc74850938" w:history="1">
            <w:r w:rsidR="00EB1955" w:rsidRPr="008A7663">
              <w:rPr>
                <w:rStyle w:val="Hyperlink"/>
                <w:noProof/>
              </w:rPr>
              <w:t xml:space="preserve">2.3 </w:t>
            </w:r>
            <w:r w:rsidR="00EB1955">
              <w:rPr>
                <w:rFonts w:cstheme="minorBidi"/>
                <w:b w:val="0"/>
                <w:bCs w:val="0"/>
                <w:noProof/>
              </w:rPr>
              <w:tab/>
            </w:r>
            <w:r w:rsidR="00EB1955" w:rsidRPr="008A7663">
              <w:rPr>
                <w:rStyle w:val="Hyperlink"/>
                <w:noProof/>
              </w:rPr>
              <w:t>Building block 3 - Government centric digital transformation</w:t>
            </w:r>
            <w:r w:rsidR="00EB1955">
              <w:rPr>
                <w:noProof/>
                <w:webHidden/>
              </w:rPr>
              <w:tab/>
            </w:r>
            <w:r w:rsidR="00EB1955">
              <w:rPr>
                <w:noProof/>
                <w:webHidden/>
              </w:rPr>
              <w:fldChar w:fldCharType="begin"/>
            </w:r>
            <w:r w:rsidR="00EB1955">
              <w:rPr>
                <w:noProof/>
                <w:webHidden/>
              </w:rPr>
              <w:instrText xml:space="preserve"> PAGEREF _Toc74850938 \h </w:instrText>
            </w:r>
            <w:r w:rsidR="00EB1955">
              <w:rPr>
                <w:noProof/>
                <w:webHidden/>
              </w:rPr>
            </w:r>
            <w:r w:rsidR="00EB1955">
              <w:rPr>
                <w:noProof/>
                <w:webHidden/>
              </w:rPr>
              <w:fldChar w:fldCharType="separate"/>
            </w:r>
            <w:r w:rsidR="00EB1955">
              <w:rPr>
                <w:noProof/>
                <w:webHidden/>
              </w:rPr>
              <w:t>23</w:t>
            </w:r>
            <w:r w:rsidR="00EB1955">
              <w:rPr>
                <w:noProof/>
                <w:webHidden/>
              </w:rPr>
              <w:fldChar w:fldCharType="end"/>
            </w:r>
          </w:hyperlink>
        </w:p>
        <w:p w14:paraId="72C75AF5" w14:textId="4CAF546A" w:rsidR="00EB1955" w:rsidRDefault="0020682B">
          <w:pPr>
            <w:pStyle w:val="TOC3"/>
            <w:rPr>
              <w:rFonts w:cstheme="minorBidi"/>
              <w:noProof/>
              <w:sz w:val="22"/>
              <w:szCs w:val="22"/>
            </w:rPr>
          </w:pPr>
          <w:hyperlink w:anchor="_Toc74850939" w:history="1">
            <w:r w:rsidR="00EB1955" w:rsidRPr="008A7663">
              <w:rPr>
                <w:rStyle w:val="Hyperlink"/>
                <w:noProof/>
              </w:rPr>
              <w:t>2.3.1 E-government policy</w:t>
            </w:r>
            <w:r w:rsidR="00EB1955">
              <w:rPr>
                <w:noProof/>
                <w:webHidden/>
              </w:rPr>
              <w:tab/>
            </w:r>
            <w:r w:rsidR="00EB1955">
              <w:rPr>
                <w:noProof/>
                <w:webHidden/>
              </w:rPr>
              <w:fldChar w:fldCharType="begin"/>
            </w:r>
            <w:r w:rsidR="00EB1955">
              <w:rPr>
                <w:noProof/>
                <w:webHidden/>
              </w:rPr>
              <w:instrText xml:space="preserve"> PAGEREF _Toc74850939 \h </w:instrText>
            </w:r>
            <w:r w:rsidR="00EB1955">
              <w:rPr>
                <w:noProof/>
                <w:webHidden/>
              </w:rPr>
            </w:r>
            <w:r w:rsidR="00EB1955">
              <w:rPr>
                <w:noProof/>
                <w:webHidden/>
              </w:rPr>
              <w:fldChar w:fldCharType="separate"/>
            </w:r>
            <w:r w:rsidR="00EB1955">
              <w:rPr>
                <w:noProof/>
                <w:webHidden/>
              </w:rPr>
              <w:t>23</w:t>
            </w:r>
            <w:r w:rsidR="00EB1955">
              <w:rPr>
                <w:noProof/>
                <w:webHidden/>
              </w:rPr>
              <w:fldChar w:fldCharType="end"/>
            </w:r>
          </w:hyperlink>
        </w:p>
        <w:p w14:paraId="64F94FF4" w14:textId="4DC85615" w:rsidR="00EB1955" w:rsidRDefault="0020682B">
          <w:pPr>
            <w:pStyle w:val="TOC3"/>
            <w:rPr>
              <w:rFonts w:cstheme="minorBidi"/>
              <w:noProof/>
              <w:sz w:val="22"/>
              <w:szCs w:val="22"/>
            </w:rPr>
          </w:pPr>
          <w:hyperlink w:anchor="_Toc74850940" w:history="1">
            <w:r w:rsidR="00EB1955" w:rsidRPr="008A7663">
              <w:rPr>
                <w:rStyle w:val="Hyperlink"/>
                <w:noProof/>
              </w:rPr>
              <w:t>2.3.2 ICTs and the education system</w:t>
            </w:r>
            <w:r w:rsidR="00EB1955">
              <w:rPr>
                <w:noProof/>
                <w:webHidden/>
              </w:rPr>
              <w:tab/>
            </w:r>
            <w:r w:rsidR="00EB1955">
              <w:rPr>
                <w:noProof/>
                <w:webHidden/>
              </w:rPr>
              <w:fldChar w:fldCharType="begin"/>
            </w:r>
            <w:r w:rsidR="00EB1955">
              <w:rPr>
                <w:noProof/>
                <w:webHidden/>
              </w:rPr>
              <w:instrText xml:space="preserve"> PAGEREF _Toc74850940 \h </w:instrText>
            </w:r>
            <w:r w:rsidR="00EB1955">
              <w:rPr>
                <w:noProof/>
                <w:webHidden/>
              </w:rPr>
            </w:r>
            <w:r w:rsidR="00EB1955">
              <w:rPr>
                <w:noProof/>
                <w:webHidden/>
              </w:rPr>
              <w:fldChar w:fldCharType="separate"/>
            </w:r>
            <w:r w:rsidR="00EB1955">
              <w:rPr>
                <w:noProof/>
                <w:webHidden/>
              </w:rPr>
              <w:t>25</w:t>
            </w:r>
            <w:r w:rsidR="00EB1955">
              <w:rPr>
                <w:noProof/>
                <w:webHidden/>
              </w:rPr>
              <w:fldChar w:fldCharType="end"/>
            </w:r>
          </w:hyperlink>
        </w:p>
        <w:p w14:paraId="4B7D33A8" w14:textId="7B4E38A0" w:rsidR="00EB1955" w:rsidRDefault="0020682B">
          <w:pPr>
            <w:pStyle w:val="TOC2"/>
            <w:tabs>
              <w:tab w:val="left" w:pos="960"/>
              <w:tab w:val="right" w:leader="dot" w:pos="9350"/>
            </w:tabs>
            <w:rPr>
              <w:rFonts w:cstheme="minorBidi"/>
              <w:b w:val="0"/>
              <w:bCs w:val="0"/>
              <w:noProof/>
            </w:rPr>
          </w:pPr>
          <w:hyperlink w:anchor="_Toc74850941" w:history="1">
            <w:r w:rsidR="00EB1955" w:rsidRPr="008A7663">
              <w:rPr>
                <w:rStyle w:val="Hyperlink"/>
                <w:noProof/>
              </w:rPr>
              <w:t xml:space="preserve">2.4 </w:t>
            </w:r>
            <w:r w:rsidR="00EB1955">
              <w:rPr>
                <w:rFonts w:cstheme="minorBidi"/>
                <w:b w:val="0"/>
                <w:bCs w:val="0"/>
                <w:noProof/>
              </w:rPr>
              <w:tab/>
            </w:r>
            <w:r w:rsidR="00EB1955" w:rsidRPr="008A7663">
              <w:rPr>
                <w:rStyle w:val="Hyperlink"/>
                <w:noProof/>
              </w:rPr>
              <w:t>Building block 4 - Sector-centric digital transformation</w:t>
            </w:r>
            <w:r w:rsidR="00EB1955">
              <w:rPr>
                <w:noProof/>
                <w:webHidden/>
              </w:rPr>
              <w:tab/>
            </w:r>
            <w:r w:rsidR="00EB1955">
              <w:rPr>
                <w:noProof/>
                <w:webHidden/>
              </w:rPr>
              <w:fldChar w:fldCharType="begin"/>
            </w:r>
            <w:r w:rsidR="00EB1955">
              <w:rPr>
                <w:noProof/>
                <w:webHidden/>
              </w:rPr>
              <w:instrText xml:space="preserve"> PAGEREF _Toc74850941 \h </w:instrText>
            </w:r>
            <w:r w:rsidR="00EB1955">
              <w:rPr>
                <w:noProof/>
                <w:webHidden/>
              </w:rPr>
            </w:r>
            <w:r w:rsidR="00EB1955">
              <w:rPr>
                <w:noProof/>
                <w:webHidden/>
              </w:rPr>
              <w:fldChar w:fldCharType="separate"/>
            </w:r>
            <w:r w:rsidR="00EB1955">
              <w:rPr>
                <w:noProof/>
                <w:webHidden/>
              </w:rPr>
              <w:t>27</w:t>
            </w:r>
            <w:r w:rsidR="00EB1955">
              <w:rPr>
                <w:noProof/>
                <w:webHidden/>
              </w:rPr>
              <w:fldChar w:fldCharType="end"/>
            </w:r>
          </w:hyperlink>
        </w:p>
        <w:p w14:paraId="1D33A314" w14:textId="1310F0E7" w:rsidR="00EB1955" w:rsidRDefault="0020682B">
          <w:pPr>
            <w:pStyle w:val="TOC3"/>
            <w:rPr>
              <w:rFonts w:cstheme="minorBidi"/>
              <w:noProof/>
              <w:sz w:val="22"/>
              <w:szCs w:val="22"/>
            </w:rPr>
          </w:pPr>
          <w:hyperlink w:anchor="_Toc74850942" w:history="1">
            <w:r w:rsidR="00EB1955" w:rsidRPr="008A7663">
              <w:rPr>
                <w:rStyle w:val="Hyperlink"/>
                <w:noProof/>
              </w:rPr>
              <w:t>2.4.1 Digital agriculture</w:t>
            </w:r>
            <w:r w:rsidR="00EB1955">
              <w:rPr>
                <w:noProof/>
                <w:webHidden/>
              </w:rPr>
              <w:tab/>
            </w:r>
            <w:r w:rsidR="00EB1955">
              <w:rPr>
                <w:noProof/>
                <w:webHidden/>
              </w:rPr>
              <w:fldChar w:fldCharType="begin"/>
            </w:r>
            <w:r w:rsidR="00EB1955">
              <w:rPr>
                <w:noProof/>
                <w:webHidden/>
              </w:rPr>
              <w:instrText xml:space="preserve"> PAGEREF _Toc74850942 \h </w:instrText>
            </w:r>
            <w:r w:rsidR="00EB1955">
              <w:rPr>
                <w:noProof/>
                <w:webHidden/>
              </w:rPr>
            </w:r>
            <w:r w:rsidR="00EB1955">
              <w:rPr>
                <w:noProof/>
                <w:webHidden/>
              </w:rPr>
              <w:fldChar w:fldCharType="separate"/>
            </w:r>
            <w:r w:rsidR="00EB1955">
              <w:rPr>
                <w:noProof/>
                <w:webHidden/>
              </w:rPr>
              <w:t>27</w:t>
            </w:r>
            <w:r w:rsidR="00EB1955">
              <w:rPr>
                <w:noProof/>
                <w:webHidden/>
              </w:rPr>
              <w:fldChar w:fldCharType="end"/>
            </w:r>
          </w:hyperlink>
        </w:p>
        <w:p w14:paraId="6103F115" w14:textId="2DAB376F" w:rsidR="00EB1955" w:rsidRDefault="0020682B">
          <w:pPr>
            <w:pStyle w:val="TOC3"/>
            <w:rPr>
              <w:rFonts w:cstheme="minorBidi"/>
              <w:noProof/>
              <w:sz w:val="22"/>
              <w:szCs w:val="22"/>
            </w:rPr>
          </w:pPr>
          <w:hyperlink w:anchor="_Toc74850943" w:history="1">
            <w:r w:rsidR="00EB1955" w:rsidRPr="008A7663">
              <w:rPr>
                <w:rStyle w:val="Hyperlink"/>
                <w:noProof/>
              </w:rPr>
              <w:t>2.4.2 Digital health</w:t>
            </w:r>
            <w:r w:rsidR="00EB1955">
              <w:rPr>
                <w:noProof/>
                <w:webHidden/>
              </w:rPr>
              <w:tab/>
            </w:r>
            <w:r w:rsidR="00EB1955">
              <w:rPr>
                <w:noProof/>
                <w:webHidden/>
              </w:rPr>
              <w:fldChar w:fldCharType="begin"/>
            </w:r>
            <w:r w:rsidR="00EB1955">
              <w:rPr>
                <w:noProof/>
                <w:webHidden/>
              </w:rPr>
              <w:instrText xml:space="preserve"> PAGEREF _Toc74850943 \h </w:instrText>
            </w:r>
            <w:r w:rsidR="00EB1955">
              <w:rPr>
                <w:noProof/>
                <w:webHidden/>
              </w:rPr>
            </w:r>
            <w:r w:rsidR="00EB1955">
              <w:rPr>
                <w:noProof/>
                <w:webHidden/>
              </w:rPr>
              <w:fldChar w:fldCharType="separate"/>
            </w:r>
            <w:r w:rsidR="00EB1955">
              <w:rPr>
                <w:noProof/>
                <w:webHidden/>
              </w:rPr>
              <w:t>29</w:t>
            </w:r>
            <w:r w:rsidR="00EB1955">
              <w:rPr>
                <w:noProof/>
                <w:webHidden/>
              </w:rPr>
              <w:fldChar w:fldCharType="end"/>
            </w:r>
          </w:hyperlink>
        </w:p>
        <w:p w14:paraId="6F44A305" w14:textId="17DFF724" w:rsidR="00EB1955" w:rsidRDefault="0020682B">
          <w:pPr>
            <w:pStyle w:val="TOC3"/>
            <w:rPr>
              <w:rFonts w:cstheme="minorBidi"/>
              <w:noProof/>
              <w:sz w:val="22"/>
              <w:szCs w:val="22"/>
            </w:rPr>
          </w:pPr>
          <w:hyperlink w:anchor="_Toc74850944" w:history="1">
            <w:r w:rsidR="00EB1955" w:rsidRPr="008A7663">
              <w:rPr>
                <w:rStyle w:val="Hyperlink"/>
                <w:noProof/>
              </w:rPr>
              <w:t>2.4.3 The role of SMEs</w:t>
            </w:r>
            <w:r w:rsidR="00EB1955">
              <w:rPr>
                <w:noProof/>
                <w:webHidden/>
              </w:rPr>
              <w:tab/>
            </w:r>
            <w:r w:rsidR="00EB1955">
              <w:rPr>
                <w:noProof/>
                <w:webHidden/>
              </w:rPr>
              <w:fldChar w:fldCharType="begin"/>
            </w:r>
            <w:r w:rsidR="00EB1955">
              <w:rPr>
                <w:noProof/>
                <w:webHidden/>
              </w:rPr>
              <w:instrText xml:space="preserve"> PAGEREF _Toc74850944 \h </w:instrText>
            </w:r>
            <w:r w:rsidR="00EB1955">
              <w:rPr>
                <w:noProof/>
                <w:webHidden/>
              </w:rPr>
            </w:r>
            <w:r w:rsidR="00EB1955">
              <w:rPr>
                <w:noProof/>
                <w:webHidden/>
              </w:rPr>
              <w:fldChar w:fldCharType="separate"/>
            </w:r>
            <w:r w:rsidR="00EB1955">
              <w:rPr>
                <w:noProof/>
                <w:webHidden/>
              </w:rPr>
              <w:t>31</w:t>
            </w:r>
            <w:r w:rsidR="00EB1955">
              <w:rPr>
                <w:noProof/>
                <w:webHidden/>
              </w:rPr>
              <w:fldChar w:fldCharType="end"/>
            </w:r>
          </w:hyperlink>
        </w:p>
        <w:p w14:paraId="372EE257" w14:textId="402018FB" w:rsidR="00EB1955" w:rsidRDefault="0020682B">
          <w:pPr>
            <w:pStyle w:val="TOC2"/>
            <w:tabs>
              <w:tab w:val="right" w:leader="dot" w:pos="9350"/>
            </w:tabs>
            <w:rPr>
              <w:rFonts w:cstheme="minorBidi"/>
              <w:b w:val="0"/>
              <w:bCs w:val="0"/>
              <w:noProof/>
            </w:rPr>
          </w:pPr>
          <w:hyperlink w:anchor="_Toc74850945" w:history="1">
            <w:r w:rsidR="00EB1955" w:rsidRPr="008A7663">
              <w:rPr>
                <w:rStyle w:val="Hyperlink"/>
                <w:noProof/>
              </w:rPr>
              <w:t>2.5 Building block 5 - Digital centric innovation ecosystem</w:t>
            </w:r>
            <w:r w:rsidR="00EB1955">
              <w:rPr>
                <w:noProof/>
                <w:webHidden/>
              </w:rPr>
              <w:tab/>
            </w:r>
            <w:r w:rsidR="00EB1955">
              <w:rPr>
                <w:noProof/>
                <w:webHidden/>
              </w:rPr>
              <w:fldChar w:fldCharType="begin"/>
            </w:r>
            <w:r w:rsidR="00EB1955">
              <w:rPr>
                <w:noProof/>
                <w:webHidden/>
              </w:rPr>
              <w:instrText xml:space="preserve"> PAGEREF _Toc74850945 \h </w:instrText>
            </w:r>
            <w:r w:rsidR="00EB1955">
              <w:rPr>
                <w:noProof/>
                <w:webHidden/>
              </w:rPr>
            </w:r>
            <w:r w:rsidR="00EB1955">
              <w:rPr>
                <w:noProof/>
                <w:webHidden/>
              </w:rPr>
              <w:fldChar w:fldCharType="separate"/>
            </w:r>
            <w:r w:rsidR="00EB1955">
              <w:rPr>
                <w:noProof/>
                <w:webHidden/>
              </w:rPr>
              <w:t>33</w:t>
            </w:r>
            <w:r w:rsidR="00EB1955">
              <w:rPr>
                <w:noProof/>
                <w:webHidden/>
              </w:rPr>
              <w:fldChar w:fldCharType="end"/>
            </w:r>
          </w:hyperlink>
        </w:p>
        <w:p w14:paraId="1CADF042" w14:textId="528F81CE" w:rsidR="00EB1955" w:rsidRDefault="0020682B">
          <w:pPr>
            <w:pStyle w:val="TOC3"/>
            <w:rPr>
              <w:rFonts w:cstheme="minorBidi"/>
              <w:noProof/>
              <w:sz w:val="22"/>
              <w:szCs w:val="22"/>
            </w:rPr>
          </w:pPr>
          <w:hyperlink w:anchor="_Toc74850946" w:history="1">
            <w:r w:rsidR="00EB1955" w:rsidRPr="008A7663">
              <w:rPr>
                <w:rStyle w:val="Hyperlink"/>
                <w:noProof/>
              </w:rPr>
              <w:t>2.5.1 Digital innovation ecosystem</w:t>
            </w:r>
            <w:r w:rsidR="00EB1955">
              <w:rPr>
                <w:noProof/>
                <w:webHidden/>
              </w:rPr>
              <w:tab/>
            </w:r>
            <w:r w:rsidR="00EB1955">
              <w:rPr>
                <w:noProof/>
                <w:webHidden/>
              </w:rPr>
              <w:fldChar w:fldCharType="begin"/>
            </w:r>
            <w:r w:rsidR="00EB1955">
              <w:rPr>
                <w:noProof/>
                <w:webHidden/>
              </w:rPr>
              <w:instrText xml:space="preserve"> PAGEREF _Toc74850946 \h </w:instrText>
            </w:r>
            <w:r w:rsidR="00EB1955">
              <w:rPr>
                <w:noProof/>
                <w:webHidden/>
              </w:rPr>
            </w:r>
            <w:r w:rsidR="00EB1955">
              <w:rPr>
                <w:noProof/>
                <w:webHidden/>
              </w:rPr>
              <w:fldChar w:fldCharType="separate"/>
            </w:r>
            <w:r w:rsidR="00EB1955">
              <w:rPr>
                <w:noProof/>
                <w:webHidden/>
              </w:rPr>
              <w:t>33</w:t>
            </w:r>
            <w:r w:rsidR="00EB1955">
              <w:rPr>
                <w:noProof/>
                <w:webHidden/>
              </w:rPr>
              <w:fldChar w:fldCharType="end"/>
            </w:r>
          </w:hyperlink>
        </w:p>
        <w:p w14:paraId="57E6E6D9" w14:textId="11DC4070" w:rsidR="00EB1955" w:rsidRDefault="0020682B">
          <w:pPr>
            <w:pStyle w:val="TOC1"/>
            <w:tabs>
              <w:tab w:val="left" w:pos="480"/>
            </w:tabs>
            <w:rPr>
              <w:rFonts w:cstheme="minorBidi"/>
              <w:b w:val="0"/>
            </w:rPr>
          </w:pPr>
          <w:hyperlink w:anchor="_Toc74850947" w:history="1">
            <w:r w:rsidR="00EB1955" w:rsidRPr="008A7663">
              <w:rPr>
                <w:rStyle w:val="Hyperlink"/>
                <w:rFonts w:eastAsia="Calibri" w:cstheme="majorHAnsi"/>
              </w:rPr>
              <w:t>3.</w:t>
            </w:r>
            <w:r w:rsidR="00EB1955">
              <w:rPr>
                <w:rFonts w:cstheme="minorBidi"/>
                <w:b w:val="0"/>
              </w:rPr>
              <w:tab/>
            </w:r>
            <w:r w:rsidR="00EB1955" w:rsidRPr="008A7663">
              <w:rPr>
                <w:rStyle w:val="Hyperlink"/>
                <w:rFonts w:eastAsia="Calibri" w:cstheme="majorHAnsi"/>
              </w:rPr>
              <w:t>Conclusions</w:t>
            </w:r>
            <w:r w:rsidR="00EB1955">
              <w:rPr>
                <w:webHidden/>
              </w:rPr>
              <w:tab/>
            </w:r>
            <w:r w:rsidR="00EB1955">
              <w:rPr>
                <w:webHidden/>
              </w:rPr>
              <w:fldChar w:fldCharType="begin"/>
            </w:r>
            <w:r w:rsidR="00EB1955">
              <w:rPr>
                <w:webHidden/>
              </w:rPr>
              <w:instrText xml:space="preserve"> PAGEREF _Toc74850947 \h </w:instrText>
            </w:r>
            <w:r w:rsidR="00EB1955">
              <w:rPr>
                <w:webHidden/>
              </w:rPr>
            </w:r>
            <w:r w:rsidR="00EB1955">
              <w:rPr>
                <w:webHidden/>
              </w:rPr>
              <w:fldChar w:fldCharType="separate"/>
            </w:r>
            <w:r w:rsidR="00EB1955">
              <w:rPr>
                <w:webHidden/>
              </w:rPr>
              <w:t>35</w:t>
            </w:r>
            <w:r w:rsidR="00EB1955">
              <w:rPr>
                <w:webHidden/>
              </w:rPr>
              <w:fldChar w:fldCharType="end"/>
            </w:r>
          </w:hyperlink>
        </w:p>
        <w:p w14:paraId="446201C0" w14:textId="5032E8A0" w:rsidR="00DC5A7F" w:rsidRPr="00104C7C" w:rsidRDefault="00DC5A7F">
          <w:r w:rsidRPr="00104C7C">
            <w:rPr>
              <w:b/>
              <w:bCs/>
              <w:color w:val="2B579A"/>
              <w:shd w:val="clear" w:color="auto" w:fill="E6E6E6"/>
            </w:rPr>
            <w:fldChar w:fldCharType="end"/>
          </w:r>
        </w:p>
      </w:sdtContent>
    </w:sdt>
    <w:p w14:paraId="01DB6AB2" w14:textId="77777777" w:rsidR="00DC5A7F" w:rsidRPr="00104C7C" w:rsidRDefault="00DC5A7F">
      <w:pPr>
        <w:rPr>
          <w:color w:val="FF0000"/>
        </w:rPr>
      </w:pPr>
    </w:p>
    <w:p w14:paraId="4000BF13" w14:textId="77AF1B82" w:rsidR="001C7EA3" w:rsidRDefault="001C7EA3" w:rsidP="001C7EA3"/>
    <w:p w14:paraId="13BF41BD" w14:textId="2B49BEB6" w:rsidR="001C7EA3" w:rsidRDefault="001C7EA3" w:rsidP="001C7EA3"/>
    <w:p w14:paraId="472617CB" w14:textId="1B6BB21F" w:rsidR="001C7EA3" w:rsidRDefault="001C7EA3" w:rsidP="001C7EA3"/>
    <w:p w14:paraId="0D9D0DE8" w14:textId="5D2B2B10" w:rsidR="001C7EA3" w:rsidRDefault="001C7EA3" w:rsidP="001C7EA3"/>
    <w:p w14:paraId="5C1FDDFA" w14:textId="4D939F81" w:rsidR="001C7EA3" w:rsidRDefault="001C7EA3" w:rsidP="001C7EA3"/>
    <w:p w14:paraId="335AEFFB" w14:textId="42B53B0A" w:rsidR="001C7EA3" w:rsidRDefault="001C7EA3" w:rsidP="001C7EA3"/>
    <w:p w14:paraId="3DA6B3B8" w14:textId="3F495F74" w:rsidR="001C7EA3" w:rsidRDefault="001C7EA3" w:rsidP="001C7EA3"/>
    <w:p w14:paraId="7CDFB529" w14:textId="2D35E5CC" w:rsidR="001C7EA3" w:rsidRDefault="001C7EA3" w:rsidP="001C7EA3"/>
    <w:p w14:paraId="07BD9F5A" w14:textId="1096E3D0" w:rsidR="001C7EA3" w:rsidRDefault="001C7EA3" w:rsidP="001C7EA3"/>
    <w:p w14:paraId="07AE6B2C" w14:textId="49522AD6" w:rsidR="001C7EA3" w:rsidRDefault="001C7EA3" w:rsidP="001C7EA3"/>
    <w:p w14:paraId="704221E4" w14:textId="341B12FA" w:rsidR="001C7EA3" w:rsidRDefault="001C7EA3" w:rsidP="001C7EA3"/>
    <w:p w14:paraId="0DB3D112" w14:textId="4668679F" w:rsidR="001C7EA3" w:rsidRDefault="001C7EA3" w:rsidP="001C7EA3"/>
    <w:p w14:paraId="2E5C0E90" w14:textId="1CA76EF3" w:rsidR="001C7EA3" w:rsidRDefault="001C7EA3" w:rsidP="001C7EA3"/>
    <w:p w14:paraId="5E582270" w14:textId="2BBDFB04" w:rsidR="001C7EA3" w:rsidRDefault="001C7EA3" w:rsidP="001C7EA3"/>
    <w:p w14:paraId="32539FF8" w14:textId="77777777" w:rsidR="008915B2" w:rsidRDefault="008915B2" w:rsidP="001C7EA3"/>
    <w:p w14:paraId="5F799EFA" w14:textId="450FE537" w:rsidR="001C7EA3" w:rsidRDefault="001C7EA3" w:rsidP="001C7EA3"/>
    <w:p w14:paraId="216E5A75" w14:textId="57464B51" w:rsidR="00EC6C80" w:rsidRPr="008915B2" w:rsidRDefault="31CF0A3B" w:rsidP="007465E4">
      <w:pPr>
        <w:pStyle w:val="Heading1"/>
        <w:numPr>
          <w:ilvl w:val="0"/>
          <w:numId w:val="9"/>
        </w:numPr>
        <w:ind w:left="567" w:hanging="567"/>
        <w:rPr>
          <w:shd w:val="clear" w:color="auto" w:fill="E6E6E6"/>
        </w:rPr>
      </w:pPr>
      <w:bookmarkStart w:id="0" w:name="_Toc74850921"/>
      <w:r w:rsidRPr="008915B2">
        <w:lastRenderedPageBreak/>
        <w:t>Introduction</w:t>
      </w:r>
      <w:bookmarkEnd w:id="0"/>
      <w:r w:rsidR="00AB79B0" w:rsidRPr="008915B2">
        <w:t xml:space="preserve"> </w:t>
      </w:r>
    </w:p>
    <w:p w14:paraId="0B4F6EDA" w14:textId="2475CAFA" w:rsidR="1361B969" w:rsidRPr="006242B5" w:rsidRDefault="008435C4" w:rsidP="007465E4">
      <w:pPr>
        <w:pStyle w:val="Heading2"/>
        <w:tabs>
          <w:tab w:val="left" w:pos="567"/>
        </w:tabs>
        <w:jc w:val="both"/>
        <w:rPr>
          <w:rFonts w:cstheme="minorHAnsi"/>
        </w:rPr>
      </w:pPr>
      <w:bookmarkStart w:id="1" w:name="_Toc74850922"/>
      <w:r>
        <w:rPr>
          <w:rFonts w:asciiTheme="minorHAnsi" w:hAnsiTheme="minorHAnsi" w:cstheme="minorHAnsi"/>
          <w:color w:val="2B579A"/>
          <w:sz w:val="22"/>
          <w:szCs w:val="22"/>
        </w:rPr>
        <w:t xml:space="preserve">1.1 </w:t>
      </w:r>
      <w:r w:rsidR="007465E4">
        <w:rPr>
          <w:rFonts w:asciiTheme="minorHAnsi" w:hAnsiTheme="minorHAnsi" w:cstheme="minorHAnsi"/>
          <w:color w:val="2B579A"/>
          <w:sz w:val="22"/>
          <w:szCs w:val="22"/>
        </w:rPr>
        <w:tab/>
      </w:r>
      <w:r w:rsidR="1361B969" w:rsidRPr="006242B5">
        <w:rPr>
          <w:rFonts w:asciiTheme="minorHAnsi" w:hAnsiTheme="minorHAnsi" w:cstheme="minorHAnsi"/>
          <w:color w:val="2B579A"/>
          <w:sz w:val="22"/>
          <w:szCs w:val="22"/>
        </w:rPr>
        <w:t>Background and context</w:t>
      </w:r>
      <w:bookmarkEnd w:id="1"/>
    </w:p>
    <w:p w14:paraId="0BEE293A" w14:textId="1C2BB72C" w:rsidR="000F70AE" w:rsidRDefault="004E1335" w:rsidP="006242B5">
      <w:pPr>
        <w:jc w:val="both"/>
      </w:pPr>
      <w:r>
        <w:t>Development through digital transformation is a complex issue and touch</w:t>
      </w:r>
      <w:r w:rsidR="00425E1E">
        <w:t>es</w:t>
      </w:r>
      <w:r>
        <w:t xml:space="preserve"> on many enablers, from broadband availability to pol</w:t>
      </w:r>
      <w:r w:rsidR="007F20C3">
        <w:t>i</w:t>
      </w:r>
      <w:r>
        <w:t xml:space="preserve">cies and sectoral e-strategies, as well as specific programs fostering digital inclusion or the development of innovation communities. </w:t>
      </w:r>
      <w:r w:rsidR="000F70AE">
        <w:t xml:space="preserve"> </w:t>
      </w:r>
    </w:p>
    <w:p w14:paraId="60812BB6" w14:textId="43F115A8" w:rsidR="004E1335" w:rsidRDefault="004E1335" w:rsidP="006242B5">
      <w:pPr>
        <w:jc w:val="both"/>
      </w:pPr>
      <w:r>
        <w:t xml:space="preserve">Various independent research has been </w:t>
      </w:r>
      <w:r w:rsidR="1273AF52">
        <w:t xml:space="preserve">carried out </w:t>
      </w:r>
      <w:r>
        <w:t xml:space="preserve">by </w:t>
      </w:r>
      <w:r w:rsidR="07EB2475">
        <w:t xml:space="preserve">the </w:t>
      </w:r>
      <w:r>
        <w:t>ITU</w:t>
      </w:r>
      <w:r w:rsidR="611BC3A9">
        <w:t>, other UN agencies</w:t>
      </w:r>
      <w:r>
        <w:t xml:space="preserve"> and other</w:t>
      </w:r>
      <w:r w:rsidR="0440E49F">
        <w:t xml:space="preserve"> stakeholders</w:t>
      </w:r>
      <w:r w:rsidR="00EC6C80">
        <w:t xml:space="preserve"> </w:t>
      </w:r>
      <w:r>
        <w:t>in understanding these enablers, their impact on countries, their gaps and opportunities.</w:t>
      </w:r>
      <w:r w:rsidR="006B5CBA">
        <w:t xml:space="preserve"> However, these studies may not reflect the inherent </w:t>
      </w:r>
      <w:r w:rsidR="00425E1E">
        <w:t>interdependencies</w:t>
      </w:r>
      <w:r w:rsidR="006B5CBA">
        <w:t xml:space="preserve"> </w:t>
      </w:r>
      <w:r w:rsidR="007F20C3">
        <w:t>among them</w:t>
      </w:r>
      <w:r w:rsidR="006B5CBA">
        <w:t xml:space="preserve">. There is </w:t>
      </w:r>
      <w:r w:rsidR="139C0270">
        <w:t xml:space="preserve">a </w:t>
      </w:r>
      <w:r w:rsidR="006B5CBA">
        <w:t xml:space="preserve">need </w:t>
      </w:r>
      <w:r>
        <w:t>to</w:t>
      </w:r>
      <w:r w:rsidR="007F20C3">
        <w:t xml:space="preserve"> provide a simple view and narrative about a country capacity to digitally transform</w:t>
      </w:r>
      <w:r w:rsidR="31EC07C3">
        <w:t xml:space="preserve"> and the various components </w:t>
      </w:r>
      <w:r w:rsidR="610229A5">
        <w:t>contributing to this process</w:t>
      </w:r>
      <w:r w:rsidR="00703788">
        <w:t>.</w:t>
      </w:r>
    </w:p>
    <w:p w14:paraId="0282A732" w14:textId="5EC06E73" w:rsidR="00AF2AE2" w:rsidRDefault="1377AE35" w:rsidP="00F050EC">
      <w:pPr>
        <w:jc w:val="both"/>
      </w:pPr>
      <w:r>
        <w:t xml:space="preserve">Digital development through digital transformation has become ever more important since the outbreak of the </w:t>
      </w:r>
      <w:r w:rsidR="3488A35C">
        <w:t xml:space="preserve">COVID-19 </w:t>
      </w:r>
      <w:r>
        <w:t>pandemic</w:t>
      </w:r>
      <w:r w:rsidR="008749E2">
        <w:t xml:space="preserve">, and various UN agencies and other stakeholders have assisted </w:t>
      </w:r>
      <w:r w:rsidR="2252DB64">
        <w:t xml:space="preserve">countries </w:t>
      </w:r>
      <w:r w:rsidR="008749E2">
        <w:t xml:space="preserve">in their </w:t>
      </w:r>
      <w:r w:rsidR="008B725C">
        <w:t xml:space="preserve">respective </w:t>
      </w:r>
      <w:r w:rsidR="008749E2">
        <w:t>capacit</w:t>
      </w:r>
      <w:r w:rsidR="008B725C">
        <w:t>ies relying substantially on the digital component.</w:t>
      </w:r>
      <w:r w:rsidR="0ABE49F4">
        <w:t xml:space="preserve"> </w:t>
      </w:r>
    </w:p>
    <w:p w14:paraId="3407BD63" w14:textId="4204B05F" w:rsidR="004E1335" w:rsidRDefault="002C0173">
      <w:pPr>
        <w:jc w:val="both"/>
      </w:pPr>
      <w:r>
        <w:t>E</w:t>
      </w:r>
      <w:r w:rsidR="0ABE49F4">
        <w:t>xtending the availability of products and services and empowering citizens, workers and students in their daily engagements and needs in times of lockdown</w:t>
      </w:r>
      <w:r w:rsidR="0087269A">
        <w:t xml:space="preserve"> has become a clear priority of all countries</w:t>
      </w:r>
      <w:r w:rsidR="5306D9CF">
        <w:t>,</w:t>
      </w:r>
      <w:r w:rsidR="0087269A">
        <w:t xml:space="preserve"> </w:t>
      </w:r>
      <w:r w:rsidR="607DF783">
        <w:t xml:space="preserve">and </w:t>
      </w:r>
      <w:r w:rsidR="0087269A">
        <w:t xml:space="preserve">the ability </w:t>
      </w:r>
      <w:r w:rsidR="607DF783">
        <w:t>leverag</w:t>
      </w:r>
      <w:r w:rsidR="3FD06A1C">
        <w:t>e</w:t>
      </w:r>
      <w:r w:rsidR="13E676DF">
        <w:t xml:space="preserve"> the</w:t>
      </w:r>
      <w:r w:rsidR="22ECD780">
        <w:t xml:space="preserve"> progress made in the digital sphere </w:t>
      </w:r>
      <w:r w:rsidR="52636678">
        <w:t xml:space="preserve">was </w:t>
      </w:r>
      <w:r w:rsidR="22ECD780">
        <w:t>an important factor in determining resilience</w:t>
      </w:r>
      <w:r w:rsidR="00B36073">
        <w:t>.</w:t>
      </w:r>
    </w:p>
    <w:p w14:paraId="378C78FE" w14:textId="75ADB400" w:rsidR="004E1335" w:rsidRDefault="135E1431">
      <w:pPr>
        <w:jc w:val="both"/>
        <w:rPr>
          <w:b/>
          <w:bCs/>
        </w:rPr>
      </w:pPr>
      <w:r>
        <w:t xml:space="preserve">As the situation is developing into a new normal where “digital” is not only a solution to an emergency but a </w:t>
      </w:r>
      <w:r w:rsidR="4AD4C529">
        <w:t>long-term</w:t>
      </w:r>
      <w:r>
        <w:t xml:space="preserve"> investment against risk</w:t>
      </w:r>
      <w:r w:rsidR="3D1A347F">
        <w:t xml:space="preserve">, it </w:t>
      </w:r>
      <w:r w:rsidR="0029427F">
        <w:t xml:space="preserve">is necessary to unravel </w:t>
      </w:r>
      <w:r w:rsidR="3D1A347F">
        <w:t>the various dimensions of digital development in different countrie</w:t>
      </w:r>
      <w:r w:rsidR="00B36073">
        <w:t>s</w:t>
      </w:r>
      <w:r w:rsidR="0029427F">
        <w:t xml:space="preserve"> </w:t>
      </w:r>
      <w:r w:rsidR="0078192D">
        <w:t xml:space="preserve">as ICTs </w:t>
      </w:r>
      <w:r w:rsidR="0029427F">
        <w:t>become more and more important for the achievement of Sustainable Development Goals by 2030.</w:t>
      </w:r>
    </w:p>
    <w:p w14:paraId="27F79C6C" w14:textId="19F4683D" w:rsidR="004E1335" w:rsidRPr="006242B5" w:rsidRDefault="008435C4" w:rsidP="008915B2">
      <w:pPr>
        <w:pStyle w:val="Heading2"/>
        <w:tabs>
          <w:tab w:val="left" w:pos="567"/>
        </w:tabs>
        <w:jc w:val="both"/>
        <w:rPr>
          <w:rFonts w:cstheme="minorHAnsi"/>
        </w:rPr>
      </w:pPr>
      <w:bookmarkStart w:id="2" w:name="_Toc74850923"/>
      <w:r>
        <w:rPr>
          <w:rFonts w:asciiTheme="minorHAnsi" w:hAnsiTheme="minorHAnsi" w:cstheme="minorHAnsi"/>
          <w:color w:val="2B579A"/>
          <w:sz w:val="22"/>
          <w:szCs w:val="22"/>
        </w:rPr>
        <w:t xml:space="preserve">1.2 </w:t>
      </w:r>
      <w:r w:rsidR="007465E4">
        <w:rPr>
          <w:rFonts w:asciiTheme="minorHAnsi" w:hAnsiTheme="minorHAnsi" w:cstheme="minorHAnsi"/>
          <w:color w:val="2B579A"/>
          <w:sz w:val="22"/>
          <w:szCs w:val="22"/>
        </w:rPr>
        <w:tab/>
      </w:r>
      <w:r w:rsidR="02A3DBFE" w:rsidRPr="006242B5">
        <w:rPr>
          <w:rFonts w:asciiTheme="minorHAnsi" w:hAnsiTheme="minorHAnsi" w:cstheme="minorHAnsi"/>
          <w:color w:val="2B579A"/>
          <w:sz w:val="22"/>
          <w:szCs w:val="22"/>
        </w:rPr>
        <w:t>Objective of the Report</w:t>
      </w:r>
      <w:bookmarkEnd w:id="2"/>
      <w:r w:rsidR="02A3DBFE" w:rsidRPr="006242B5">
        <w:rPr>
          <w:rFonts w:asciiTheme="minorHAnsi" w:hAnsiTheme="minorHAnsi" w:cstheme="minorHAnsi"/>
          <w:color w:val="2B579A"/>
          <w:sz w:val="22"/>
          <w:szCs w:val="22"/>
        </w:rPr>
        <w:t xml:space="preserve"> </w:t>
      </w:r>
    </w:p>
    <w:p w14:paraId="39B52F85" w14:textId="70E7B789" w:rsidR="004E1335" w:rsidRDefault="007F20C3" w:rsidP="006242B5">
      <w:pPr>
        <w:jc w:val="both"/>
      </w:pPr>
      <w:r>
        <w:t>The aim</w:t>
      </w:r>
      <w:r w:rsidR="4780DEC5">
        <w:t xml:space="preserve"> of </w:t>
      </w:r>
      <w:r w:rsidR="0306E6A1">
        <w:t xml:space="preserve">Digital Development </w:t>
      </w:r>
      <w:r w:rsidR="707AF828">
        <w:t xml:space="preserve">country profiles </w:t>
      </w:r>
      <w:r w:rsidR="008D2DAA">
        <w:t>is to provide</w:t>
      </w:r>
      <w:r w:rsidR="004E1335">
        <w:t xml:space="preserve"> a comparable analysis </w:t>
      </w:r>
      <w:r w:rsidR="5B1B78A0">
        <w:t xml:space="preserve">for </w:t>
      </w:r>
      <w:r w:rsidR="2F1C3822">
        <w:t>priorit</w:t>
      </w:r>
      <w:r w:rsidR="1116A73E">
        <w:t>y</w:t>
      </w:r>
      <w:r w:rsidR="2F1C3822">
        <w:t xml:space="preserve"> </w:t>
      </w:r>
      <w:r w:rsidR="5B1B78A0">
        <w:t xml:space="preserve">countries </w:t>
      </w:r>
      <w:r w:rsidR="4539C0C0">
        <w:t>of</w:t>
      </w:r>
      <w:r w:rsidR="58D85870">
        <w:t xml:space="preserve"> the European region</w:t>
      </w:r>
      <w:r w:rsidR="5E4F9940">
        <w:t>, namely Albania, Bosnia and Herzegovina, Georgia, Moldova, Montenegro, North Macedonia, Serbia, Ukraine</w:t>
      </w:r>
      <w:r w:rsidR="586D34FE">
        <w:t xml:space="preserve">. </w:t>
      </w:r>
    </w:p>
    <w:p w14:paraId="44087496" w14:textId="6A00ECF5" w:rsidR="004E1335" w:rsidRDefault="029BA91D" w:rsidP="006242B5">
      <w:pPr>
        <w:jc w:val="both"/>
      </w:pPr>
      <w:r>
        <w:t xml:space="preserve">The Report </w:t>
      </w:r>
      <w:r w:rsidR="0DA42CB0">
        <w:t xml:space="preserve">addresses digital </w:t>
      </w:r>
      <w:r w:rsidR="00F30B06">
        <w:t xml:space="preserve">transformation based on the various experiences </w:t>
      </w:r>
      <w:r w:rsidR="23493684">
        <w:t>of the ITU, the UN specialized agency for ICTs</w:t>
      </w:r>
      <w:r w:rsidR="0139CE81">
        <w:t>,</w:t>
      </w:r>
      <w:r w:rsidR="23493684">
        <w:t xml:space="preserve"> and other UN system organizations, offering a broad </w:t>
      </w:r>
      <w:r w:rsidR="38A96641">
        <w:t>overview</w:t>
      </w:r>
      <w:r w:rsidR="23493684">
        <w:t xml:space="preserve"> of the activities and projects being </w:t>
      </w:r>
      <w:r w:rsidR="450A6E55">
        <w:t>implemented</w:t>
      </w:r>
      <w:r w:rsidR="23493684">
        <w:t xml:space="preserve"> at the national level</w:t>
      </w:r>
      <w:r w:rsidR="3ECB29B4">
        <w:t xml:space="preserve"> and</w:t>
      </w:r>
      <w:r w:rsidR="00235E3E">
        <w:t xml:space="preserve"> in the wider region</w:t>
      </w:r>
      <w:r w:rsidR="23493684">
        <w:t>.</w:t>
      </w:r>
      <w:r w:rsidR="0F6165BE">
        <w:t xml:space="preserve"> </w:t>
      </w:r>
    </w:p>
    <w:p w14:paraId="3EA33466" w14:textId="1271C6CC" w:rsidR="004E1335" w:rsidRDefault="35F15767" w:rsidP="006242B5">
      <w:pPr>
        <w:jc w:val="both"/>
      </w:pPr>
      <w:r>
        <w:t xml:space="preserve">This report seeks </w:t>
      </w:r>
      <w:r w:rsidR="1D9CD786">
        <w:t xml:space="preserve">to build a reference for discussions on digital development at the country level </w:t>
      </w:r>
      <w:r>
        <w:t xml:space="preserve">in </w:t>
      </w:r>
      <w:r w:rsidR="00BA7277">
        <w:t xml:space="preserve">the Republic of </w:t>
      </w:r>
      <w:r w:rsidR="00E0012A">
        <w:t>Moldova</w:t>
      </w:r>
      <w:r>
        <w:t xml:space="preserve">. It will serve as a guide for future dialogue with country stakeholders </w:t>
      </w:r>
      <w:r w:rsidR="008915B2">
        <w:t>and pave</w:t>
      </w:r>
      <w:r>
        <w:t xml:space="preserve"> the way for increasingly fit-for-purpose engagements of the UN system in the country</w:t>
      </w:r>
      <w:r w:rsidR="4048A683">
        <w:t>.</w:t>
      </w:r>
      <w:r w:rsidR="626ADDB0">
        <w:t xml:space="preserve"> </w:t>
      </w:r>
      <w:r w:rsidR="586D34FE">
        <w:t>I</w:t>
      </w:r>
      <w:r w:rsidR="0A8A20C1">
        <w:t xml:space="preserve">t will </w:t>
      </w:r>
      <w:r w:rsidR="6CCA9662">
        <w:t xml:space="preserve">equip </w:t>
      </w:r>
      <w:r w:rsidR="3D2C12D1">
        <w:t>decision</w:t>
      </w:r>
      <w:r w:rsidR="4157B6E6">
        <w:t>-</w:t>
      </w:r>
      <w:r w:rsidR="3D2C12D1">
        <w:t xml:space="preserve">makers </w:t>
      </w:r>
      <w:r w:rsidR="2518FDB7">
        <w:t xml:space="preserve">at the national level and international stakeholders </w:t>
      </w:r>
      <w:r w:rsidR="32A57AEF">
        <w:t>with a</w:t>
      </w:r>
      <w:r w:rsidR="00235E3E">
        <w:t xml:space="preserve">n </w:t>
      </w:r>
      <w:r w:rsidR="32A57AEF">
        <w:t xml:space="preserve">overview of the various components </w:t>
      </w:r>
      <w:r w:rsidR="2EA2DB96">
        <w:t>of digital development</w:t>
      </w:r>
      <w:r w:rsidR="006D7C07">
        <w:t xml:space="preserve"> at the country level.</w:t>
      </w:r>
    </w:p>
    <w:p w14:paraId="16658D42" w14:textId="504F9F09" w:rsidR="004E1335" w:rsidRPr="006242B5" w:rsidRDefault="008435C4" w:rsidP="008915B2">
      <w:pPr>
        <w:pStyle w:val="Heading2"/>
        <w:tabs>
          <w:tab w:val="left" w:pos="567"/>
        </w:tabs>
        <w:jc w:val="both"/>
        <w:rPr>
          <w:rFonts w:cstheme="minorHAnsi"/>
        </w:rPr>
      </w:pPr>
      <w:bookmarkStart w:id="3" w:name="_Toc74850924"/>
      <w:r>
        <w:rPr>
          <w:rFonts w:asciiTheme="minorHAnsi" w:hAnsiTheme="minorHAnsi" w:cstheme="minorHAnsi"/>
          <w:color w:val="2B579A"/>
          <w:sz w:val="22"/>
          <w:szCs w:val="22"/>
        </w:rPr>
        <w:lastRenderedPageBreak/>
        <w:t xml:space="preserve">1.3 </w:t>
      </w:r>
      <w:r w:rsidR="007465E4">
        <w:rPr>
          <w:rFonts w:asciiTheme="minorHAnsi" w:hAnsiTheme="minorHAnsi" w:cstheme="minorHAnsi"/>
          <w:color w:val="2B579A"/>
          <w:sz w:val="22"/>
          <w:szCs w:val="22"/>
        </w:rPr>
        <w:tab/>
      </w:r>
      <w:r w:rsidR="732A2509" w:rsidRPr="006242B5">
        <w:rPr>
          <w:rFonts w:asciiTheme="minorHAnsi" w:hAnsiTheme="minorHAnsi" w:cstheme="minorHAnsi"/>
          <w:color w:val="2B579A"/>
          <w:sz w:val="22"/>
          <w:szCs w:val="22"/>
        </w:rPr>
        <w:t>Methodology</w:t>
      </w:r>
      <w:bookmarkEnd w:id="3"/>
      <w:r w:rsidR="004E1335" w:rsidRPr="006242B5">
        <w:rPr>
          <w:rFonts w:asciiTheme="minorHAnsi" w:hAnsiTheme="minorHAnsi" w:cstheme="minorHAnsi"/>
        </w:rPr>
        <w:t xml:space="preserve"> </w:t>
      </w:r>
    </w:p>
    <w:p w14:paraId="50FCA8F9" w14:textId="5CB72933" w:rsidR="004E1335" w:rsidRDefault="777B4B68" w:rsidP="006242B5">
      <w:pPr>
        <w:jc w:val="both"/>
      </w:pPr>
      <w:r>
        <w:t>The</w:t>
      </w:r>
      <w:r w:rsidR="03D77F6C">
        <w:t xml:space="preserve"> </w:t>
      </w:r>
      <w:r w:rsidR="004E1335">
        <w:t xml:space="preserve">research has identified </w:t>
      </w:r>
      <w:r w:rsidR="000A38A1">
        <w:t xml:space="preserve">a </w:t>
      </w:r>
      <w:r w:rsidR="004E1335" w:rsidRPr="7E8FD016">
        <w:rPr>
          <w:i/>
          <w:iCs/>
        </w:rPr>
        <w:t>five</w:t>
      </w:r>
      <w:r w:rsidR="000A38A1" w:rsidRPr="7E8FD016">
        <w:rPr>
          <w:i/>
          <w:iCs/>
          <w:lang w:val="en-GB"/>
        </w:rPr>
        <w:t>-</w:t>
      </w:r>
      <w:r w:rsidR="004E1335" w:rsidRPr="7E8FD016">
        <w:rPr>
          <w:i/>
          <w:iCs/>
        </w:rPr>
        <w:t>building</w:t>
      </w:r>
      <w:r w:rsidR="1A05A33A" w:rsidRPr="7E8FD016">
        <w:rPr>
          <w:i/>
          <w:iCs/>
        </w:rPr>
        <w:t>-</w:t>
      </w:r>
      <w:r w:rsidR="004E1335" w:rsidRPr="7E8FD016">
        <w:rPr>
          <w:i/>
          <w:iCs/>
        </w:rPr>
        <w:t>blocks</w:t>
      </w:r>
      <w:r w:rsidR="000A38A1" w:rsidRPr="7E8FD016">
        <w:rPr>
          <w:i/>
          <w:iCs/>
        </w:rPr>
        <w:t xml:space="preserve"> framework</w:t>
      </w:r>
      <w:r w:rsidR="004E1335">
        <w:t xml:space="preserve"> </w:t>
      </w:r>
      <w:r w:rsidR="00565E16">
        <w:t xml:space="preserve">that </w:t>
      </w:r>
      <w:r w:rsidR="2A874351">
        <w:t>analyses</w:t>
      </w:r>
      <w:r w:rsidR="00565E16">
        <w:t xml:space="preserve"> digital transformation from a variety of perspectives</w:t>
      </w:r>
      <w:r w:rsidR="0403E5A1">
        <w:t>,</w:t>
      </w:r>
      <w:r w:rsidR="00565E16">
        <w:t xml:space="preserve"> </w:t>
      </w:r>
      <w:r w:rsidR="00A35C2E">
        <w:t xml:space="preserve">enabling </w:t>
      </w:r>
      <w:r w:rsidR="00565E16">
        <w:t xml:space="preserve">an </w:t>
      </w:r>
      <w:r w:rsidR="004E1335">
        <w:t>understand</w:t>
      </w:r>
      <w:r w:rsidR="00565E16">
        <w:t>ing of</w:t>
      </w:r>
      <w:r w:rsidR="004E1335">
        <w:t xml:space="preserve"> how the </w:t>
      </w:r>
      <w:r w:rsidR="005D2705" w:rsidRPr="7E8FD016">
        <w:rPr>
          <w:lang w:val="en-GB"/>
        </w:rPr>
        <w:t xml:space="preserve">various dimensions of digital </w:t>
      </w:r>
      <w:r w:rsidR="00565E16">
        <w:t xml:space="preserve">development </w:t>
      </w:r>
      <w:r w:rsidR="004E1335">
        <w:t>interact a</w:t>
      </w:r>
      <w:r w:rsidR="006B5CBA">
        <w:t>t the</w:t>
      </w:r>
      <w:r w:rsidR="004E1335">
        <w:t xml:space="preserve"> country</w:t>
      </w:r>
      <w:r w:rsidR="00425E1E">
        <w:t xml:space="preserve"> level</w:t>
      </w:r>
      <w:r w:rsidR="004E1335">
        <w:t>.</w:t>
      </w:r>
      <w:r w:rsidR="008D2DAA">
        <w:t xml:space="preserve"> </w:t>
      </w:r>
      <w:r w:rsidR="004E1335">
        <w:t xml:space="preserve">Below is a summary </w:t>
      </w:r>
      <w:r w:rsidR="6DBB3052">
        <w:t xml:space="preserve">of </w:t>
      </w:r>
      <w:r w:rsidR="007F20C3">
        <w:t>each building block</w:t>
      </w:r>
      <w:r w:rsidR="008D2DAA">
        <w:t xml:space="preserve"> </w:t>
      </w:r>
      <w:r w:rsidR="00B73E1E">
        <w:t xml:space="preserve">and </w:t>
      </w:r>
      <w:r w:rsidR="00B73E1E" w:rsidRPr="7E8FD016">
        <w:rPr>
          <w:lang w:val="en-GB"/>
        </w:rPr>
        <w:t xml:space="preserve">an elaboration </w:t>
      </w:r>
      <w:r w:rsidR="001B3D03" w:rsidRPr="7E8FD016">
        <w:rPr>
          <w:lang w:val="en-GB"/>
        </w:rPr>
        <w:t xml:space="preserve">of how the particular dimension fits in the overall digital development scenario of the country. </w:t>
      </w:r>
    </w:p>
    <w:p w14:paraId="0873965A" w14:textId="1BA1F8CD" w:rsidR="00512E8D" w:rsidRPr="00C23DB2" w:rsidRDefault="43FA6923" w:rsidP="006242B5">
      <w:pPr>
        <w:jc w:val="both"/>
      </w:pPr>
      <w:bookmarkStart w:id="4" w:name="_Hlk73027508"/>
      <w:r w:rsidRPr="7E8FD016">
        <w:rPr>
          <w:b/>
          <w:bCs/>
        </w:rPr>
        <w:t xml:space="preserve">1) </w:t>
      </w:r>
      <w:r w:rsidR="00512E8D" w:rsidRPr="7E8FD016">
        <w:rPr>
          <w:b/>
          <w:bCs/>
        </w:rPr>
        <w:t>M</w:t>
      </w:r>
      <w:r w:rsidR="00572D57" w:rsidRPr="7E8FD016">
        <w:rPr>
          <w:b/>
          <w:bCs/>
        </w:rPr>
        <w:t>eaningful connectivity as foundation for digital development and transformation</w:t>
      </w:r>
      <w:r w:rsidR="004E1335" w:rsidRPr="7E8FD016">
        <w:rPr>
          <w:b/>
          <w:bCs/>
        </w:rPr>
        <w:t xml:space="preserve">: </w:t>
      </w:r>
      <w:r w:rsidR="007F20C3">
        <w:t>R</w:t>
      </w:r>
      <w:r w:rsidR="008D7176">
        <w:t xml:space="preserve">obust ICT infrastructure represents a critical precondition for </w:t>
      </w:r>
      <w:r w:rsidR="007F20C3">
        <w:t>the</w:t>
      </w:r>
      <w:r w:rsidR="008D7176">
        <w:t xml:space="preserve"> transformation of </w:t>
      </w:r>
      <w:r w:rsidR="007F20C3">
        <w:t>a</w:t>
      </w:r>
      <w:r w:rsidR="008D7176">
        <w:t xml:space="preserve"> country. It </w:t>
      </w:r>
      <w:r w:rsidR="007F20C3">
        <w:t>provides</w:t>
      </w:r>
      <w:r w:rsidR="008D7176">
        <w:t xml:space="preserve"> the foundation for innovative services and </w:t>
      </w:r>
      <w:r w:rsidR="007F20C3">
        <w:t xml:space="preserve">economic activity to take place.  With the Covid-19 pandemic, countries </w:t>
      </w:r>
      <w:r w:rsidR="3778C8E2">
        <w:t>and</w:t>
      </w:r>
      <w:r w:rsidR="007F20C3">
        <w:t xml:space="preserve"> communities lacking connectivity faced a greater disruption than those who didn’t</w:t>
      </w:r>
      <w:r w:rsidR="7A95D9B8">
        <w:t>, therefore raising the overall importance of reliable infrastructure and services that are available to all</w:t>
      </w:r>
      <w:r w:rsidR="007F20C3">
        <w:t>.</w:t>
      </w:r>
      <w:r w:rsidR="00B13EF9">
        <w:t xml:space="preserve"> </w:t>
      </w:r>
      <w:r w:rsidR="00744C6B">
        <w:t xml:space="preserve">ICT </w:t>
      </w:r>
      <w:r w:rsidR="6AF15A00">
        <w:t>infrastructure</w:t>
      </w:r>
      <w:r w:rsidR="00744C6B">
        <w:t xml:space="preserve"> </w:t>
      </w:r>
      <w:r w:rsidR="007F20C3">
        <w:t>need</w:t>
      </w:r>
      <w:r w:rsidR="7C001255">
        <w:t>s</w:t>
      </w:r>
      <w:r w:rsidR="007F20C3">
        <w:t xml:space="preserve"> to be evaluated based on </w:t>
      </w:r>
      <w:r w:rsidR="7B5DF702">
        <w:t xml:space="preserve">several </w:t>
      </w:r>
      <w:r w:rsidR="007F20C3">
        <w:t>aspect</w:t>
      </w:r>
      <w:r w:rsidR="214D409F">
        <w:t>s</w:t>
      </w:r>
      <w:r w:rsidR="007F20C3">
        <w:t xml:space="preserve"> critical to meaning</w:t>
      </w:r>
      <w:r w:rsidR="00425E1E">
        <w:t>ful</w:t>
      </w:r>
      <w:r w:rsidR="007F20C3">
        <w:t xml:space="preserve"> connectivity</w:t>
      </w:r>
      <w:r w:rsidR="00B13EF9">
        <w:t>.</w:t>
      </w:r>
      <w:r w:rsidR="6B8485F6">
        <w:t xml:space="preserve"> </w:t>
      </w:r>
    </w:p>
    <w:p w14:paraId="79734D19" w14:textId="0FA9D186" w:rsidR="005432E2" w:rsidRPr="00104C7C" w:rsidRDefault="090C93CC" w:rsidP="006242B5">
      <w:pPr>
        <w:jc w:val="both"/>
      </w:pPr>
      <w:r w:rsidRPr="7E8FD016">
        <w:rPr>
          <w:b/>
          <w:bCs/>
        </w:rPr>
        <w:t xml:space="preserve">2) </w:t>
      </w:r>
      <w:r w:rsidR="00512E8D" w:rsidRPr="7E8FD016">
        <w:rPr>
          <w:b/>
          <w:bCs/>
        </w:rPr>
        <w:t>P</w:t>
      </w:r>
      <w:r w:rsidR="00572D57" w:rsidRPr="7E8FD016">
        <w:rPr>
          <w:b/>
          <w:bCs/>
        </w:rPr>
        <w:t>eople</w:t>
      </w:r>
      <w:r w:rsidR="78E6A015" w:rsidRPr="7E8FD016">
        <w:rPr>
          <w:b/>
          <w:bCs/>
        </w:rPr>
        <w:t>-</w:t>
      </w:r>
      <w:r w:rsidR="00572D57" w:rsidRPr="7E8FD016">
        <w:rPr>
          <w:b/>
          <w:bCs/>
        </w:rPr>
        <w:t>centric digital transformation</w:t>
      </w:r>
      <w:r w:rsidR="007F20C3" w:rsidRPr="7E8FD016">
        <w:rPr>
          <w:b/>
          <w:bCs/>
        </w:rPr>
        <w:t xml:space="preserve">: </w:t>
      </w:r>
      <w:r w:rsidR="2B9A5741" w:rsidRPr="7E8FD016">
        <w:rPr>
          <w:rFonts w:ascii="Calibri" w:eastAsia="Calibri" w:hAnsi="Calibri" w:cs="Calibri"/>
          <w:color w:val="000000" w:themeColor="text1"/>
        </w:rPr>
        <w:t>Developing digital skills and building human capacities to empower citizens, strengthen employability, and create new job opportunities is essential to match the needs of the gigabit society. The pandemic has exacerbated pre-existing inequalities, especially amongst migrants, persons with disabilities, women and girls.</w:t>
      </w:r>
      <w:r w:rsidR="2B9A5741" w:rsidRPr="7E8FD016">
        <w:rPr>
          <w:rFonts w:ascii="Calibri" w:eastAsia="Calibri" w:hAnsi="Calibri" w:cs="Calibri"/>
          <w:color w:val="FF0000"/>
        </w:rPr>
        <w:t xml:space="preserve"> </w:t>
      </w:r>
      <w:r w:rsidR="2096A61F" w:rsidRPr="7E8FD016">
        <w:rPr>
          <w:rFonts w:ascii="Calibri" w:eastAsia="Calibri" w:hAnsi="Calibri" w:cs="Calibri"/>
          <w:color w:val="000000" w:themeColor="text1"/>
        </w:rPr>
        <w:t xml:space="preserve">While connectivity </w:t>
      </w:r>
      <w:r w:rsidR="00E504B1" w:rsidRPr="7E8FD016">
        <w:rPr>
          <w:rFonts w:ascii="Calibri" w:eastAsia="Calibri" w:hAnsi="Calibri" w:cs="Calibri"/>
          <w:color w:val="000000" w:themeColor="text1"/>
        </w:rPr>
        <w:t>is</w:t>
      </w:r>
      <w:r w:rsidR="2096A61F" w:rsidRPr="7E8FD016">
        <w:rPr>
          <w:rFonts w:ascii="Calibri" w:eastAsia="Calibri" w:hAnsi="Calibri" w:cs="Calibri"/>
          <w:color w:val="000000" w:themeColor="text1"/>
        </w:rPr>
        <w:t xml:space="preserve"> the backbone </w:t>
      </w:r>
      <w:r w:rsidR="00E504B1" w:rsidRPr="7E8FD016">
        <w:rPr>
          <w:rFonts w:ascii="Calibri" w:eastAsia="Calibri" w:hAnsi="Calibri" w:cs="Calibri"/>
          <w:color w:val="000000" w:themeColor="text1"/>
        </w:rPr>
        <w:t xml:space="preserve">of </w:t>
      </w:r>
      <w:r w:rsidR="2096A61F" w:rsidRPr="7E8FD016">
        <w:rPr>
          <w:rFonts w:ascii="Calibri" w:eastAsia="Calibri" w:hAnsi="Calibri" w:cs="Calibri"/>
          <w:color w:val="000000" w:themeColor="text1"/>
        </w:rPr>
        <w:t>digital transformation, adopting a people</w:t>
      </w:r>
      <w:r w:rsidR="5B5284EE" w:rsidRPr="7E8FD016">
        <w:rPr>
          <w:rFonts w:ascii="Calibri" w:eastAsia="Calibri" w:hAnsi="Calibri" w:cs="Calibri"/>
          <w:color w:val="000000" w:themeColor="text1"/>
        </w:rPr>
        <w:t>-</w:t>
      </w:r>
      <w:r w:rsidR="2096A61F" w:rsidRPr="7E8FD016">
        <w:rPr>
          <w:rFonts w:ascii="Calibri" w:eastAsia="Calibri" w:hAnsi="Calibri" w:cs="Calibri"/>
          <w:color w:val="000000" w:themeColor="text1"/>
        </w:rPr>
        <w:t xml:space="preserve">centric digital transformation is essential to ensure that all members of society are not only connected, but meaningfully connected </w:t>
      </w:r>
      <w:r w:rsidR="30365247" w:rsidRPr="7E8FD016">
        <w:rPr>
          <w:rFonts w:ascii="Calibri" w:eastAsia="Calibri" w:hAnsi="Calibri" w:cs="Calibri"/>
          <w:color w:val="000000" w:themeColor="text1"/>
        </w:rPr>
        <w:t>and</w:t>
      </w:r>
      <w:r w:rsidR="30365247" w:rsidRPr="7E8FD016">
        <w:rPr>
          <w:rFonts w:ascii="Calibri" w:eastAsia="Calibri" w:hAnsi="Calibri" w:cs="Calibri"/>
        </w:rPr>
        <w:t xml:space="preserve"> thus fully enjoy the fruit of an </w:t>
      </w:r>
      <w:r w:rsidR="28A34466" w:rsidRPr="7E8FD016">
        <w:rPr>
          <w:rFonts w:ascii="Calibri" w:eastAsia="Calibri" w:hAnsi="Calibri" w:cs="Calibri"/>
        </w:rPr>
        <w:t>ever-growing</w:t>
      </w:r>
      <w:r w:rsidR="30365247" w:rsidRPr="7E8FD016">
        <w:rPr>
          <w:rFonts w:ascii="Calibri" w:eastAsia="Calibri" w:hAnsi="Calibri" w:cs="Calibri"/>
        </w:rPr>
        <w:t xml:space="preserve"> digital world</w:t>
      </w:r>
      <w:r w:rsidR="2096A61F" w:rsidRPr="7E8FD016">
        <w:rPr>
          <w:rFonts w:ascii="Calibri" w:eastAsia="Calibri" w:hAnsi="Calibri" w:cs="Calibri"/>
        </w:rPr>
        <w:t>. To this end, special emphasis should be given</w:t>
      </w:r>
      <w:r w:rsidR="703B49D1" w:rsidRPr="7E8FD016">
        <w:rPr>
          <w:rFonts w:ascii="Calibri" w:eastAsia="Calibri" w:hAnsi="Calibri" w:cs="Calibri"/>
        </w:rPr>
        <w:t xml:space="preserve"> to</w:t>
      </w:r>
      <w:r w:rsidR="2096A61F" w:rsidRPr="7E8FD016">
        <w:rPr>
          <w:rFonts w:ascii="Calibri" w:eastAsia="Calibri" w:hAnsi="Calibri" w:cs="Calibri"/>
        </w:rPr>
        <w:t xml:space="preserve"> bridging the digital divide and equipping all groups of society, </w:t>
      </w:r>
      <w:r w:rsidR="5C91CB75" w:rsidRPr="7E8FD016">
        <w:rPr>
          <w:rFonts w:ascii="Calibri" w:eastAsia="Calibri" w:hAnsi="Calibri" w:cs="Calibri"/>
        </w:rPr>
        <w:t>including groups</w:t>
      </w:r>
      <w:r w:rsidR="2096A61F" w:rsidRPr="7E8FD016">
        <w:rPr>
          <w:rFonts w:ascii="Calibri" w:eastAsia="Calibri" w:hAnsi="Calibri" w:cs="Calibri"/>
        </w:rPr>
        <w:t xml:space="preserve"> of people with specific needs, to take advantage of ICT</w:t>
      </w:r>
      <w:r w:rsidR="4C19CB2A" w:rsidRPr="7E8FD016">
        <w:rPr>
          <w:rFonts w:ascii="Calibri" w:eastAsia="Calibri" w:hAnsi="Calibri" w:cs="Calibri"/>
        </w:rPr>
        <w:t>s</w:t>
      </w:r>
      <w:r w:rsidR="2096A61F" w:rsidRPr="7E8FD016">
        <w:rPr>
          <w:rFonts w:ascii="Calibri" w:eastAsia="Calibri" w:hAnsi="Calibri" w:cs="Calibri"/>
        </w:rPr>
        <w:t xml:space="preserve"> by enabling digital skills</w:t>
      </w:r>
      <w:r w:rsidR="2D5FA849" w:rsidRPr="7E8FD016">
        <w:rPr>
          <w:rFonts w:ascii="Calibri" w:eastAsia="Calibri" w:hAnsi="Calibri" w:cs="Calibri"/>
        </w:rPr>
        <w:t xml:space="preserve"> development</w:t>
      </w:r>
      <w:r w:rsidR="2096A61F" w:rsidRPr="7E8FD016">
        <w:rPr>
          <w:rFonts w:ascii="Calibri" w:eastAsia="Calibri" w:hAnsi="Calibri" w:cs="Calibri"/>
        </w:rPr>
        <w:t xml:space="preserve">. </w:t>
      </w:r>
      <w:r w:rsidR="007F20C3">
        <w:t xml:space="preserve"> </w:t>
      </w:r>
    </w:p>
    <w:p w14:paraId="6DE81181" w14:textId="7166ED82" w:rsidR="00E504B1" w:rsidRPr="00104C7C" w:rsidRDefault="7E1E9FAB" w:rsidP="006242B5">
      <w:pPr>
        <w:jc w:val="both"/>
      </w:pPr>
      <w:r w:rsidRPr="7E8FD016">
        <w:rPr>
          <w:b/>
          <w:bCs/>
        </w:rPr>
        <w:t xml:space="preserve">3) </w:t>
      </w:r>
      <w:r w:rsidR="00512E8D" w:rsidRPr="7E8FD016">
        <w:rPr>
          <w:b/>
          <w:bCs/>
        </w:rPr>
        <w:t>G</w:t>
      </w:r>
      <w:r w:rsidR="00572D57" w:rsidRPr="7E8FD016">
        <w:rPr>
          <w:b/>
          <w:bCs/>
        </w:rPr>
        <w:t>overnment</w:t>
      </w:r>
      <w:r w:rsidR="4D548891" w:rsidRPr="7E8FD016">
        <w:rPr>
          <w:b/>
          <w:bCs/>
        </w:rPr>
        <w:t>-</w:t>
      </w:r>
      <w:r w:rsidR="00572D57" w:rsidRPr="7E8FD016">
        <w:rPr>
          <w:b/>
          <w:bCs/>
        </w:rPr>
        <w:t>centric digital transformation</w:t>
      </w:r>
      <w:r w:rsidR="007F20C3" w:rsidRPr="7E8FD016">
        <w:rPr>
          <w:b/>
          <w:bCs/>
        </w:rPr>
        <w:t xml:space="preserve">: </w:t>
      </w:r>
      <w:r w:rsidR="00572D57">
        <w:t xml:space="preserve"> </w:t>
      </w:r>
      <w:r w:rsidR="007F20C3">
        <w:t>Access to government services by citizens enable</w:t>
      </w:r>
      <w:r w:rsidR="0592D75F">
        <w:t>s</w:t>
      </w:r>
      <w:r w:rsidR="007F20C3">
        <w:t xml:space="preserve"> productivity, transparency and equality in digital </w:t>
      </w:r>
      <w:r w:rsidR="279DAC04">
        <w:t>development</w:t>
      </w:r>
      <w:r w:rsidR="007F20C3">
        <w:t xml:space="preserve">. </w:t>
      </w:r>
      <w:r w:rsidR="213715A0">
        <w:t xml:space="preserve">Ensuring that public services are delivered digitally </w:t>
      </w:r>
      <w:r w:rsidR="2D41538D">
        <w:t>is an important component of digital transformation</w:t>
      </w:r>
      <w:r w:rsidR="00EE5C34">
        <w:t>,</w:t>
      </w:r>
      <w:r w:rsidR="2D41538D">
        <w:t xml:space="preserve"> triggering a reduction in costs and bureaucracy and increasing efficiency</w:t>
      </w:r>
      <w:r w:rsidR="24634445">
        <w:t xml:space="preserve">. </w:t>
      </w:r>
      <w:r w:rsidR="00425E1E">
        <w:t>Government</w:t>
      </w:r>
      <w:r w:rsidR="3DCB9A87">
        <w:t xml:space="preserve">s </w:t>
      </w:r>
      <w:r w:rsidR="0245768B">
        <w:t xml:space="preserve">also </w:t>
      </w:r>
      <w:r w:rsidR="3DCB9A87">
        <w:t>have</w:t>
      </w:r>
      <w:r w:rsidR="007F20C3">
        <w:t xml:space="preserve"> a</w:t>
      </w:r>
      <w:r w:rsidR="49A62A20">
        <w:t>n important</w:t>
      </w:r>
      <w:r w:rsidR="007F20C3">
        <w:t xml:space="preserve"> role </w:t>
      </w:r>
      <w:r w:rsidR="370F91D0">
        <w:t xml:space="preserve">not only </w:t>
      </w:r>
      <w:r w:rsidR="007F20C3">
        <w:t xml:space="preserve">in </w:t>
      </w:r>
      <w:r w:rsidR="47A724B2">
        <w:t xml:space="preserve">promoting </w:t>
      </w:r>
      <w:r w:rsidR="007F20C3">
        <w:t xml:space="preserve">the right strategies collaboratively across various entities, but also a in ensuring that public sector transformation becomes a catalyst for digital transformation in </w:t>
      </w:r>
      <w:r w:rsidR="1AB09CA5">
        <w:t>the wider economy</w:t>
      </w:r>
      <w:r w:rsidR="007F20C3">
        <w:t xml:space="preserve">. </w:t>
      </w:r>
    </w:p>
    <w:p w14:paraId="2BF3A7D8" w14:textId="1E2988F6" w:rsidR="00447DBF" w:rsidRDefault="6800BB9C" w:rsidP="006242B5">
      <w:pPr>
        <w:jc w:val="both"/>
      </w:pPr>
      <w:r w:rsidRPr="7E8FD016">
        <w:rPr>
          <w:b/>
          <w:bCs/>
        </w:rPr>
        <w:t xml:space="preserve">4) </w:t>
      </w:r>
      <w:r w:rsidR="00512E8D" w:rsidRPr="7E8FD016">
        <w:rPr>
          <w:b/>
          <w:bCs/>
        </w:rPr>
        <w:t>S</w:t>
      </w:r>
      <w:r w:rsidR="00572D57" w:rsidRPr="7E8FD016">
        <w:rPr>
          <w:b/>
          <w:bCs/>
        </w:rPr>
        <w:t>ector</w:t>
      </w:r>
      <w:r w:rsidR="1E939555" w:rsidRPr="7E8FD016">
        <w:rPr>
          <w:b/>
          <w:bCs/>
        </w:rPr>
        <w:t>-</w:t>
      </w:r>
      <w:r w:rsidR="00572D57" w:rsidRPr="7E8FD016">
        <w:rPr>
          <w:b/>
          <w:bCs/>
        </w:rPr>
        <w:t>centric digital transformation</w:t>
      </w:r>
      <w:r w:rsidR="008D2DAA">
        <w:t>: Although the ICT sector is important in digital transformation</w:t>
      </w:r>
      <w:r w:rsidR="00447DBF">
        <w:t>,</w:t>
      </w:r>
      <w:r w:rsidR="008D2DAA">
        <w:t xml:space="preserve"> most economic benefits accumulate when ICTs are also used to transform other sectors.</w:t>
      </w:r>
      <w:r w:rsidR="005B623D">
        <w:t xml:space="preserve"> </w:t>
      </w:r>
      <w:r w:rsidR="3712D54F">
        <w:t>Agriculture and health are o</w:t>
      </w:r>
      <w:r w:rsidR="008D2DAA">
        <w:t xml:space="preserve">f </w:t>
      </w:r>
      <w:r w:rsidR="005B623D">
        <w:t>high importance</w:t>
      </w:r>
      <w:r w:rsidR="00447DBF">
        <w:t xml:space="preserve"> </w:t>
      </w:r>
      <w:r w:rsidR="005B623D">
        <w:t xml:space="preserve">for </w:t>
      </w:r>
      <w:r w:rsidR="1EEFA8AD">
        <w:t xml:space="preserve">South Eastern European countries in scope of this study and </w:t>
      </w:r>
      <w:r w:rsidR="008D2DAA">
        <w:t>play a key role in job creation and economic inclusion</w:t>
      </w:r>
      <w:r w:rsidR="00447DBF">
        <w:t>.</w:t>
      </w:r>
    </w:p>
    <w:p w14:paraId="1B23F6AC" w14:textId="6387B547" w:rsidR="00347C1E" w:rsidRDefault="16841ADA" w:rsidP="008915B2">
      <w:pPr>
        <w:tabs>
          <w:tab w:val="left" w:pos="567"/>
        </w:tabs>
        <w:jc w:val="both"/>
      </w:pPr>
      <w:r w:rsidRPr="7E8FD016">
        <w:rPr>
          <w:b/>
          <w:bCs/>
        </w:rPr>
        <w:t xml:space="preserve">5) </w:t>
      </w:r>
      <w:r w:rsidR="00572D57" w:rsidRPr="7E8FD016">
        <w:rPr>
          <w:b/>
          <w:bCs/>
        </w:rPr>
        <w:t>Digital</w:t>
      </w:r>
      <w:r w:rsidR="78A47316" w:rsidRPr="7E8FD016">
        <w:rPr>
          <w:b/>
          <w:bCs/>
        </w:rPr>
        <w:t>-</w:t>
      </w:r>
      <w:r w:rsidR="00572D57" w:rsidRPr="7E8FD016">
        <w:rPr>
          <w:b/>
          <w:bCs/>
        </w:rPr>
        <w:t>centric innovation ecosystem</w:t>
      </w:r>
      <w:r w:rsidR="008D2DAA" w:rsidRPr="7E8FD016">
        <w:rPr>
          <w:b/>
          <w:bCs/>
        </w:rPr>
        <w:t xml:space="preserve">: </w:t>
      </w:r>
      <w:r w:rsidR="008D2DAA">
        <w:t>C</w:t>
      </w:r>
      <w:r w:rsidR="00347C1E">
        <w:t>reat</w:t>
      </w:r>
      <w:r w:rsidR="005B623D">
        <w:t>ing</w:t>
      </w:r>
      <w:r w:rsidR="00347C1E">
        <w:t xml:space="preserve"> an enabling environment </w:t>
      </w:r>
      <w:r w:rsidR="008D2DAA">
        <w:t>supporting digital innovation is essential to accelerate</w:t>
      </w:r>
      <w:r w:rsidR="00347C1E">
        <w:t xml:space="preserve"> digital transformation </w:t>
      </w:r>
      <w:r w:rsidR="008D2DAA">
        <w:t>in a country.</w:t>
      </w:r>
      <w:r w:rsidR="4EA396B5">
        <w:t xml:space="preserve"> The ability to digitally innovate domestically is also considered a sign of maturity which leverages all four dimensions addressed previously.</w:t>
      </w:r>
      <w:r w:rsidR="7B89F3D9">
        <w:t xml:space="preserve"> </w:t>
      </w:r>
      <w:r w:rsidR="008D2DAA">
        <w:t>Without entrepreneurship</w:t>
      </w:r>
      <w:r w:rsidR="4A88E97C">
        <w:t>-</w:t>
      </w:r>
      <w:r w:rsidR="008D2DAA">
        <w:t xml:space="preserve">driven innovation, economic </w:t>
      </w:r>
      <w:r w:rsidR="005B623D">
        <w:t>opportunities</w:t>
      </w:r>
      <w:r w:rsidR="008D2DAA">
        <w:t xml:space="preserve"> </w:t>
      </w:r>
      <w:r w:rsidR="7D18C052">
        <w:t>remain</w:t>
      </w:r>
      <w:r w:rsidR="008D2DAA">
        <w:t xml:space="preserve"> unexplored and </w:t>
      </w:r>
      <w:r w:rsidR="51F993FA">
        <w:t xml:space="preserve">the </w:t>
      </w:r>
      <w:r w:rsidR="008D2DAA">
        <w:t>global competitiveness of count</w:t>
      </w:r>
      <w:r w:rsidR="3E55584E">
        <w:t>r</w:t>
      </w:r>
      <w:r w:rsidR="6634581B">
        <w:t>ies in an increasingly digital landscape</w:t>
      </w:r>
      <w:r w:rsidR="008D2DAA">
        <w:t xml:space="preserve"> is</w:t>
      </w:r>
      <w:r w:rsidR="411D434E">
        <w:t xml:space="preserve"> put</w:t>
      </w:r>
      <w:r w:rsidR="008D2DAA">
        <w:t xml:space="preserve"> at risk. Through strong digital innovation ecosystems, countries can </w:t>
      </w:r>
      <w:r w:rsidR="005B623D">
        <w:t>benefit</w:t>
      </w:r>
      <w:r w:rsidR="008D2DAA">
        <w:t xml:space="preserve"> from </w:t>
      </w:r>
      <w:r w:rsidR="005C04C1">
        <w:t xml:space="preserve">increased productivity, economic growth and </w:t>
      </w:r>
      <w:r w:rsidR="005C04C1">
        <w:lastRenderedPageBreak/>
        <w:t>employment opportunities</w:t>
      </w:r>
      <w:r w:rsidR="7B1D1CFE">
        <w:t xml:space="preserve"> that catalyze digital transformation and ensure that long</w:t>
      </w:r>
      <w:r w:rsidR="0515D59B">
        <w:t>-</w:t>
      </w:r>
      <w:r w:rsidR="7B1D1CFE">
        <w:t>term digital development has a positive impact on the country’s broader economic development</w:t>
      </w:r>
      <w:r w:rsidR="005C04C1">
        <w:t xml:space="preserve">. </w:t>
      </w:r>
    </w:p>
    <w:bookmarkEnd w:id="4"/>
    <w:p w14:paraId="5CAFA8D8" w14:textId="145FDF92" w:rsidR="00E504B1" w:rsidRDefault="00B13EF9" w:rsidP="0034218F">
      <w:pPr>
        <w:jc w:val="both"/>
      </w:pPr>
      <w:r>
        <w:t xml:space="preserve">Elaboration within the framework of </w:t>
      </w:r>
      <w:r w:rsidR="00AA581C">
        <w:t>building blocks above</w:t>
      </w:r>
      <w:r>
        <w:t xml:space="preserve"> benefited </w:t>
      </w:r>
      <w:r w:rsidR="72B214F2">
        <w:t>from</w:t>
      </w:r>
      <w:r w:rsidR="00AA581C">
        <w:t xml:space="preserve"> secondary research </w:t>
      </w:r>
      <w:r w:rsidR="682DE305">
        <w:t>information</w:t>
      </w:r>
      <w:r w:rsidR="2930F0F6">
        <w:t xml:space="preserve">, including </w:t>
      </w:r>
      <w:r w:rsidR="00AA581C">
        <w:t>various ITU publication</w:t>
      </w:r>
      <w:r w:rsidR="497710C5">
        <w:t>s</w:t>
      </w:r>
      <w:r w:rsidR="7915DFA3">
        <w:t>, activities, and statistics as well as additional</w:t>
      </w:r>
      <w:r w:rsidR="1ACB72A5">
        <w:t xml:space="preserve"> research</w:t>
      </w:r>
      <w:r w:rsidR="00AA581C">
        <w:t xml:space="preserve">. </w:t>
      </w:r>
      <w:r w:rsidR="16A9957E">
        <w:t>In addition, content from other</w:t>
      </w:r>
      <w:r w:rsidR="00181B11">
        <w:t xml:space="preserve"> </w:t>
      </w:r>
      <w:r w:rsidR="538C2F28">
        <w:t>stakeholders’ publications and deliverables</w:t>
      </w:r>
      <w:r w:rsidR="3C2B2AB3">
        <w:t xml:space="preserve"> was taken into account</w:t>
      </w:r>
      <w:r w:rsidR="538C2F28">
        <w:t xml:space="preserve">. </w:t>
      </w:r>
      <w:r w:rsidR="2F5D5458">
        <w:t>E</w:t>
      </w:r>
      <w:r w:rsidR="00F40C89">
        <w:t xml:space="preserve">ach </w:t>
      </w:r>
      <w:r w:rsidR="00B84CF5">
        <w:t xml:space="preserve">piece of content is </w:t>
      </w:r>
      <w:r w:rsidR="00F40C89">
        <w:t xml:space="preserve">presented using the context </w:t>
      </w:r>
      <w:r w:rsidR="2FAA5374">
        <w:t xml:space="preserve">of the relevant </w:t>
      </w:r>
      <w:r w:rsidR="00F40C89">
        <w:t>building block</w:t>
      </w:r>
      <w:r w:rsidR="33E14196">
        <w:t xml:space="preserve"> </w:t>
      </w:r>
      <w:r w:rsidR="00B84CF5">
        <w:t xml:space="preserve">under which the information has been inserted, </w:t>
      </w:r>
      <w:r w:rsidR="33E14196">
        <w:t xml:space="preserve">and therefore </w:t>
      </w:r>
      <w:r w:rsidR="00B84CF5">
        <w:t>adopts one of the 5 perspectives of digital transformation</w:t>
      </w:r>
      <w:r w:rsidR="00F40C89">
        <w:t xml:space="preserve">. </w:t>
      </w:r>
    </w:p>
    <w:p w14:paraId="2DC619DD" w14:textId="0E27AB79" w:rsidR="00D276F1" w:rsidRPr="007465E4" w:rsidRDefault="00CC2F1B" w:rsidP="008915B2">
      <w:pPr>
        <w:pStyle w:val="Heading1"/>
        <w:numPr>
          <w:ilvl w:val="0"/>
          <w:numId w:val="9"/>
        </w:numPr>
        <w:ind w:left="567" w:hanging="567"/>
      </w:pPr>
      <w:bookmarkStart w:id="5" w:name="_Toc73960280"/>
      <w:bookmarkStart w:id="6" w:name="_Toc73960524"/>
      <w:bookmarkStart w:id="7" w:name="_Toc73960563"/>
      <w:bookmarkStart w:id="8" w:name="_Toc73960602"/>
      <w:bookmarkStart w:id="9" w:name="_Toc73961109"/>
      <w:bookmarkStart w:id="10" w:name="_Toc73961559"/>
      <w:bookmarkStart w:id="11" w:name="_Toc73961985"/>
      <w:bookmarkStart w:id="12" w:name="_Toc73962025"/>
      <w:bookmarkStart w:id="13" w:name="_Toc73962066"/>
      <w:bookmarkStart w:id="14" w:name="_Toc73962106"/>
      <w:bookmarkStart w:id="15" w:name="_Toc73962147"/>
      <w:bookmarkStart w:id="16" w:name="_Toc73962188"/>
      <w:bookmarkStart w:id="17" w:name="_Toc73962229"/>
      <w:bookmarkStart w:id="18" w:name="_Toc73960281"/>
      <w:bookmarkStart w:id="19" w:name="_Toc73960525"/>
      <w:bookmarkStart w:id="20" w:name="_Toc73960564"/>
      <w:bookmarkStart w:id="21" w:name="_Toc73960603"/>
      <w:bookmarkStart w:id="22" w:name="_Toc73961110"/>
      <w:bookmarkStart w:id="23" w:name="_Toc73961560"/>
      <w:bookmarkStart w:id="24" w:name="_Toc73961986"/>
      <w:bookmarkStart w:id="25" w:name="_Toc73962026"/>
      <w:bookmarkStart w:id="26" w:name="_Toc73962067"/>
      <w:bookmarkStart w:id="27" w:name="_Toc73962107"/>
      <w:bookmarkStart w:id="28" w:name="_Toc73962148"/>
      <w:bookmarkStart w:id="29" w:name="_Toc73962189"/>
      <w:bookmarkStart w:id="30" w:name="_Toc73962230"/>
      <w:bookmarkStart w:id="31" w:name="_Toc73960282"/>
      <w:bookmarkStart w:id="32" w:name="_Toc73960526"/>
      <w:bookmarkStart w:id="33" w:name="_Toc73960565"/>
      <w:bookmarkStart w:id="34" w:name="_Toc73960604"/>
      <w:bookmarkStart w:id="35" w:name="_Toc73961111"/>
      <w:bookmarkStart w:id="36" w:name="_Toc73961561"/>
      <w:bookmarkStart w:id="37" w:name="_Toc73961987"/>
      <w:bookmarkStart w:id="38" w:name="_Toc73962027"/>
      <w:bookmarkStart w:id="39" w:name="_Toc73962068"/>
      <w:bookmarkStart w:id="40" w:name="_Toc73962108"/>
      <w:bookmarkStart w:id="41" w:name="_Toc73962149"/>
      <w:bookmarkStart w:id="42" w:name="_Toc73962190"/>
      <w:bookmarkStart w:id="43" w:name="_Toc73962231"/>
      <w:bookmarkStart w:id="44" w:name="_Toc73960283"/>
      <w:bookmarkStart w:id="45" w:name="_Toc73960527"/>
      <w:bookmarkStart w:id="46" w:name="_Toc73960566"/>
      <w:bookmarkStart w:id="47" w:name="_Toc73960605"/>
      <w:bookmarkStart w:id="48" w:name="_Toc73961112"/>
      <w:bookmarkStart w:id="49" w:name="_Toc73961562"/>
      <w:bookmarkStart w:id="50" w:name="_Toc73961988"/>
      <w:bookmarkStart w:id="51" w:name="_Toc73962028"/>
      <w:bookmarkStart w:id="52" w:name="_Toc73962069"/>
      <w:bookmarkStart w:id="53" w:name="_Toc73962109"/>
      <w:bookmarkStart w:id="54" w:name="_Toc73962150"/>
      <w:bookmarkStart w:id="55" w:name="_Toc73962191"/>
      <w:bookmarkStart w:id="56" w:name="_Toc73962232"/>
      <w:bookmarkStart w:id="57" w:name="_Toc73960284"/>
      <w:bookmarkStart w:id="58" w:name="_Toc73960528"/>
      <w:bookmarkStart w:id="59" w:name="_Toc73960567"/>
      <w:bookmarkStart w:id="60" w:name="_Toc73960606"/>
      <w:bookmarkStart w:id="61" w:name="_Toc73961113"/>
      <w:bookmarkStart w:id="62" w:name="_Toc73961563"/>
      <w:bookmarkStart w:id="63" w:name="_Toc73961989"/>
      <w:bookmarkStart w:id="64" w:name="_Toc73962029"/>
      <w:bookmarkStart w:id="65" w:name="_Toc73962070"/>
      <w:bookmarkStart w:id="66" w:name="_Toc73962110"/>
      <w:bookmarkStart w:id="67" w:name="_Toc73962151"/>
      <w:bookmarkStart w:id="68" w:name="_Toc73962192"/>
      <w:bookmarkStart w:id="69" w:name="_Toc73962233"/>
      <w:bookmarkStart w:id="70" w:name="_Toc73960285"/>
      <w:bookmarkStart w:id="71" w:name="_Toc73960529"/>
      <w:bookmarkStart w:id="72" w:name="_Toc73960568"/>
      <w:bookmarkStart w:id="73" w:name="_Toc73960607"/>
      <w:bookmarkStart w:id="74" w:name="_Toc73961114"/>
      <w:bookmarkStart w:id="75" w:name="_Toc73961564"/>
      <w:bookmarkStart w:id="76" w:name="_Toc73961990"/>
      <w:bookmarkStart w:id="77" w:name="_Toc73962030"/>
      <w:bookmarkStart w:id="78" w:name="_Toc73962071"/>
      <w:bookmarkStart w:id="79" w:name="_Toc73962111"/>
      <w:bookmarkStart w:id="80" w:name="_Toc73962152"/>
      <w:bookmarkStart w:id="81" w:name="_Toc73962193"/>
      <w:bookmarkStart w:id="82" w:name="_Toc73962234"/>
      <w:bookmarkStart w:id="83" w:name="_Toc73960286"/>
      <w:bookmarkStart w:id="84" w:name="_Toc73960530"/>
      <w:bookmarkStart w:id="85" w:name="_Toc73960569"/>
      <w:bookmarkStart w:id="86" w:name="_Toc73960608"/>
      <w:bookmarkStart w:id="87" w:name="_Toc73961115"/>
      <w:bookmarkStart w:id="88" w:name="_Toc73961565"/>
      <w:bookmarkStart w:id="89" w:name="_Toc73961991"/>
      <w:bookmarkStart w:id="90" w:name="_Toc73962031"/>
      <w:bookmarkStart w:id="91" w:name="_Toc73962072"/>
      <w:bookmarkStart w:id="92" w:name="_Toc73962112"/>
      <w:bookmarkStart w:id="93" w:name="_Toc73962153"/>
      <w:bookmarkStart w:id="94" w:name="_Toc73962194"/>
      <w:bookmarkStart w:id="95" w:name="_Toc73962235"/>
      <w:bookmarkStart w:id="96" w:name="_Toc73960287"/>
      <w:bookmarkStart w:id="97" w:name="_Toc73960531"/>
      <w:bookmarkStart w:id="98" w:name="_Toc73960570"/>
      <w:bookmarkStart w:id="99" w:name="_Toc73960609"/>
      <w:bookmarkStart w:id="100" w:name="_Toc73961116"/>
      <w:bookmarkStart w:id="101" w:name="_Toc73961566"/>
      <w:bookmarkStart w:id="102" w:name="_Toc73961992"/>
      <w:bookmarkStart w:id="103" w:name="_Toc73962032"/>
      <w:bookmarkStart w:id="104" w:name="_Toc73962073"/>
      <w:bookmarkStart w:id="105" w:name="_Toc73962113"/>
      <w:bookmarkStart w:id="106" w:name="_Toc73962154"/>
      <w:bookmarkStart w:id="107" w:name="_Toc73962195"/>
      <w:bookmarkStart w:id="108" w:name="_Toc73962236"/>
      <w:bookmarkStart w:id="109" w:name="_Toc73960288"/>
      <w:bookmarkStart w:id="110" w:name="_Toc73960532"/>
      <w:bookmarkStart w:id="111" w:name="_Toc73960571"/>
      <w:bookmarkStart w:id="112" w:name="_Toc73960610"/>
      <w:bookmarkStart w:id="113" w:name="_Toc73961117"/>
      <w:bookmarkStart w:id="114" w:name="_Toc73961567"/>
      <w:bookmarkStart w:id="115" w:name="_Toc73961993"/>
      <w:bookmarkStart w:id="116" w:name="_Toc73962033"/>
      <w:bookmarkStart w:id="117" w:name="_Toc73962074"/>
      <w:bookmarkStart w:id="118" w:name="_Toc73962114"/>
      <w:bookmarkStart w:id="119" w:name="_Toc73962155"/>
      <w:bookmarkStart w:id="120" w:name="_Toc73962196"/>
      <w:bookmarkStart w:id="121" w:name="_Toc73962237"/>
      <w:bookmarkStart w:id="122" w:name="_Toc73960289"/>
      <w:bookmarkStart w:id="123" w:name="_Toc73960533"/>
      <w:bookmarkStart w:id="124" w:name="_Toc73960572"/>
      <w:bookmarkStart w:id="125" w:name="_Toc73960611"/>
      <w:bookmarkStart w:id="126" w:name="_Toc73961118"/>
      <w:bookmarkStart w:id="127" w:name="_Toc73961568"/>
      <w:bookmarkStart w:id="128" w:name="_Toc73961994"/>
      <w:bookmarkStart w:id="129" w:name="_Toc73962034"/>
      <w:bookmarkStart w:id="130" w:name="_Toc73962075"/>
      <w:bookmarkStart w:id="131" w:name="_Toc73962115"/>
      <w:bookmarkStart w:id="132" w:name="_Toc73962156"/>
      <w:bookmarkStart w:id="133" w:name="_Toc73962197"/>
      <w:bookmarkStart w:id="134" w:name="_Toc73962238"/>
      <w:bookmarkStart w:id="135" w:name="_Toc73960290"/>
      <w:bookmarkStart w:id="136" w:name="_Toc73960534"/>
      <w:bookmarkStart w:id="137" w:name="_Toc73960573"/>
      <w:bookmarkStart w:id="138" w:name="_Toc73960612"/>
      <w:bookmarkStart w:id="139" w:name="_Toc73961119"/>
      <w:bookmarkStart w:id="140" w:name="_Toc73961569"/>
      <w:bookmarkStart w:id="141" w:name="_Toc73961995"/>
      <w:bookmarkStart w:id="142" w:name="_Toc73962035"/>
      <w:bookmarkStart w:id="143" w:name="_Toc73962076"/>
      <w:bookmarkStart w:id="144" w:name="_Toc73962116"/>
      <w:bookmarkStart w:id="145" w:name="_Toc73962157"/>
      <w:bookmarkStart w:id="146" w:name="_Toc73962198"/>
      <w:bookmarkStart w:id="147" w:name="_Toc73962239"/>
      <w:bookmarkStart w:id="148" w:name="_Toc73960291"/>
      <w:bookmarkStart w:id="149" w:name="_Toc73960535"/>
      <w:bookmarkStart w:id="150" w:name="_Toc73960574"/>
      <w:bookmarkStart w:id="151" w:name="_Toc73960613"/>
      <w:bookmarkStart w:id="152" w:name="_Toc73961120"/>
      <w:bookmarkStart w:id="153" w:name="_Toc73961570"/>
      <w:bookmarkStart w:id="154" w:name="_Toc73961996"/>
      <w:bookmarkStart w:id="155" w:name="_Toc73962036"/>
      <w:bookmarkStart w:id="156" w:name="_Toc73962077"/>
      <w:bookmarkStart w:id="157" w:name="_Toc73962117"/>
      <w:bookmarkStart w:id="158" w:name="_Toc73962158"/>
      <w:bookmarkStart w:id="159" w:name="_Toc73962199"/>
      <w:bookmarkStart w:id="160" w:name="_Toc73962240"/>
      <w:bookmarkStart w:id="161" w:name="_Toc73960292"/>
      <w:bookmarkStart w:id="162" w:name="_Toc73960536"/>
      <w:bookmarkStart w:id="163" w:name="_Toc73960575"/>
      <w:bookmarkStart w:id="164" w:name="_Toc73960614"/>
      <w:bookmarkStart w:id="165" w:name="_Toc73961121"/>
      <w:bookmarkStart w:id="166" w:name="_Toc73961571"/>
      <w:bookmarkStart w:id="167" w:name="_Toc73961997"/>
      <w:bookmarkStart w:id="168" w:name="_Toc73962037"/>
      <w:bookmarkStart w:id="169" w:name="_Toc73962078"/>
      <w:bookmarkStart w:id="170" w:name="_Toc73962118"/>
      <w:bookmarkStart w:id="171" w:name="_Toc73962159"/>
      <w:bookmarkStart w:id="172" w:name="_Toc73962200"/>
      <w:bookmarkStart w:id="173" w:name="_Toc73962241"/>
      <w:bookmarkStart w:id="174" w:name="_Toc74850925"/>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7465E4">
        <w:t xml:space="preserve">Country </w:t>
      </w:r>
      <w:r w:rsidR="08DD415B" w:rsidRPr="007465E4">
        <w:t>Profile</w:t>
      </w:r>
      <w:r w:rsidR="06E8F5EB" w:rsidRPr="007465E4">
        <w:t xml:space="preserve"> – </w:t>
      </w:r>
      <w:r w:rsidR="2A9F1BA5" w:rsidRPr="007465E4">
        <w:t xml:space="preserve">Republic of </w:t>
      </w:r>
      <w:r w:rsidR="00E0012A">
        <w:t>Moldova</w:t>
      </w:r>
      <w:bookmarkEnd w:id="174"/>
    </w:p>
    <w:p w14:paraId="11288CAB" w14:textId="75919D80" w:rsidR="00812BB7" w:rsidRDefault="00812BB7" w:rsidP="006242B5">
      <w:pPr>
        <w:jc w:val="both"/>
      </w:pPr>
    </w:p>
    <w:p w14:paraId="01A0A67D" w14:textId="39A6EC0D" w:rsidR="00485AF0" w:rsidRPr="000A5102" w:rsidRDefault="008435C4" w:rsidP="000A5102">
      <w:pPr>
        <w:pStyle w:val="Heading2"/>
      </w:pPr>
      <w:bookmarkStart w:id="175" w:name="_Toc74850926"/>
      <w:r>
        <w:t xml:space="preserve">2.1 </w:t>
      </w:r>
      <w:r>
        <w:tab/>
      </w:r>
      <w:r w:rsidR="2936705C">
        <w:t>Building Block 1</w:t>
      </w:r>
      <w:r w:rsidR="22781946">
        <w:t xml:space="preserve"> - </w:t>
      </w:r>
      <w:r w:rsidR="00AB79B0">
        <w:t xml:space="preserve">Meaningful connectivity </w:t>
      </w:r>
      <w:r w:rsidR="009815A2">
        <w:t>as foundation for digital transformation</w:t>
      </w:r>
      <w:bookmarkEnd w:id="175"/>
    </w:p>
    <w:p w14:paraId="658C2D6D" w14:textId="53BA8B7C" w:rsidR="002B06EC" w:rsidRDefault="00812BB7" w:rsidP="000A5102">
      <w:pPr>
        <w:jc w:val="both"/>
        <w:rPr>
          <w:rFonts w:ascii="Calibri" w:eastAsia="Calibri" w:hAnsi="Calibri" w:cs="Calibri"/>
          <w:color w:val="000000" w:themeColor="text1"/>
        </w:rPr>
      </w:pPr>
      <w:r>
        <w:t>As stressed in the introduction, b</w:t>
      </w:r>
      <w:r w:rsidR="6A6DDA61">
        <w:t>roadband development is of p</w:t>
      </w:r>
      <w:r w:rsidR="1E2119D8">
        <w:t xml:space="preserve">rimary </w:t>
      </w:r>
      <w:r w:rsidR="6A6DDA61">
        <w:t xml:space="preserve">importance </w:t>
      </w:r>
      <w:r w:rsidR="0BF5BAF0">
        <w:t xml:space="preserve">and remains a prerequisite </w:t>
      </w:r>
      <w:r w:rsidR="6A6DDA61">
        <w:t>to ensure digital development. It is</w:t>
      </w:r>
      <w:r w:rsidR="1EBA0C02" w:rsidRPr="7E8FD016">
        <w:rPr>
          <w:rFonts w:ascii="Calibri" w:eastAsia="Calibri" w:hAnsi="Calibri" w:cs="Calibri"/>
          <w:color w:val="000000" w:themeColor="text1"/>
        </w:rPr>
        <w:t xml:space="preserve"> the backbone for </w:t>
      </w:r>
      <w:r w:rsidR="00E35EA1" w:rsidRPr="7E8FD016">
        <w:rPr>
          <w:rFonts w:ascii="Calibri" w:eastAsia="Calibri" w:hAnsi="Calibri" w:cs="Calibri"/>
          <w:color w:val="000000" w:themeColor="text1"/>
        </w:rPr>
        <w:t xml:space="preserve">every aspect of </w:t>
      </w:r>
      <w:r w:rsidR="00992909" w:rsidRPr="7E8FD016">
        <w:rPr>
          <w:rFonts w:ascii="Calibri" w:eastAsia="Calibri" w:hAnsi="Calibri" w:cs="Calibri"/>
          <w:color w:val="000000" w:themeColor="text1"/>
        </w:rPr>
        <w:t xml:space="preserve">the </w:t>
      </w:r>
      <w:r w:rsidR="007665AD" w:rsidRPr="7E8FD016">
        <w:rPr>
          <w:rFonts w:ascii="Calibri" w:eastAsia="Calibri" w:hAnsi="Calibri" w:cs="Calibri"/>
          <w:color w:val="000000" w:themeColor="text1"/>
        </w:rPr>
        <w:t xml:space="preserve">economy acting as a fundamental enabler </w:t>
      </w:r>
      <w:r w:rsidR="00992909" w:rsidRPr="7E8FD016">
        <w:rPr>
          <w:rFonts w:ascii="Calibri" w:eastAsia="Calibri" w:hAnsi="Calibri" w:cs="Calibri"/>
          <w:color w:val="000000" w:themeColor="text1"/>
        </w:rPr>
        <w:t>for businesses, consumers and citizens</w:t>
      </w:r>
      <w:r w:rsidR="1EBA0C02" w:rsidRPr="7E8FD016">
        <w:rPr>
          <w:rFonts w:ascii="Calibri" w:eastAsia="Calibri" w:hAnsi="Calibri" w:cs="Calibri"/>
          <w:color w:val="000000" w:themeColor="text1"/>
        </w:rPr>
        <w:t>. Access to the next generation of infrastructure (fixed, mobile, wireless, satellite) at an affordable price is a key prerequisite for advancing sustainable development.</w:t>
      </w:r>
      <w:r w:rsidR="002B06EC" w:rsidRPr="7E8FD016">
        <w:rPr>
          <w:rFonts w:ascii="Calibri" w:eastAsia="Calibri" w:hAnsi="Calibri" w:cs="Calibri"/>
          <w:color w:val="000000" w:themeColor="text1"/>
        </w:rPr>
        <w:t xml:space="preserve"> </w:t>
      </w:r>
    </w:p>
    <w:p w14:paraId="68384E18" w14:textId="2925E162" w:rsidR="6A6DDA61" w:rsidRPr="009F68A4" w:rsidRDefault="002B06EC" w:rsidP="000A5102">
      <w:pPr>
        <w:jc w:val="both"/>
        <w:rPr>
          <w:rFonts w:eastAsia="Calibri" w:cstheme="minorHAnsi"/>
          <w:color w:val="000000" w:themeColor="text1"/>
        </w:rPr>
      </w:pPr>
      <w:r w:rsidRPr="009F68A4">
        <w:rPr>
          <w:rFonts w:eastAsia="Calibri" w:cstheme="minorHAnsi"/>
          <w:color w:val="000000" w:themeColor="text1"/>
        </w:rPr>
        <w:t xml:space="preserve">This section will provide a general overview of </w:t>
      </w:r>
      <w:proofErr w:type="spellStart"/>
      <w:r w:rsidR="00832698" w:rsidRPr="009F68A4">
        <w:rPr>
          <w:rFonts w:eastAsia="Calibri" w:cstheme="minorHAnsi"/>
          <w:color w:val="000000" w:themeColor="text1"/>
        </w:rPr>
        <w:t>i</w:t>
      </w:r>
      <w:proofErr w:type="spellEnd"/>
      <w:r w:rsidR="00832698" w:rsidRPr="009F68A4">
        <w:rPr>
          <w:rFonts w:eastAsia="Calibri" w:cstheme="minorHAnsi"/>
          <w:color w:val="000000" w:themeColor="text1"/>
        </w:rPr>
        <w:t xml:space="preserve">) </w:t>
      </w:r>
      <w:r w:rsidRPr="009F68A4">
        <w:rPr>
          <w:rFonts w:eastAsia="Calibri" w:cstheme="minorHAnsi"/>
          <w:color w:val="000000" w:themeColor="text1"/>
        </w:rPr>
        <w:t xml:space="preserve">connectivity indicators for </w:t>
      </w:r>
      <w:r w:rsidR="003A3A44" w:rsidRPr="009F68A4">
        <w:rPr>
          <w:rFonts w:eastAsia="Calibri" w:cstheme="minorHAnsi"/>
          <w:color w:val="000000" w:themeColor="text1"/>
        </w:rPr>
        <w:t>the Republic of Moldova</w:t>
      </w:r>
      <w:r w:rsidRPr="009F68A4">
        <w:rPr>
          <w:rFonts w:eastAsia="Calibri" w:cstheme="minorHAnsi"/>
          <w:color w:val="000000" w:themeColor="text1"/>
        </w:rPr>
        <w:t xml:space="preserve">, to position the country in a European and global context, and will then dive into </w:t>
      </w:r>
      <w:r w:rsidR="00832698" w:rsidRPr="009F68A4">
        <w:rPr>
          <w:rFonts w:eastAsia="Calibri" w:cstheme="minorHAnsi"/>
          <w:color w:val="000000" w:themeColor="text1"/>
        </w:rPr>
        <w:t xml:space="preserve">ii) </w:t>
      </w:r>
      <w:r w:rsidRPr="009F68A4">
        <w:rPr>
          <w:rFonts w:eastAsia="Calibri" w:cstheme="minorHAnsi"/>
          <w:color w:val="000000" w:themeColor="text1"/>
        </w:rPr>
        <w:t>the market environment</w:t>
      </w:r>
      <w:r w:rsidR="65519DB0" w:rsidRPr="009F68A4">
        <w:rPr>
          <w:rFonts w:eastAsia="Calibri" w:cstheme="minorHAnsi"/>
          <w:color w:val="000000" w:themeColor="text1"/>
        </w:rPr>
        <w:t>;</w:t>
      </w:r>
      <w:r w:rsidRPr="009F68A4">
        <w:rPr>
          <w:rFonts w:eastAsia="Calibri" w:cstheme="minorHAnsi"/>
          <w:color w:val="000000" w:themeColor="text1"/>
        </w:rPr>
        <w:t xml:space="preserve"> </w:t>
      </w:r>
      <w:r w:rsidR="00832698" w:rsidRPr="009F68A4">
        <w:rPr>
          <w:rFonts w:eastAsia="Calibri" w:cstheme="minorHAnsi"/>
          <w:color w:val="000000" w:themeColor="text1"/>
        </w:rPr>
        <w:t xml:space="preserve">iii) </w:t>
      </w:r>
      <w:r w:rsidR="00443ABA" w:rsidRPr="009F68A4">
        <w:rPr>
          <w:rFonts w:eastAsia="Calibri" w:cstheme="minorHAnsi"/>
          <w:color w:val="000000" w:themeColor="text1"/>
        </w:rPr>
        <w:t>current trends in access, affordability and use</w:t>
      </w:r>
      <w:r w:rsidR="0F86B205" w:rsidRPr="009F68A4">
        <w:rPr>
          <w:rFonts w:eastAsia="Calibri" w:cstheme="minorHAnsi"/>
          <w:color w:val="000000" w:themeColor="text1"/>
        </w:rPr>
        <w:t>;</w:t>
      </w:r>
      <w:r w:rsidR="00443ABA" w:rsidRPr="009F68A4">
        <w:rPr>
          <w:rFonts w:eastAsia="Calibri" w:cstheme="minorHAnsi"/>
          <w:color w:val="000000" w:themeColor="text1"/>
        </w:rPr>
        <w:t xml:space="preserve"> </w:t>
      </w:r>
      <w:r w:rsidR="00832698" w:rsidRPr="009F68A4">
        <w:rPr>
          <w:rFonts w:eastAsia="Calibri" w:cstheme="minorHAnsi"/>
          <w:color w:val="000000" w:themeColor="text1"/>
        </w:rPr>
        <w:t xml:space="preserve">iv) </w:t>
      </w:r>
      <w:r w:rsidR="00443ABA" w:rsidRPr="009F68A4">
        <w:rPr>
          <w:rFonts w:eastAsia="Calibri" w:cstheme="minorHAnsi"/>
          <w:color w:val="000000" w:themeColor="text1"/>
        </w:rPr>
        <w:t>latest developments in connectivity policy and regulation</w:t>
      </w:r>
      <w:r w:rsidR="770BA791" w:rsidRPr="009F68A4">
        <w:rPr>
          <w:rFonts w:eastAsia="Calibri" w:cstheme="minorHAnsi"/>
          <w:color w:val="000000" w:themeColor="text1"/>
        </w:rPr>
        <w:t>;</w:t>
      </w:r>
      <w:r w:rsidR="00832698" w:rsidRPr="009F68A4">
        <w:rPr>
          <w:rFonts w:eastAsia="Calibri" w:cstheme="minorHAnsi"/>
          <w:color w:val="000000" w:themeColor="text1"/>
        </w:rPr>
        <w:t xml:space="preserve"> v) 5G development</w:t>
      </w:r>
      <w:r w:rsidR="0F71F977" w:rsidRPr="009F68A4">
        <w:rPr>
          <w:rFonts w:eastAsia="Calibri" w:cstheme="minorHAnsi"/>
          <w:color w:val="000000" w:themeColor="text1"/>
        </w:rPr>
        <w:t>;</w:t>
      </w:r>
      <w:r w:rsidR="009921DE" w:rsidRPr="009F68A4">
        <w:rPr>
          <w:rFonts w:eastAsia="Calibri" w:cstheme="minorHAnsi"/>
          <w:color w:val="000000" w:themeColor="text1"/>
        </w:rPr>
        <w:t xml:space="preserve"> and vi) infrastructure cybersecurity.</w:t>
      </w:r>
    </w:p>
    <w:p w14:paraId="55FB9B79" w14:textId="0EFD4209" w:rsidR="2F1E31AF" w:rsidRPr="000A5102" w:rsidRDefault="008435C4" w:rsidP="000A5102">
      <w:pPr>
        <w:pStyle w:val="Heading3"/>
      </w:pPr>
      <w:bookmarkStart w:id="176" w:name="_Toc74850927"/>
      <w:r w:rsidRPr="000A5102">
        <w:t xml:space="preserve">2.1.1 </w:t>
      </w:r>
      <w:r w:rsidR="2F1E31AF" w:rsidRPr="000A5102">
        <w:t>General overview on connectivity indicators</w:t>
      </w:r>
      <w:bookmarkEnd w:id="176"/>
    </w:p>
    <w:p w14:paraId="78DB968D" w14:textId="42B4FA31" w:rsidR="007A363E" w:rsidRDefault="000B6B07" w:rsidP="000A5102">
      <w:pPr>
        <w:jc w:val="both"/>
      </w:pPr>
      <w:r w:rsidRPr="001264C2">
        <w:t>ITU data shows that 76.12% of individuals in the Republic of Moldova made use of the Internet in 2017</w:t>
      </w:r>
      <w:r w:rsidR="00E63EDB" w:rsidRPr="001264C2">
        <w:t>.</w:t>
      </w:r>
      <w:r w:rsidRPr="007B0CF8">
        <w:rPr>
          <w:vertAlign w:val="superscript"/>
        </w:rPr>
        <w:footnoteReference w:id="1"/>
      </w:r>
      <w:r w:rsidR="00E63EDB" w:rsidRPr="007B0CF8">
        <w:rPr>
          <w:vertAlign w:val="superscript"/>
        </w:rPr>
        <w:t xml:space="preserve"> </w:t>
      </w:r>
      <w:r w:rsidR="00AD3700">
        <w:t>T</w:t>
      </w:r>
      <w:r w:rsidR="001477BB">
        <w:t xml:space="preserve">his indicator is expected to increase </w:t>
      </w:r>
      <w:r w:rsidR="000E270F">
        <w:t>as</w:t>
      </w:r>
      <w:r w:rsidR="001477BB">
        <w:t xml:space="preserve"> the </w:t>
      </w:r>
      <w:r w:rsidR="001477BB" w:rsidRPr="001477BB">
        <w:t xml:space="preserve">number of mobile-broadband </w:t>
      </w:r>
      <w:r w:rsidR="001477BB">
        <w:t xml:space="preserve">and fixed broadband </w:t>
      </w:r>
      <w:r w:rsidR="001477BB" w:rsidRPr="001477BB">
        <w:t xml:space="preserve">subscriptions </w:t>
      </w:r>
      <w:r w:rsidR="00EC48A4">
        <w:t>have</w:t>
      </w:r>
      <w:r w:rsidR="002C343D">
        <w:t xml:space="preserve"> increase</w:t>
      </w:r>
      <w:r w:rsidR="00EC48A4">
        <w:t>d</w:t>
      </w:r>
      <w:r w:rsidR="15A3F65E">
        <w:t xml:space="preserve"> in 2018 and 2019</w:t>
      </w:r>
      <w:r w:rsidR="002C343D">
        <w:t xml:space="preserve">. </w:t>
      </w:r>
      <w:bookmarkStart w:id="177" w:name="_Hlk78226732"/>
      <w:r w:rsidR="002C343D">
        <w:t>In 20</w:t>
      </w:r>
      <w:r w:rsidR="00CF1A6A">
        <w:t>20</w:t>
      </w:r>
      <w:r w:rsidR="002C343D">
        <w:t xml:space="preserve">, the </w:t>
      </w:r>
      <w:r w:rsidR="002C343D" w:rsidRPr="002C343D">
        <w:t xml:space="preserve">number of </w:t>
      </w:r>
      <w:r w:rsidR="002C343D">
        <w:t xml:space="preserve">active </w:t>
      </w:r>
      <w:r w:rsidR="002C343D" w:rsidRPr="002C343D">
        <w:t>mobile-broadband</w:t>
      </w:r>
      <w:r w:rsidR="002C343D">
        <w:t xml:space="preserve"> </w:t>
      </w:r>
      <w:r w:rsidR="002C343D" w:rsidRPr="002C343D">
        <w:t>subscriptions per 100 inhabitants</w:t>
      </w:r>
      <w:r w:rsidR="002C343D">
        <w:t xml:space="preserve"> reached the share of 58.</w:t>
      </w:r>
      <w:r w:rsidR="00CF1A6A">
        <w:t>8</w:t>
      </w:r>
      <w:r w:rsidR="002C343D">
        <w:t xml:space="preserve">%, with an increase of 8.2% comparing to 2017, </w:t>
      </w:r>
      <w:r w:rsidR="002C343D" w:rsidRPr="002C343D">
        <w:t>while the number of fixed broadband subscriptions per 100 inhabitants was</w:t>
      </w:r>
      <w:r w:rsidR="002C343D">
        <w:t xml:space="preserve"> 1</w:t>
      </w:r>
      <w:r w:rsidR="00CF1A6A">
        <w:t>7</w:t>
      </w:r>
      <w:r w:rsidR="002C343D">
        <w:t>.</w:t>
      </w:r>
      <w:r w:rsidR="00CF1A6A">
        <w:t>8</w:t>
      </w:r>
      <w:r w:rsidR="002C343D">
        <w:t>%</w:t>
      </w:r>
      <w:bookmarkEnd w:id="177"/>
      <w:r w:rsidR="002C343D">
        <w:t xml:space="preserve">, with an increase of </w:t>
      </w:r>
      <w:r w:rsidR="000E270F">
        <w:t xml:space="preserve">2.1% compared to the same year. Besides, </w:t>
      </w:r>
      <w:bookmarkStart w:id="178" w:name="_Hlk78226778"/>
      <w:r w:rsidR="000E270F">
        <w:t xml:space="preserve">Moldova </w:t>
      </w:r>
      <w:r w:rsidR="1C79556C" w:rsidRPr="000E270F">
        <w:t xml:space="preserve">has </w:t>
      </w:r>
      <w:r w:rsidR="004430C3">
        <w:t>100</w:t>
      </w:r>
      <w:r w:rsidR="000E270F" w:rsidRPr="000E270F">
        <w:t xml:space="preserve">% of the population </w:t>
      </w:r>
      <w:r w:rsidR="473275AE" w:rsidRPr="000E270F">
        <w:t xml:space="preserve">covered by </w:t>
      </w:r>
      <w:r w:rsidR="000E270F" w:rsidRPr="000E270F">
        <w:t>3G and 9</w:t>
      </w:r>
      <w:r w:rsidR="000E270F">
        <w:t>8</w:t>
      </w:r>
      <w:r w:rsidR="000E270F" w:rsidRPr="000E270F">
        <w:t>% with 4G/LTE.</w:t>
      </w:r>
      <w:bookmarkEnd w:id="178"/>
    </w:p>
    <w:p w14:paraId="794448C8" w14:textId="14DC6220" w:rsidR="00B60149" w:rsidRDefault="00EC48A4" w:rsidP="000A5102">
      <w:pPr>
        <w:jc w:val="both"/>
      </w:pPr>
      <w:bookmarkStart w:id="179" w:name="_Hlk78278168"/>
      <w:r>
        <w:t>A</w:t>
      </w:r>
      <w:r w:rsidR="00400F3F">
        <w:t xml:space="preserve">ccording to </w:t>
      </w:r>
      <w:r w:rsidR="0036221A">
        <w:t xml:space="preserve">the </w:t>
      </w:r>
      <w:bookmarkStart w:id="180" w:name="_Hlk74233476"/>
      <w:r w:rsidR="000B6B07">
        <w:t xml:space="preserve">National Regulatory Agency for Electronic Communications and Information Technology in Moldova </w:t>
      </w:r>
      <w:bookmarkEnd w:id="180"/>
      <w:r w:rsidR="000B6B07">
        <w:t>(ANRCETI)</w:t>
      </w:r>
      <w:r w:rsidR="00400F3F">
        <w:t xml:space="preserve">, fixed broadband access </w:t>
      </w:r>
      <w:r w:rsidR="00216F93">
        <w:t>registered a</w:t>
      </w:r>
      <w:r w:rsidR="00400F3F">
        <w:t xml:space="preserve"> dynamic </w:t>
      </w:r>
      <w:r w:rsidR="00BC0EDF">
        <w:t>growth</w:t>
      </w:r>
      <w:r w:rsidR="00400F3F">
        <w:t xml:space="preserve"> </w:t>
      </w:r>
      <w:r w:rsidR="00216F93">
        <w:t xml:space="preserve">of 7.2% </w:t>
      </w:r>
      <w:r w:rsidR="00400F3F">
        <w:t>in</w:t>
      </w:r>
      <w:r w:rsidR="00216F93">
        <w:t xml:space="preserve"> 2020</w:t>
      </w:r>
      <w:r w:rsidR="00400F3F">
        <w:t xml:space="preserve"> </w:t>
      </w:r>
      <w:r w:rsidR="00216F93">
        <w:t xml:space="preserve">in </w:t>
      </w:r>
      <w:r w:rsidR="00400F3F">
        <w:t xml:space="preserve">terms of </w:t>
      </w:r>
      <w:r w:rsidR="00400F3F">
        <w:lastRenderedPageBreak/>
        <w:t>the number of final users comparing to 2019</w:t>
      </w:r>
      <w:r>
        <w:t>,</w:t>
      </w:r>
      <w:r w:rsidR="00216F93">
        <w:t xml:space="preserve"> and reached over 719 000 users. Contrarily, the number of </w:t>
      </w:r>
      <w:r w:rsidR="00B60149">
        <w:t>mobile internet users decreased by 0.4</w:t>
      </w:r>
      <w:r w:rsidR="007B0CF8">
        <w:t>%, reaching</w:t>
      </w:r>
      <w:r w:rsidR="00B60149">
        <w:t xml:space="preserve"> </w:t>
      </w:r>
      <w:r w:rsidR="007B0CF8" w:rsidRPr="007B0CF8">
        <w:t>2 371 108</w:t>
      </w:r>
      <w:r w:rsidR="007B0CF8">
        <w:t xml:space="preserve"> </w:t>
      </w:r>
      <w:r>
        <w:t>users</w:t>
      </w:r>
      <w:r w:rsidR="00B60149">
        <w:t>.</w:t>
      </w:r>
      <w:r w:rsidR="007B0CF8">
        <w:rPr>
          <w:rStyle w:val="FootnoteReference"/>
        </w:rPr>
        <w:footnoteReference w:id="2"/>
      </w:r>
      <w:r w:rsidR="00B60149">
        <w:t xml:space="preserve"> </w:t>
      </w:r>
    </w:p>
    <w:bookmarkEnd w:id="179"/>
    <w:p w14:paraId="63E816E8" w14:textId="719C92EB" w:rsidR="00216F93" w:rsidRDefault="00B60149" w:rsidP="000A5102">
      <w:pPr>
        <w:jc w:val="both"/>
      </w:pPr>
      <w:r>
        <w:t xml:space="preserve">The number of </w:t>
      </w:r>
      <w:r w:rsidRPr="0036221A">
        <w:t xml:space="preserve">fixed broadband subscriptions per 100 inhabitants </w:t>
      </w:r>
      <w:r>
        <w:t>reached</w:t>
      </w:r>
      <w:r w:rsidRPr="0036221A">
        <w:t xml:space="preserve"> </w:t>
      </w:r>
      <w:r>
        <w:t xml:space="preserve">in 2020 a share of </w:t>
      </w:r>
      <w:r w:rsidRPr="0036221A">
        <w:t>27,2%</w:t>
      </w:r>
      <w:r>
        <w:t>, with 2.2</w:t>
      </w:r>
      <w:r w:rsidR="00952686">
        <w:t xml:space="preserve"> percentage point </w:t>
      </w:r>
      <w:r>
        <w:t xml:space="preserve">increase </w:t>
      </w:r>
      <w:bookmarkStart w:id="181" w:name="_Hlk74425910"/>
      <w:r>
        <w:t>compared to 2019</w:t>
      </w:r>
      <w:bookmarkEnd w:id="181"/>
      <w:r w:rsidR="0063133B">
        <w:t>.</w:t>
      </w:r>
      <w:r w:rsidR="00952686">
        <w:t xml:space="preserve"> </w:t>
      </w:r>
      <w:r w:rsidR="0063133B">
        <w:t xml:space="preserve"> </w:t>
      </w:r>
      <w:r w:rsidR="00EC48A4">
        <w:t>T</w:t>
      </w:r>
      <w:r>
        <w:t xml:space="preserve">he </w:t>
      </w:r>
      <w:proofErr w:type="spellStart"/>
      <w:r>
        <w:t>FTTx</w:t>
      </w:r>
      <w:proofErr w:type="spellEnd"/>
      <w:r>
        <w:t xml:space="preserve"> technology </w:t>
      </w:r>
      <w:r w:rsidR="00EC48A4">
        <w:t xml:space="preserve">proved to be </w:t>
      </w:r>
      <w:r>
        <w:t xml:space="preserve">the most widely used and </w:t>
      </w:r>
      <w:r w:rsidR="00EC48A4">
        <w:t xml:space="preserve">currently </w:t>
      </w:r>
      <w:r>
        <w:t xml:space="preserve">covers 72.3% of fixed broadband subscriptions, </w:t>
      </w:r>
      <w:r w:rsidR="00EC48A4">
        <w:t xml:space="preserve">registering </w:t>
      </w:r>
      <w:r>
        <w:t xml:space="preserve">an </w:t>
      </w:r>
      <w:r w:rsidR="00637744">
        <w:t>increase</w:t>
      </w:r>
      <w:r>
        <w:t xml:space="preserve"> o</w:t>
      </w:r>
      <w:r w:rsidR="00637744">
        <w:t>f</w:t>
      </w:r>
      <w:r>
        <w:t xml:space="preserve"> 4.9</w:t>
      </w:r>
      <w:r w:rsidR="00952686" w:rsidRPr="00952686">
        <w:t xml:space="preserve"> percentage point</w:t>
      </w:r>
      <w:r w:rsidR="00637744">
        <w:t>.</w:t>
      </w:r>
      <w:r w:rsidR="00952686" w:rsidRPr="00952686">
        <w:rPr>
          <w:rStyle w:val="FootnoteReference"/>
        </w:rPr>
        <w:t xml:space="preserve"> </w:t>
      </w:r>
      <w:r w:rsidR="00EC48A4">
        <w:t>At the same time,</w:t>
      </w:r>
      <w:r w:rsidR="00637744">
        <w:t xml:space="preserve"> </w:t>
      </w:r>
      <w:proofErr w:type="spellStart"/>
      <w:r w:rsidR="00637744">
        <w:t>xDSL</w:t>
      </w:r>
      <w:proofErr w:type="spellEnd"/>
      <w:r w:rsidR="00637744">
        <w:t xml:space="preserve"> technology ensure</w:t>
      </w:r>
      <w:r w:rsidR="0063133B">
        <w:t>s</w:t>
      </w:r>
      <w:r w:rsidR="00637744">
        <w:t xml:space="preserve"> 19,2% of connections, the </w:t>
      </w:r>
      <w:r w:rsidR="00637744" w:rsidRPr="00637744">
        <w:t>coaxial cable connections</w:t>
      </w:r>
      <w:r w:rsidR="00637744">
        <w:t xml:space="preserve"> </w:t>
      </w:r>
      <w:r w:rsidR="00637744" w:rsidRPr="00637744">
        <w:t xml:space="preserve">(DOCSIS) </w:t>
      </w:r>
      <w:r w:rsidR="00637744">
        <w:t>reach 8.2%, and the other technologies cover only 0.3%</w:t>
      </w:r>
      <w:r w:rsidR="00EC48A4">
        <w:t xml:space="preserve"> of connections</w:t>
      </w:r>
      <w:r w:rsidR="00637744">
        <w:t>.</w:t>
      </w:r>
      <w:r w:rsidR="00952686" w:rsidRPr="00952686">
        <w:rPr>
          <w:rStyle w:val="FootnoteReference"/>
        </w:rPr>
        <w:t xml:space="preserve"> </w:t>
      </w:r>
      <w:r w:rsidR="00952686">
        <w:rPr>
          <w:rStyle w:val="FootnoteReference"/>
        </w:rPr>
        <w:footnoteReference w:id="3"/>
      </w:r>
    </w:p>
    <w:p w14:paraId="4EAD9384" w14:textId="1050CCC4" w:rsidR="00AD65B1" w:rsidRPr="00B87759" w:rsidRDefault="0063133B" w:rsidP="000A5102">
      <w:pPr>
        <w:jc w:val="both"/>
        <w:rPr>
          <w:rFonts w:ascii="Times New Roman" w:eastAsia="Times New Roman" w:hAnsi="Times New Roman" w:cs="Times New Roman"/>
          <w:sz w:val="24"/>
          <w:szCs w:val="24"/>
        </w:rPr>
      </w:pPr>
      <w:r w:rsidRPr="0063133B">
        <w:t xml:space="preserve">Concerning the mobile broadband market, </w:t>
      </w:r>
      <w:r>
        <w:t xml:space="preserve">the number of mobile broadband </w:t>
      </w:r>
      <w:r w:rsidRPr="0036221A">
        <w:t xml:space="preserve">subscriptions </w:t>
      </w:r>
      <w:r>
        <w:t xml:space="preserve">per 100 </w:t>
      </w:r>
      <w:r w:rsidRPr="0036221A">
        <w:t>inhabitants</w:t>
      </w:r>
      <w:r w:rsidRPr="0063133B">
        <w:t xml:space="preserve"> in 2020 </w:t>
      </w:r>
      <w:r>
        <w:t>was 89.8%, with 1</w:t>
      </w:r>
      <w:r w:rsidR="008567EC">
        <w:t xml:space="preserve"> percentage point</w:t>
      </w:r>
      <w:r w:rsidRPr="0063133B">
        <w:t xml:space="preserve"> </w:t>
      </w:r>
      <w:r w:rsidR="008567EC">
        <w:t>increase</w:t>
      </w:r>
      <w:r w:rsidR="008567EC" w:rsidRPr="0063133B">
        <w:t xml:space="preserve"> </w:t>
      </w:r>
      <w:r w:rsidRPr="0063133B">
        <w:t>compared to 2019</w:t>
      </w:r>
      <w:r>
        <w:t>.</w:t>
      </w:r>
      <w:r w:rsidR="000C5F17">
        <w:t xml:space="preserve"> T</w:t>
      </w:r>
      <w:r w:rsidR="000C5F17" w:rsidRPr="000C5F17">
        <w:t>he total number of users accessing mobile Internet via 4G networks increased by 6.8% compared to the end of 2019 and amounted to over 1</w:t>
      </w:r>
      <w:r w:rsidR="000C5F17">
        <w:t xml:space="preserve"> </w:t>
      </w:r>
      <w:r w:rsidR="000C5F17" w:rsidRPr="000C5F17">
        <w:t>6</w:t>
      </w:r>
      <w:r w:rsidR="000C5F17">
        <w:t>00 000.</w:t>
      </w:r>
      <w:r w:rsidR="008567EC" w:rsidRPr="008567EC">
        <w:rPr>
          <w:rStyle w:val="FootnoteReference"/>
        </w:rPr>
        <w:t xml:space="preserve"> </w:t>
      </w:r>
      <w:r w:rsidR="008567EC">
        <w:rPr>
          <w:rStyle w:val="FootnoteReference"/>
        </w:rPr>
        <w:footnoteReference w:id="4"/>
      </w:r>
      <w:r w:rsidR="000C5F17" w:rsidRPr="00B87759">
        <w:t xml:space="preserve"> </w:t>
      </w:r>
      <w:r w:rsidR="00AD65B1" w:rsidRPr="00B87759">
        <w:t xml:space="preserve">The traffic generated by mobile broadband users via smartphones increased by 47.2% </w:t>
      </w:r>
      <w:r w:rsidR="00B87759" w:rsidRPr="00B87759">
        <w:t xml:space="preserve">in 2019 </w:t>
      </w:r>
      <w:r w:rsidR="00AD65B1" w:rsidRPr="00B87759">
        <w:t xml:space="preserve">to about </w:t>
      </w:r>
      <w:r w:rsidR="00B87759" w:rsidRPr="00B87759">
        <w:t>52 452 TB</w:t>
      </w:r>
      <w:r w:rsidR="00372F07">
        <w:rPr>
          <w:rStyle w:val="FootnoteReference"/>
        </w:rPr>
        <w:footnoteReference w:id="5"/>
      </w:r>
      <w:r w:rsidR="00B87759" w:rsidRPr="00B87759">
        <w:t xml:space="preserve"> and </w:t>
      </w:r>
      <w:r w:rsidR="00B87759">
        <w:t xml:space="preserve">followed the same trend in 2020, when it increased by </w:t>
      </w:r>
      <w:r w:rsidR="00B87759" w:rsidRPr="00B87759">
        <w:t>55,3%</w:t>
      </w:r>
      <w:r w:rsidR="00B87759">
        <w:t xml:space="preserve"> and reached </w:t>
      </w:r>
      <w:r w:rsidR="00B87759" w:rsidRPr="00B87759">
        <w:t>81 450 TB</w:t>
      </w:r>
      <w:r w:rsidR="00B87759">
        <w:t>.</w:t>
      </w:r>
      <w:r w:rsidR="00B87759">
        <w:rPr>
          <w:rStyle w:val="FootnoteReference"/>
        </w:rPr>
        <w:footnoteReference w:id="6"/>
      </w:r>
    </w:p>
    <w:p w14:paraId="6CEBCD23" w14:textId="037A8953" w:rsidR="49341A57" w:rsidRDefault="49341A57" w:rsidP="000A5102">
      <w:pPr>
        <w:jc w:val="both"/>
      </w:pPr>
      <w:r>
        <w:t>Table 1 below summarizes a set of</w:t>
      </w:r>
      <w:r w:rsidR="005A0212">
        <w:t xml:space="preserve"> ITU</w:t>
      </w:r>
      <w:r>
        <w:t xml:space="preserve"> indicators that </w:t>
      </w:r>
      <w:r w:rsidR="030FEFBD">
        <w:t xml:space="preserve">position </w:t>
      </w:r>
      <w:r w:rsidR="00D07BCC">
        <w:t>Moldova</w:t>
      </w:r>
      <w:r>
        <w:t xml:space="preserve"> in a European and Global </w:t>
      </w:r>
      <w:r w:rsidR="4EB43DED">
        <w:t xml:space="preserve">context </w:t>
      </w:r>
      <w:r w:rsidR="31F8A866">
        <w:t>with regards to telecommunications and internet indicators.</w:t>
      </w:r>
      <w:r w:rsidR="5F058C35">
        <w:t xml:space="preserve"> While on </w:t>
      </w:r>
      <w:r w:rsidR="00531765">
        <w:t xml:space="preserve">some </w:t>
      </w:r>
      <w:r w:rsidR="5F058C35">
        <w:t xml:space="preserve">fronts, </w:t>
      </w:r>
      <w:r w:rsidR="00E63EDB">
        <w:t>Moldova</w:t>
      </w:r>
      <w:r w:rsidR="5F058C35">
        <w:t xml:space="preserve"> finds itself well above World averages, there remains a </w:t>
      </w:r>
      <w:r w:rsidR="00043B70">
        <w:t>non-negligible</w:t>
      </w:r>
      <w:r w:rsidR="5F058C35">
        <w:t xml:space="preserve"> gap bet</w:t>
      </w:r>
      <w:r w:rsidR="2153A1D0">
        <w:t>ween the country and</w:t>
      </w:r>
      <w:r w:rsidR="150F786B">
        <w:t xml:space="preserve"> many of</w:t>
      </w:r>
      <w:r w:rsidR="2153A1D0">
        <w:t xml:space="preserve"> Europe region averages (encompassing 46 countries of Europe region</w:t>
      </w:r>
      <w:r w:rsidRPr="00D07BCC">
        <w:rPr>
          <w:vertAlign w:val="superscript"/>
        </w:rPr>
        <w:footnoteReference w:id="7"/>
      </w:r>
      <w:r w:rsidR="7F3617D8">
        <w:t xml:space="preserve">). </w:t>
      </w:r>
      <w:r w:rsidR="000C5F17">
        <w:t xml:space="preserve"> </w:t>
      </w:r>
    </w:p>
    <w:p w14:paraId="67DD9D89" w14:textId="79628397" w:rsidR="47A3C12E" w:rsidRDefault="47A3C12E" w:rsidP="008915B2">
      <w:pPr>
        <w:jc w:val="center"/>
        <w:rPr>
          <w:rFonts w:ascii="Times New Roman" w:eastAsia="Times New Roman" w:hAnsi="Times New Roman" w:cs="Times New Roman"/>
          <w:i/>
          <w:iCs/>
          <w:sz w:val="24"/>
          <w:szCs w:val="24"/>
        </w:rPr>
      </w:pPr>
      <w:r w:rsidRPr="008915B2">
        <w:rPr>
          <w:rFonts w:eastAsia="Times New Roman" w:cstheme="minorHAnsi"/>
          <w:b/>
          <w:bCs/>
          <w:color w:val="4472C4" w:themeColor="accent1"/>
        </w:rPr>
        <w:t xml:space="preserve">Table 1. </w:t>
      </w:r>
      <w:r w:rsidR="7BA281CE" w:rsidRPr="008915B2">
        <w:rPr>
          <w:rFonts w:eastAsia="Times New Roman" w:cstheme="minorHAnsi"/>
          <w:b/>
          <w:bCs/>
          <w:color w:val="4472C4" w:themeColor="accent1"/>
        </w:rPr>
        <w:t xml:space="preserve">Key </w:t>
      </w:r>
      <w:r w:rsidRPr="008915B2">
        <w:rPr>
          <w:rFonts w:eastAsia="Times New Roman" w:cstheme="minorHAnsi"/>
          <w:b/>
          <w:bCs/>
          <w:color w:val="4472C4" w:themeColor="accent1"/>
        </w:rPr>
        <w:t xml:space="preserve">Telecommunications &amp; Internet Indicators in </w:t>
      </w:r>
      <w:r w:rsidR="000339AE">
        <w:rPr>
          <w:rFonts w:eastAsia="Times New Roman" w:cstheme="minorHAnsi"/>
          <w:b/>
          <w:bCs/>
          <w:color w:val="4472C4" w:themeColor="accent1"/>
        </w:rPr>
        <w:t>the Republic of Moldova</w:t>
      </w:r>
      <w:r w:rsidRPr="008915B2">
        <w:rPr>
          <w:rFonts w:eastAsia="Times New Roman" w:cstheme="minorHAnsi"/>
          <w:b/>
          <w:bCs/>
          <w:color w:val="4472C4" w:themeColor="accent1"/>
        </w:rPr>
        <w:t xml:space="preserve"> in comparison to the European and World average</w:t>
      </w:r>
    </w:p>
    <w:tbl>
      <w:tblPr>
        <w:tblStyle w:val="TableGrid"/>
        <w:tblW w:w="0" w:type="auto"/>
        <w:tblLayout w:type="fixed"/>
        <w:tblLook w:val="04A0" w:firstRow="1" w:lastRow="0" w:firstColumn="1" w:lastColumn="0" w:noHBand="0" w:noVBand="1"/>
      </w:tblPr>
      <w:tblGrid>
        <w:gridCol w:w="4971"/>
        <w:gridCol w:w="1523"/>
        <w:gridCol w:w="1523"/>
        <w:gridCol w:w="1344"/>
      </w:tblGrid>
      <w:tr w:rsidR="147885A2" w14:paraId="740D2BC9" w14:textId="77777777" w:rsidTr="7E8FD016">
        <w:tc>
          <w:tcPr>
            <w:tcW w:w="4971" w:type="dxa"/>
            <w:tcBorders>
              <w:top w:val="single" w:sz="8" w:space="0" w:color="auto"/>
              <w:left w:val="single" w:sz="8" w:space="0" w:color="auto"/>
              <w:bottom w:val="single" w:sz="8" w:space="0" w:color="auto"/>
              <w:right w:val="nil"/>
            </w:tcBorders>
            <w:shd w:val="clear" w:color="auto" w:fill="9CC2E5" w:themeFill="accent5" w:themeFillTint="99"/>
          </w:tcPr>
          <w:p w14:paraId="6E421220" w14:textId="33EEF268" w:rsidR="147885A2" w:rsidRDefault="2DB24472" w:rsidP="006242B5">
            <w:pPr>
              <w:jc w:val="center"/>
              <w:rPr>
                <w:rFonts w:ascii="Calibri" w:eastAsia="Calibri" w:hAnsi="Calibri" w:cs="Calibri"/>
                <w:b/>
                <w:bCs/>
                <w:color w:val="000000" w:themeColor="text1"/>
                <w:sz w:val="21"/>
                <w:szCs w:val="21"/>
                <w:lang w:val="en-GB"/>
              </w:rPr>
            </w:pPr>
            <w:r w:rsidRPr="7E8FD016">
              <w:rPr>
                <w:rFonts w:ascii="Calibri" w:eastAsia="Calibri" w:hAnsi="Calibri" w:cs="Calibri"/>
                <w:b/>
                <w:bCs/>
                <w:sz w:val="21"/>
                <w:szCs w:val="21"/>
                <w:lang w:val="en-GB"/>
              </w:rPr>
              <w:t>Key Indicator (</w:t>
            </w:r>
            <w:r w:rsidRPr="7E8FD016">
              <w:rPr>
                <w:rFonts w:ascii="Calibri" w:eastAsia="Calibri" w:hAnsi="Calibri" w:cs="Calibri"/>
                <w:b/>
                <w:bCs/>
                <w:color w:val="000000" w:themeColor="text1"/>
                <w:sz w:val="21"/>
                <w:szCs w:val="21"/>
                <w:lang w:val="en-GB"/>
              </w:rPr>
              <w:t>20</w:t>
            </w:r>
            <w:r w:rsidR="004430C3">
              <w:rPr>
                <w:rFonts w:ascii="Calibri" w:eastAsia="Calibri" w:hAnsi="Calibri" w:cs="Calibri"/>
                <w:b/>
                <w:bCs/>
                <w:color w:val="000000" w:themeColor="text1"/>
                <w:sz w:val="21"/>
                <w:szCs w:val="21"/>
                <w:lang w:val="en-GB"/>
              </w:rPr>
              <w:t>20</w:t>
            </w:r>
            <w:r w:rsidRPr="7E8FD016">
              <w:rPr>
                <w:rFonts w:ascii="Calibri" w:eastAsia="Calibri" w:hAnsi="Calibri" w:cs="Calibri"/>
                <w:b/>
                <w:bCs/>
                <w:color w:val="000000" w:themeColor="text1"/>
                <w:sz w:val="21"/>
                <w:szCs w:val="21"/>
                <w:lang w:val="en-GB"/>
              </w:rPr>
              <w:t>)</w:t>
            </w:r>
          </w:p>
        </w:tc>
        <w:tc>
          <w:tcPr>
            <w:tcW w:w="1523" w:type="dxa"/>
            <w:tcBorders>
              <w:top w:val="single" w:sz="8" w:space="0" w:color="auto"/>
              <w:left w:val="nil"/>
              <w:bottom w:val="single" w:sz="8" w:space="0" w:color="auto"/>
              <w:right w:val="nil"/>
            </w:tcBorders>
            <w:shd w:val="clear" w:color="auto" w:fill="9CC2E5" w:themeFill="accent5" w:themeFillTint="99"/>
          </w:tcPr>
          <w:p w14:paraId="770127B5" w14:textId="39105E1C" w:rsidR="147885A2" w:rsidRDefault="00B12234" w:rsidP="006242B5">
            <w:pPr>
              <w:jc w:val="center"/>
              <w:rPr>
                <w:rFonts w:ascii="Calibri" w:eastAsia="Calibri" w:hAnsi="Calibri" w:cs="Calibri"/>
                <w:b/>
                <w:bCs/>
                <w:color w:val="000000" w:themeColor="text1"/>
                <w:sz w:val="21"/>
                <w:szCs w:val="21"/>
                <w:lang w:val="en-GB"/>
              </w:rPr>
            </w:pPr>
            <w:r>
              <w:rPr>
                <w:rFonts w:ascii="Calibri" w:eastAsia="Calibri" w:hAnsi="Calibri" w:cs="Calibri"/>
                <w:b/>
                <w:bCs/>
                <w:color w:val="000000" w:themeColor="text1"/>
                <w:sz w:val="21"/>
                <w:szCs w:val="21"/>
                <w:lang w:val="en-GB"/>
              </w:rPr>
              <w:t>Moldova</w:t>
            </w:r>
          </w:p>
        </w:tc>
        <w:tc>
          <w:tcPr>
            <w:tcW w:w="1523" w:type="dxa"/>
            <w:tcBorders>
              <w:top w:val="single" w:sz="8" w:space="0" w:color="auto"/>
              <w:left w:val="nil"/>
              <w:bottom w:val="single" w:sz="8" w:space="0" w:color="auto"/>
              <w:right w:val="nil"/>
            </w:tcBorders>
            <w:shd w:val="clear" w:color="auto" w:fill="9CC2E5" w:themeFill="accent5" w:themeFillTint="99"/>
          </w:tcPr>
          <w:p w14:paraId="010B2053" w14:textId="5B2A883E" w:rsidR="147885A2" w:rsidRDefault="147885A2" w:rsidP="006242B5">
            <w:pPr>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Europe</w:t>
            </w:r>
          </w:p>
        </w:tc>
        <w:tc>
          <w:tcPr>
            <w:tcW w:w="1344" w:type="dxa"/>
            <w:tcBorders>
              <w:top w:val="single" w:sz="8" w:space="0" w:color="auto"/>
              <w:left w:val="nil"/>
              <w:bottom w:val="single" w:sz="8" w:space="0" w:color="auto"/>
              <w:right w:val="single" w:sz="8" w:space="0" w:color="auto"/>
            </w:tcBorders>
            <w:shd w:val="clear" w:color="auto" w:fill="9CC2E5" w:themeFill="accent5" w:themeFillTint="99"/>
          </w:tcPr>
          <w:p w14:paraId="5758AF71" w14:textId="694271B1" w:rsidR="147885A2" w:rsidRDefault="147885A2" w:rsidP="006242B5">
            <w:pPr>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World</w:t>
            </w:r>
          </w:p>
        </w:tc>
      </w:tr>
      <w:tr w:rsidR="147885A2" w14:paraId="03AE0F28" w14:textId="77777777" w:rsidTr="7E8FD016">
        <w:tc>
          <w:tcPr>
            <w:tcW w:w="4971" w:type="dxa"/>
            <w:tcBorders>
              <w:top w:val="single" w:sz="8" w:space="0" w:color="auto"/>
              <w:left w:val="nil"/>
              <w:bottom w:val="nil"/>
              <w:right w:val="nil"/>
            </w:tcBorders>
            <w:shd w:val="clear" w:color="auto" w:fill="EDEDED" w:themeFill="accent3" w:themeFillTint="33"/>
          </w:tcPr>
          <w:p w14:paraId="0FC36711" w14:textId="384287CC" w:rsidR="147885A2" w:rsidRPr="000339AE" w:rsidRDefault="147885A2" w:rsidP="006242B5">
            <w:pPr>
              <w:jc w:val="center"/>
              <w:rPr>
                <w:rFonts w:ascii="Calibri" w:eastAsia="Calibri" w:hAnsi="Calibri" w:cs="Calibri"/>
                <w:b/>
                <w:bCs/>
                <w:color w:val="000000" w:themeColor="text1"/>
                <w:sz w:val="21"/>
                <w:szCs w:val="21"/>
                <w:lang w:val="en-GB"/>
              </w:rPr>
            </w:pPr>
            <w:r w:rsidRPr="000339AE">
              <w:rPr>
                <w:rFonts w:ascii="Calibri" w:eastAsia="Calibri" w:hAnsi="Calibri" w:cs="Calibri"/>
                <w:b/>
                <w:bCs/>
                <w:color w:val="000000" w:themeColor="text1"/>
                <w:sz w:val="21"/>
                <w:szCs w:val="21"/>
                <w:lang w:val="en-GB"/>
              </w:rPr>
              <w:t>Fixed telephone subs per 100 inhabitants</w:t>
            </w:r>
          </w:p>
        </w:tc>
        <w:tc>
          <w:tcPr>
            <w:tcW w:w="1523" w:type="dxa"/>
            <w:tcBorders>
              <w:top w:val="single" w:sz="8" w:space="0" w:color="auto"/>
              <w:left w:val="nil"/>
              <w:bottom w:val="nil"/>
              <w:right w:val="nil"/>
            </w:tcBorders>
            <w:shd w:val="clear" w:color="auto" w:fill="EDEDED" w:themeFill="accent3" w:themeFillTint="33"/>
          </w:tcPr>
          <w:p w14:paraId="78FF85D8" w14:textId="70D659FE" w:rsidR="147885A2" w:rsidRPr="000339AE" w:rsidRDefault="00B12234" w:rsidP="006242B5">
            <w:pPr>
              <w:jc w:val="center"/>
              <w:rPr>
                <w:rFonts w:ascii="Calibri" w:eastAsia="Calibri" w:hAnsi="Calibri" w:cs="Calibri"/>
                <w:color w:val="000000" w:themeColor="text1"/>
                <w:sz w:val="21"/>
                <w:szCs w:val="21"/>
                <w:lang w:val="en-GB"/>
              </w:rPr>
            </w:pPr>
            <w:r w:rsidRPr="000339AE">
              <w:rPr>
                <w:rFonts w:ascii="Calibri" w:eastAsia="Calibri" w:hAnsi="Calibri" w:cs="Calibri"/>
                <w:color w:val="000000" w:themeColor="text1"/>
                <w:sz w:val="21"/>
                <w:szCs w:val="21"/>
                <w:lang w:val="en-GB"/>
              </w:rPr>
              <w:t>2</w:t>
            </w:r>
            <w:r w:rsidR="004430C3">
              <w:rPr>
                <w:rFonts w:ascii="Calibri" w:eastAsia="Calibri" w:hAnsi="Calibri" w:cs="Calibri"/>
                <w:color w:val="000000" w:themeColor="text1"/>
                <w:sz w:val="21"/>
                <w:szCs w:val="21"/>
                <w:lang w:val="en-GB"/>
              </w:rPr>
              <w:t>5</w:t>
            </w:r>
            <w:r w:rsidRPr="000339AE">
              <w:rPr>
                <w:rFonts w:ascii="Calibri" w:eastAsia="Calibri" w:hAnsi="Calibri" w:cs="Calibri"/>
                <w:color w:val="000000" w:themeColor="text1"/>
                <w:sz w:val="21"/>
                <w:szCs w:val="21"/>
                <w:lang w:val="en-GB"/>
              </w:rPr>
              <w:t>.5</w:t>
            </w:r>
          </w:p>
        </w:tc>
        <w:tc>
          <w:tcPr>
            <w:tcW w:w="1523" w:type="dxa"/>
            <w:tcBorders>
              <w:top w:val="single" w:sz="8" w:space="0" w:color="auto"/>
              <w:left w:val="nil"/>
              <w:bottom w:val="nil"/>
              <w:right w:val="nil"/>
            </w:tcBorders>
            <w:shd w:val="clear" w:color="auto" w:fill="EDEDED" w:themeFill="accent3" w:themeFillTint="33"/>
          </w:tcPr>
          <w:p w14:paraId="3DF75D02" w14:textId="2564DA2B"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31.3</w:t>
            </w:r>
          </w:p>
        </w:tc>
        <w:tc>
          <w:tcPr>
            <w:tcW w:w="1344" w:type="dxa"/>
            <w:tcBorders>
              <w:top w:val="single" w:sz="8" w:space="0" w:color="auto"/>
              <w:left w:val="nil"/>
              <w:bottom w:val="nil"/>
              <w:right w:val="nil"/>
            </w:tcBorders>
            <w:shd w:val="clear" w:color="auto" w:fill="EDEDED" w:themeFill="accent3" w:themeFillTint="33"/>
          </w:tcPr>
          <w:p w14:paraId="64E6FF24" w14:textId="207E1186"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16.9</w:t>
            </w:r>
          </w:p>
        </w:tc>
      </w:tr>
      <w:tr w:rsidR="147885A2" w14:paraId="043D53E8" w14:textId="77777777" w:rsidTr="7E8FD016">
        <w:tc>
          <w:tcPr>
            <w:tcW w:w="4971" w:type="dxa"/>
            <w:tcBorders>
              <w:top w:val="nil"/>
              <w:left w:val="nil"/>
              <w:bottom w:val="nil"/>
              <w:right w:val="nil"/>
            </w:tcBorders>
          </w:tcPr>
          <w:p w14:paraId="0D8E9EF8" w14:textId="45305574" w:rsidR="147885A2" w:rsidRPr="000339AE" w:rsidRDefault="147885A2" w:rsidP="006242B5">
            <w:pPr>
              <w:jc w:val="center"/>
              <w:rPr>
                <w:rFonts w:ascii="Calibri" w:eastAsia="Calibri" w:hAnsi="Calibri" w:cs="Calibri"/>
                <w:b/>
                <w:bCs/>
                <w:sz w:val="21"/>
                <w:szCs w:val="21"/>
                <w:lang w:val="en-GB"/>
              </w:rPr>
            </w:pPr>
            <w:r w:rsidRPr="000339AE">
              <w:rPr>
                <w:rFonts w:ascii="Calibri" w:eastAsia="Calibri" w:hAnsi="Calibri" w:cs="Calibri"/>
                <w:b/>
                <w:bCs/>
                <w:sz w:val="21"/>
                <w:szCs w:val="21"/>
                <w:lang w:val="en-GB"/>
              </w:rPr>
              <w:t>Mobile cellular subs per 100 inhabitants</w:t>
            </w:r>
          </w:p>
        </w:tc>
        <w:tc>
          <w:tcPr>
            <w:tcW w:w="1523" w:type="dxa"/>
            <w:tcBorders>
              <w:top w:val="nil"/>
              <w:left w:val="nil"/>
              <w:bottom w:val="nil"/>
              <w:right w:val="nil"/>
            </w:tcBorders>
          </w:tcPr>
          <w:p w14:paraId="15988A61" w14:textId="4E4C5F3E" w:rsidR="147885A2" w:rsidRPr="000339AE" w:rsidRDefault="00B12234" w:rsidP="006242B5">
            <w:pPr>
              <w:jc w:val="center"/>
              <w:rPr>
                <w:rFonts w:ascii="Calibri" w:eastAsia="Calibri" w:hAnsi="Calibri" w:cs="Calibri"/>
                <w:sz w:val="21"/>
                <w:szCs w:val="21"/>
                <w:lang w:val="en-GB"/>
              </w:rPr>
            </w:pPr>
            <w:r w:rsidRPr="000339AE">
              <w:rPr>
                <w:rFonts w:ascii="Calibri" w:eastAsia="Calibri" w:hAnsi="Calibri" w:cs="Calibri"/>
                <w:sz w:val="21"/>
                <w:szCs w:val="21"/>
                <w:lang w:val="en-GB"/>
              </w:rPr>
              <w:t>8</w:t>
            </w:r>
            <w:r w:rsidR="004430C3">
              <w:rPr>
                <w:rFonts w:ascii="Calibri" w:eastAsia="Calibri" w:hAnsi="Calibri" w:cs="Calibri"/>
                <w:sz w:val="21"/>
                <w:szCs w:val="21"/>
                <w:lang w:val="en-GB"/>
              </w:rPr>
              <w:t>4</w:t>
            </w:r>
            <w:r w:rsidRPr="000339AE">
              <w:rPr>
                <w:rFonts w:ascii="Calibri" w:eastAsia="Calibri" w:hAnsi="Calibri" w:cs="Calibri"/>
                <w:sz w:val="21"/>
                <w:szCs w:val="21"/>
                <w:lang w:val="en-GB"/>
              </w:rPr>
              <w:t>.</w:t>
            </w:r>
            <w:r w:rsidR="004430C3">
              <w:rPr>
                <w:rFonts w:ascii="Calibri" w:eastAsia="Calibri" w:hAnsi="Calibri" w:cs="Calibri"/>
                <w:sz w:val="21"/>
                <w:szCs w:val="21"/>
                <w:lang w:val="en-GB"/>
              </w:rPr>
              <w:t>8</w:t>
            </w:r>
          </w:p>
        </w:tc>
        <w:tc>
          <w:tcPr>
            <w:tcW w:w="1523" w:type="dxa"/>
            <w:tcBorders>
              <w:top w:val="nil"/>
              <w:left w:val="nil"/>
              <w:bottom w:val="nil"/>
              <w:right w:val="nil"/>
            </w:tcBorders>
          </w:tcPr>
          <w:p w14:paraId="28237C39" w14:textId="26F97A37"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120.8</w:t>
            </w:r>
          </w:p>
        </w:tc>
        <w:tc>
          <w:tcPr>
            <w:tcW w:w="1344" w:type="dxa"/>
            <w:tcBorders>
              <w:top w:val="nil"/>
              <w:left w:val="nil"/>
              <w:bottom w:val="nil"/>
              <w:right w:val="nil"/>
            </w:tcBorders>
          </w:tcPr>
          <w:p w14:paraId="6108D85D" w14:textId="455E0459"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112.1</w:t>
            </w:r>
          </w:p>
        </w:tc>
      </w:tr>
      <w:tr w:rsidR="147885A2" w14:paraId="783AA8FF" w14:textId="77777777" w:rsidTr="7E8FD016">
        <w:tc>
          <w:tcPr>
            <w:tcW w:w="4971" w:type="dxa"/>
            <w:tcBorders>
              <w:top w:val="nil"/>
              <w:left w:val="nil"/>
              <w:bottom w:val="nil"/>
              <w:right w:val="nil"/>
            </w:tcBorders>
            <w:shd w:val="clear" w:color="auto" w:fill="EDEDED" w:themeFill="accent3" w:themeFillTint="33"/>
          </w:tcPr>
          <w:p w14:paraId="078A5B8E" w14:textId="6AF1446D" w:rsidR="147885A2" w:rsidRPr="000339AE" w:rsidRDefault="147885A2" w:rsidP="006242B5">
            <w:pPr>
              <w:jc w:val="center"/>
              <w:rPr>
                <w:rFonts w:ascii="Calibri" w:eastAsia="Calibri" w:hAnsi="Calibri" w:cs="Calibri"/>
                <w:b/>
                <w:bCs/>
                <w:color w:val="000000" w:themeColor="text1"/>
                <w:sz w:val="21"/>
                <w:szCs w:val="21"/>
                <w:lang w:val="en-GB"/>
              </w:rPr>
            </w:pPr>
            <w:r w:rsidRPr="000339AE">
              <w:rPr>
                <w:rFonts w:ascii="Calibri" w:eastAsia="Calibri" w:hAnsi="Calibri" w:cs="Calibri"/>
                <w:b/>
                <w:bCs/>
                <w:color w:val="000000" w:themeColor="text1"/>
                <w:sz w:val="21"/>
                <w:szCs w:val="21"/>
                <w:lang w:val="en-GB"/>
              </w:rPr>
              <w:t>Active mobile broadband per 100 inhabitants</w:t>
            </w:r>
          </w:p>
        </w:tc>
        <w:tc>
          <w:tcPr>
            <w:tcW w:w="1523" w:type="dxa"/>
            <w:tcBorders>
              <w:top w:val="nil"/>
              <w:left w:val="nil"/>
              <w:bottom w:val="nil"/>
              <w:right w:val="nil"/>
            </w:tcBorders>
            <w:shd w:val="clear" w:color="auto" w:fill="EDEDED" w:themeFill="accent3" w:themeFillTint="33"/>
          </w:tcPr>
          <w:p w14:paraId="226051FF" w14:textId="62EEA497" w:rsidR="147885A2" w:rsidRPr="000339AE" w:rsidRDefault="00B12234" w:rsidP="006242B5">
            <w:pPr>
              <w:jc w:val="center"/>
              <w:rPr>
                <w:rFonts w:ascii="Calibri" w:eastAsia="Calibri" w:hAnsi="Calibri" w:cs="Calibri"/>
                <w:color w:val="000000" w:themeColor="text1"/>
                <w:sz w:val="21"/>
                <w:szCs w:val="21"/>
                <w:lang w:val="en-GB"/>
              </w:rPr>
            </w:pPr>
            <w:bookmarkStart w:id="182" w:name="_Hlk74416211"/>
            <w:r w:rsidRPr="000339AE">
              <w:rPr>
                <w:rFonts w:ascii="Calibri" w:eastAsia="Calibri" w:hAnsi="Calibri" w:cs="Calibri"/>
                <w:color w:val="000000" w:themeColor="text1"/>
                <w:sz w:val="21"/>
                <w:szCs w:val="21"/>
                <w:lang w:val="en-GB"/>
              </w:rPr>
              <w:t>58.</w:t>
            </w:r>
            <w:r w:rsidR="000302EF">
              <w:rPr>
                <w:rFonts w:ascii="Calibri" w:eastAsia="Calibri" w:hAnsi="Calibri" w:cs="Calibri"/>
                <w:color w:val="000000" w:themeColor="text1"/>
                <w:sz w:val="21"/>
                <w:szCs w:val="21"/>
                <w:lang w:val="en-GB"/>
              </w:rPr>
              <w:t>8</w:t>
            </w:r>
            <w:bookmarkEnd w:id="182"/>
          </w:p>
        </w:tc>
        <w:tc>
          <w:tcPr>
            <w:tcW w:w="1523" w:type="dxa"/>
            <w:tcBorders>
              <w:top w:val="nil"/>
              <w:left w:val="nil"/>
              <w:bottom w:val="nil"/>
              <w:right w:val="nil"/>
            </w:tcBorders>
            <w:shd w:val="clear" w:color="auto" w:fill="EDEDED" w:themeFill="accent3" w:themeFillTint="33"/>
          </w:tcPr>
          <w:p w14:paraId="2847CA1E" w14:textId="08CFD30C"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99.4</w:t>
            </w:r>
          </w:p>
        </w:tc>
        <w:tc>
          <w:tcPr>
            <w:tcW w:w="1344" w:type="dxa"/>
            <w:tcBorders>
              <w:top w:val="nil"/>
              <w:left w:val="nil"/>
              <w:bottom w:val="nil"/>
              <w:right w:val="nil"/>
            </w:tcBorders>
            <w:shd w:val="clear" w:color="auto" w:fill="EDEDED" w:themeFill="accent3" w:themeFillTint="33"/>
          </w:tcPr>
          <w:p w14:paraId="078EE6B3" w14:textId="0F968177"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77.8</w:t>
            </w:r>
          </w:p>
        </w:tc>
      </w:tr>
      <w:tr w:rsidR="147885A2" w14:paraId="56CD8A55" w14:textId="77777777" w:rsidTr="7E8FD016">
        <w:tc>
          <w:tcPr>
            <w:tcW w:w="4971" w:type="dxa"/>
            <w:tcBorders>
              <w:top w:val="nil"/>
              <w:left w:val="nil"/>
              <w:bottom w:val="nil"/>
              <w:right w:val="nil"/>
            </w:tcBorders>
          </w:tcPr>
          <w:p w14:paraId="429E4403" w14:textId="3058C494" w:rsidR="147885A2" w:rsidRPr="000339AE" w:rsidRDefault="147885A2" w:rsidP="006242B5">
            <w:pPr>
              <w:jc w:val="center"/>
              <w:rPr>
                <w:rFonts w:ascii="Calibri" w:eastAsia="Calibri" w:hAnsi="Calibri" w:cs="Calibri"/>
                <w:b/>
                <w:bCs/>
                <w:sz w:val="21"/>
                <w:szCs w:val="21"/>
                <w:lang w:val="en-GB"/>
              </w:rPr>
            </w:pPr>
            <w:r w:rsidRPr="000339AE">
              <w:rPr>
                <w:rFonts w:ascii="Calibri" w:eastAsia="Calibri" w:hAnsi="Calibri" w:cs="Calibri"/>
                <w:b/>
                <w:bCs/>
                <w:sz w:val="21"/>
                <w:szCs w:val="21"/>
                <w:lang w:val="en-GB"/>
              </w:rPr>
              <w:t>3G coverage (% of population)</w:t>
            </w:r>
          </w:p>
        </w:tc>
        <w:tc>
          <w:tcPr>
            <w:tcW w:w="1523" w:type="dxa"/>
            <w:tcBorders>
              <w:top w:val="nil"/>
              <w:left w:val="nil"/>
              <w:bottom w:val="nil"/>
              <w:right w:val="nil"/>
            </w:tcBorders>
          </w:tcPr>
          <w:p w14:paraId="71ED82C7" w14:textId="45B64977" w:rsidR="147885A2" w:rsidRPr="000339AE" w:rsidRDefault="147885A2" w:rsidP="006242B5">
            <w:pPr>
              <w:jc w:val="center"/>
              <w:rPr>
                <w:rFonts w:ascii="Calibri" w:eastAsia="Calibri" w:hAnsi="Calibri" w:cs="Calibri"/>
                <w:sz w:val="21"/>
                <w:szCs w:val="21"/>
                <w:lang w:val="en-GB"/>
              </w:rPr>
            </w:pPr>
            <w:r w:rsidRPr="000339AE">
              <w:rPr>
                <w:rFonts w:ascii="Calibri" w:eastAsia="Calibri" w:hAnsi="Calibri" w:cs="Calibri"/>
                <w:sz w:val="21"/>
                <w:szCs w:val="21"/>
                <w:lang w:val="en-GB"/>
              </w:rPr>
              <w:t>99.9</w:t>
            </w:r>
          </w:p>
        </w:tc>
        <w:tc>
          <w:tcPr>
            <w:tcW w:w="1523" w:type="dxa"/>
            <w:tcBorders>
              <w:top w:val="nil"/>
              <w:left w:val="nil"/>
              <w:bottom w:val="nil"/>
              <w:right w:val="nil"/>
            </w:tcBorders>
          </w:tcPr>
          <w:p w14:paraId="72DA755D" w14:textId="4AECC006"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98.7</w:t>
            </w:r>
          </w:p>
        </w:tc>
        <w:tc>
          <w:tcPr>
            <w:tcW w:w="1344" w:type="dxa"/>
            <w:tcBorders>
              <w:top w:val="nil"/>
              <w:left w:val="nil"/>
              <w:bottom w:val="nil"/>
              <w:right w:val="nil"/>
            </w:tcBorders>
          </w:tcPr>
          <w:p w14:paraId="6EFB5784" w14:textId="17CD50E0"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93.5</w:t>
            </w:r>
          </w:p>
        </w:tc>
      </w:tr>
      <w:tr w:rsidR="147885A2" w14:paraId="27CD0D13" w14:textId="77777777" w:rsidTr="7E8FD016">
        <w:tc>
          <w:tcPr>
            <w:tcW w:w="4971" w:type="dxa"/>
            <w:tcBorders>
              <w:top w:val="nil"/>
              <w:left w:val="nil"/>
              <w:bottom w:val="nil"/>
              <w:right w:val="nil"/>
            </w:tcBorders>
            <w:shd w:val="clear" w:color="auto" w:fill="EDEDED" w:themeFill="accent3" w:themeFillTint="33"/>
          </w:tcPr>
          <w:p w14:paraId="328D153A" w14:textId="468841A5" w:rsidR="147885A2" w:rsidRPr="000339AE" w:rsidRDefault="147885A2" w:rsidP="006242B5">
            <w:pPr>
              <w:jc w:val="center"/>
              <w:rPr>
                <w:rFonts w:ascii="Calibri" w:eastAsia="Calibri" w:hAnsi="Calibri" w:cs="Calibri"/>
                <w:b/>
                <w:bCs/>
                <w:color w:val="000000" w:themeColor="text1"/>
                <w:sz w:val="21"/>
                <w:szCs w:val="21"/>
                <w:lang w:val="en-GB"/>
              </w:rPr>
            </w:pPr>
            <w:r w:rsidRPr="000339AE">
              <w:rPr>
                <w:rFonts w:ascii="Calibri" w:eastAsia="Calibri" w:hAnsi="Calibri" w:cs="Calibri"/>
                <w:b/>
                <w:bCs/>
                <w:color w:val="000000" w:themeColor="text1"/>
                <w:sz w:val="21"/>
                <w:szCs w:val="21"/>
                <w:lang w:val="en-GB"/>
              </w:rPr>
              <w:t>LTE/WiMAX coverage (% of population)</w:t>
            </w:r>
          </w:p>
        </w:tc>
        <w:tc>
          <w:tcPr>
            <w:tcW w:w="1523" w:type="dxa"/>
            <w:tcBorders>
              <w:top w:val="nil"/>
              <w:left w:val="nil"/>
              <w:bottom w:val="nil"/>
              <w:right w:val="nil"/>
            </w:tcBorders>
            <w:shd w:val="clear" w:color="auto" w:fill="EDEDED" w:themeFill="accent3" w:themeFillTint="33"/>
          </w:tcPr>
          <w:p w14:paraId="2F567625" w14:textId="0668B0EC" w:rsidR="147885A2" w:rsidRPr="000339AE" w:rsidRDefault="147885A2" w:rsidP="006242B5">
            <w:pPr>
              <w:jc w:val="center"/>
              <w:rPr>
                <w:rFonts w:ascii="Calibri" w:eastAsia="Calibri" w:hAnsi="Calibri" w:cs="Calibri"/>
                <w:color w:val="000000" w:themeColor="text1"/>
                <w:sz w:val="21"/>
                <w:szCs w:val="21"/>
                <w:lang w:val="en-GB"/>
              </w:rPr>
            </w:pPr>
            <w:r w:rsidRPr="000339AE">
              <w:rPr>
                <w:rFonts w:ascii="Calibri" w:eastAsia="Calibri" w:hAnsi="Calibri" w:cs="Calibri"/>
                <w:color w:val="000000" w:themeColor="text1"/>
                <w:sz w:val="21"/>
                <w:szCs w:val="21"/>
                <w:lang w:val="en-GB"/>
              </w:rPr>
              <w:t>9</w:t>
            </w:r>
            <w:r w:rsidR="00B12234" w:rsidRPr="000339AE">
              <w:rPr>
                <w:rFonts w:ascii="Calibri" w:eastAsia="Calibri" w:hAnsi="Calibri" w:cs="Calibri"/>
                <w:color w:val="000000" w:themeColor="text1"/>
                <w:sz w:val="21"/>
                <w:szCs w:val="21"/>
                <w:lang w:val="en-GB"/>
              </w:rPr>
              <w:t>8</w:t>
            </w:r>
          </w:p>
        </w:tc>
        <w:tc>
          <w:tcPr>
            <w:tcW w:w="1523" w:type="dxa"/>
            <w:tcBorders>
              <w:top w:val="nil"/>
              <w:left w:val="nil"/>
              <w:bottom w:val="nil"/>
              <w:right w:val="nil"/>
            </w:tcBorders>
            <w:shd w:val="clear" w:color="auto" w:fill="EDEDED" w:themeFill="accent3" w:themeFillTint="33"/>
          </w:tcPr>
          <w:p w14:paraId="79398AE4" w14:textId="40CDE440"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97.0</w:t>
            </w:r>
          </w:p>
        </w:tc>
        <w:tc>
          <w:tcPr>
            <w:tcW w:w="1344" w:type="dxa"/>
            <w:tcBorders>
              <w:top w:val="nil"/>
              <w:left w:val="nil"/>
              <w:bottom w:val="nil"/>
              <w:right w:val="nil"/>
            </w:tcBorders>
            <w:shd w:val="clear" w:color="auto" w:fill="EDEDED" w:themeFill="accent3" w:themeFillTint="33"/>
          </w:tcPr>
          <w:p w14:paraId="404A9096" w14:textId="6F244677"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85.8</w:t>
            </w:r>
          </w:p>
        </w:tc>
      </w:tr>
      <w:tr w:rsidR="147885A2" w14:paraId="4DCE1A7A" w14:textId="77777777" w:rsidTr="7E8FD016">
        <w:tc>
          <w:tcPr>
            <w:tcW w:w="4971" w:type="dxa"/>
            <w:tcBorders>
              <w:top w:val="nil"/>
              <w:left w:val="nil"/>
              <w:bottom w:val="nil"/>
              <w:right w:val="nil"/>
            </w:tcBorders>
          </w:tcPr>
          <w:p w14:paraId="3BC1A44B" w14:textId="3F5569EE" w:rsidR="147885A2" w:rsidRPr="00EC48A4" w:rsidRDefault="147885A2" w:rsidP="006242B5">
            <w:pPr>
              <w:jc w:val="center"/>
              <w:rPr>
                <w:rFonts w:ascii="Calibri" w:eastAsia="Calibri" w:hAnsi="Calibri" w:cs="Calibri"/>
                <w:b/>
                <w:bCs/>
                <w:sz w:val="21"/>
                <w:szCs w:val="21"/>
                <w:lang w:val="en-GB"/>
              </w:rPr>
            </w:pPr>
            <w:r w:rsidRPr="00EC48A4">
              <w:rPr>
                <w:rFonts w:ascii="Calibri" w:eastAsia="Calibri" w:hAnsi="Calibri" w:cs="Calibri"/>
                <w:b/>
                <w:bCs/>
                <w:sz w:val="21"/>
                <w:szCs w:val="21"/>
                <w:lang w:val="en-GB"/>
              </w:rPr>
              <w:t>Individuals using internet (%)</w:t>
            </w:r>
            <w:r w:rsidR="00E63EDB" w:rsidRPr="00EC48A4">
              <w:rPr>
                <w:rFonts w:ascii="Calibri" w:eastAsia="Calibri" w:hAnsi="Calibri" w:cs="Calibri"/>
                <w:b/>
                <w:bCs/>
                <w:sz w:val="21"/>
                <w:szCs w:val="21"/>
                <w:lang w:val="en-GB"/>
              </w:rPr>
              <w:t xml:space="preserve"> – latest data </w:t>
            </w:r>
            <w:r w:rsidR="0014128A" w:rsidRPr="00EC48A4">
              <w:rPr>
                <w:rFonts w:ascii="Calibri" w:eastAsia="Calibri" w:hAnsi="Calibri" w:cs="Calibri"/>
                <w:b/>
                <w:bCs/>
                <w:sz w:val="21"/>
                <w:szCs w:val="21"/>
                <w:lang w:val="en-GB"/>
              </w:rPr>
              <w:t>for</w:t>
            </w:r>
            <w:r w:rsidR="00E63EDB" w:rsidRPr="00EC48A4">
              <w:rPr>
                <w:rFonts w:ascii="Calibri" w:eastAsia="Calibri" w:hAnsi="Calibri" w:cs="Calibri"/>
                <w:b/>
                <w:bCs/>
                <w:sz w:val="21"/>
                <w:szCs w:val="21"/>
                <w:lang w:val="en-GB"/>
              </w:rPr>
              <w:t xml:space="preserve"> 2017</w:t>
            </w:r>
          </w:p>
        </w:tc>
        <w:tc>
          <w:tcPr>
            <w:tcW w:w="1523" w:type="dxa"/>
            <w:tcBorders>
              <w:top w:val="nil"/>
              <w:left w:val="nil"/>
              <w:bottom w:val="nil"/>
              <w:right w:val="nil"/>
            </w:tcBorders>
          </w:tcPr>
          <w:p w14:paraId="306E5724" w14:textId="39414E0F" w:rsidR="147885A2" w:rsidRPr="009A0090" w:rsidRDefault="000E270F" w:rsidP="006242B5">
            <w:pPr>
              <w:jc w:val="center"/>
              <w:rPr>
                <w:rFonts w:ascii="Calibri" w:eastAsia="Calibri" w:hAnsi="Calibri" w:cs="Calibri"/>
                <w:color w:val="FF0000"/>
                <w:sz w:val="21"/>
                <w:szCs w:val="21"/>
                <w:lang w:val="en-GB"/>
              </w:rPr>
            </w:pPr>
            <w:r w:rsidRPr="00EC48A4">
              <w:rPr>
                <w:rFonts w:ascii="Calibri" w:eastAsia="Calibri" w:hAnsi="Calibri" w:cs="Calibri"/>
                <w:sz w:val="21"/>
                <w:szCs w:val="21"/>
                <w:lang w:val="en-GB"/>
              </w:rPr>
              <w:t>76.12%</w:t>
            </w:r>
          </w:p>
        </w:tc>
        <w:tc>
          <w:tcPr>
            <w:tcW w:w="1523" w:type="dxa"/>
            <w:tcBorders>
              <w:top w:val="nil"/>
              <w:left w:val="nil"/>
              <w:bottom w:val="nil"/>
              <w:right w:val="nil"/>
            </w:tcBorders>
          </w:tcPr>
          <w:p w14:paraId="26E34958" w14:textId="1E0FAC15"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82.2</w:t>
            </w:r>
          </w:p>
        </w:tc>
        <w:tc>
          <w:tcPr>
            <w:tcW w:w="1344" w:type="dxa"/>
            <w:tcBorders>
              <w:top w:val="nil"/>
              <w:left w:val="nil"/>
              <w:bottom w:val="nil"/>
              <w:right w:val="nil"/>
            </w:tcBorders>
          </w:tcPr>
          <w:p w14:paraId="5B8D5AA3" w14:textId="707284EC"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52.0</w:t>
            </w:r>
          </w:p>
        </w:tc>
      </w:tr>
      <w:tr w:rsidR="147885A2" w14:paraId="60CAE215" w14:textId="77777777" w:rsidTr="7E8FD016">
        <w:tc>
          <w:tcPr>
            <w:tcW w:w="4971" w:type="dxa"/>
            <w:tcBorders>
              <w:top w:val="nil"/>
              <w:left w:val="nil"/>
              <w:bottom w:val="nil"/>
              <w:right w:val="nil"/>
            </w:tcBorders>
            <w:shd w:val="clear" w:color="auto" w:fill="EDEDED" w:themeFill="accent3" w:themeFillTint="33"/>
          </w:tcPr>
          <w:p w14:paraId="50F360B7" w14:textId="3FC6BAAD" w:rsidR="147885A2" w:rsidRDefault="147885A2" w:rsidP="006242B5">
            <w:pPr>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Households with a computer (%)</w:t>
            </w:r>
          </w:p>
        </w:tc>
        <w:tc>
          <w:tcPr>
            <w:tcW w:w="1523" w:type="dxa"/>
            <w:tcBorders>
              <w:top w:val="nil"/>
              <w:left w:val="nil"/>
              <w:bottom w:val="nil"/>
              <w:right w:val="nil"/>
            </w:tcBorders>
            <w:shd w:val="clear" w:color="auto" w:fill="EDEDED" w:themeFill="accent3" w:themeFillTint="33"/>
          </w:tcPr>
          <w:p w14:paraId="00D025C3" w14:textId="016529E4" w:rsidR="147885A2" w:rsidRDefault="00B12234" w:rsidP="006242B5">
            <w:pPr>
              <w:jc w:val="center"/>
              <w:rPr>
                <w:rFonts w:ascii="Calibri" w:eastAsia="Calibri" w:hAnsi="Calibri" w:cs="Calibri"/>
                <w:color w:val="000000" w:themeColor="text1"/>
                <w:sz w:val="21"/>
                <w:szCs w:val="21"/>
                <w:lang w:val="en-GB"/>
              </w:rPr>
            </w:pPr>
            <w:r>
              <w:rPr>
                <w:rFonts w:ascii="Calibri" w:eastAsia="Calibri" w:hAnsi="Calibri" w:cs="Calibri"/>
                <w:color w:val="000000" w:themeColor="text1"/>
                <w:sz w:val="21"/>
                <w:szCs w:val="21"/>
                <w:lang w:val="en-GB"/>
              </w:rPr>
              <w:t>5</w:t>
            </w:r>
            <w:r w:rsidR="147885A2" w:rsidRPr="147885A2">
              <w:rPr>
                <w:rFonts w:ascii="Calibri" w:eastAsia="Calibri" w:hAnsi="Calibri" w:cs="Calibri"/>
                <w:color w:val="000000" w:themeColor="text1"/>
                <w:sz w:val="21"/>
                <w:szCs w:val="21"/>
                <w:lang w:val="en-GB"/>
              </w:rPr>
              <w:t>9.5</w:t>
            </w:r>
          </w:p>
        </w:tc>
        <w:tc>
          <w:tcPr>
            <w:tcW w:w="1523" w:type="dxa"/>
            <w:tcBorders>
              <w:top w:val="nil"/>
              <w:left w:val="nil"/>
              <w:bottom w:val="nil"/>
              <w:right w:val="nil"/>
            </w:tcBorders>
            <w:shd w:val="clear" w:color="auto" w:fill="EDEDED" w:themeFill="accent3" w:themeFillTint="33"/>
          </w:tcPr>
          <w:p w14:paraId="0EF4A657" w14:textId="3412A5D2"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71.8</w:t>
            </w:r>
          </w:p>
        </w:tc>
        <w:tc>
          <w:tcPr>
            <w:tcW w:w="1344" w:type="dxa"/>
            <w:tcBorders>
              <w:top w:val="nil"/>
              <w:left w:val="nil"/>
              <w:bottom w:val="nil"/>
              <w:right w:val="nil"/>
            </w:tcBorders>
            <w:shd w:val="clear" w:color="auto" w:fill="EDEDED" w:themeFill="accent3" w:themeFillTint="33"/>
          </w:tcPr>
          <w:p w14:paraId="389B37B9" w14:textId="12249766"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40.4</w:t>
            </w:r>
          </w:p>
        </w:tc>
      </w:tr>
      <w:tr w:rsidR="147885A2" w14:paraId="53BDCAFD" w14:textId="77777777" w:rsidTr="7E8FD016">
        <w:tc>
          <w:tcPr>
            <w:tcW w:w="4971" w:type="dxa"/>
            <w:tcBorders>
              <w:top w:val="nil"/>
              <w:left w:val="nil"/>
              <w:bottom w:val="nil"/>
              <w:right w:val="nil"/>
            </w:tcBorders>
          </w:tcPr>
          <w:p w14:paraId="1AE1DCC2" w14:textId="13F3A6C9" w:rsidR="147885A2" w:rsidRDefault="147885A2" w:rsidP="006242B5">
            <w:pPr>
              <w:jc w:val="center"/>
              <w:rPr>
                <w:rFonts w:ascii="Calibri" w:eastAsia="Calibri" w:hAnsi="Calibri" w:cs="Calibri"/>
                <w:b/>
                <w:bCs/>
                <w:sz w:val="21"/>
                <w:szCs w:val="21"/>
                <w:lang w:val="en-GB"/>
              </w:rPr>
            </w:pPr>
            <w:r w:rsidRPr="147885A2">
              <w:rPr>
                <w:rFonts w:ascii="Calibri" w:eastAsia="Calibri" w:hAnsi="Calibri" w:cs="Calibri"/>
                <w:b/>
                <w:bCs/>
                <w:sz w:val="21"/>
                <w:szCs w:val="21"/>
                <w:lang w:val="en-GB"/>
              </w:rPr>
              <w:lastRenderedPageBreak/>
              <w:t>Households with internet access (%)</w:t>
            </w:r>
          </w:p>
        </w:tc>
        <w:tc>
          <w:tcPr>
            <w:tcW w:w="1523" w:type="dxa"/>
            <w:tcBorders>
              <w:top w:val="nil"/>
              <w:left w:val="nil"/>
              <w:bottom w:val="nil"/>
              <w:right w:val="nil"/>
            </w:tcBorders>
          </w:tcPr>
          <w:p w14:paraId="55365B19" w14:textId="17ADD7C1" w:rsidR="147885A2" w:rsidRDefault="00B12234" w:rsidP="006242B5">
            <w:pPr>
              <w:jc w:val="center"/>
              <w:rPr>
                <w:rFonts w:ascii="Calibri" w:eastAsia="Calibri" w:hAnsi="Calibri" w:cs="Calibri"/>
                <w:sz w:val="21"/>
                <w:szCs w:val="21"/>
                <w:lang w:val="en-GB"/>
              </w:rPr>
            </w:pPr>
            <w:r>
              <w:rPr>
                <w:rFonts w:ascii="Calibri" w:eastAsia="Calibri" w:hAnsi="Calibri" w:cs="Calibri"/>
                <w:sz w:val="21"/>
                <w:szCs w:val="21"/>
                <w:lang w:val="en-GB"/>
              </w:rPr>
              <w:t>60.8</w:t>
            </w:r>
          </w:p>
        </w:tc>
        <w:tc>
          <w:tcPr>
            <w:tcW w:w="1523" w:type="dxa"/>
            <w:tcBorders>
              <w:top w:val="nil"/>
              <w:left w:val="nil"/>
              <w:bottom w:val="nil"/>
              <w:right w:val="nil"/>
            </w:tcBorders>
          </w:tcPr>
          <w:p w14:paraId="437660FD" w14:textId="6DB217B8"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84.9</w:t>
            </w:r>
          </w:p>
        </w:tc>
        <w:tc>
          <w:tcPr>
            <w:tcW w:w="1344" w:type="dxa"/>
            <w:tcBorders>
              <w:top w:val="nil"/>
              <w:left w:val="nil"/>
              <w:bottom w:val="nil"/>
              <w:right w:val="nil"/>
            </w:tcBorders>
          </w:tcPr>
          <w:p w14:paraId="12DC46AA" w14:textId="1DA4A82D"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60.7</w:t>
            </w:r>
          </w:p>
        </w:tc>
      </w:tr>
      <w:tr w:rsidR="147885A2" w14:paraId="7E789D9A" w14:textId="77777777" w:rsidTr="7E8FD016">
        <w:tc>
          <w:tcPr>
            <w:tcW w:w="4971" w:type="dxa"/>
            <w:tcBorders>
              <w:top w:val="nil"/>
              <w:left w:val="nil"/>
              <w:bottom w:val="nil"/>
              <w:right w:val="nil"/>
            </w:tcBorders>
            <w:shd w:val="clear" w:color="auto" w:fill="E7E6E6" w:themeFill="background2"/>
          </w:tcPr>
          <w:p w14:paraId="0E6389E8" w14:textId="10684D2C" w:rsidR="147885A2" w:rsidRDefault="147885A2" w:rsidP="006242B5">
            <w:pPr>
              <w:jc w:val="center"/>
              <w:rPr>
                <w:rFonts w:ascii="Calibri" w:eastAsia="Calibri" w:hAnsi="Calibri" w:cs="Calibri"/>
                <w:b/>
                <w:bCs/>
                <w:color w:val="000000" w:themeColor="text1"/>
                <w:sz w:val="21"/>
                <w:szCs w:val="21"/>
                <w:lang w:val="en-GB"/>
              </w:rPr>
            </w:pPr>
            <w:r w:rsidRPr="147885A2">
              <w:rPr>
                <w:rFonts w:ascii="Calibri" w:eastAsia="Calibri" w:hAnsi="Calibri" w:cs="Calibri"/>
                <w:b/>
                <w:bCs/>
                <w:color w:val="000000" w:themeColor="text1"/>
                <w:sz w:val="21"/>
                <w:szCs w:val="21"/>
                <w:lang w:val="en-GB"/>
              </w:rPr>
              <w:t>Fix broadband subs per 100 inhabitants</w:t>
            </w:r>
          </w:p>
        </w:tc>
        <w:tc>
          <w:tcPr>
            <w:tcW w:w="1523" w:type="dxa"/>
            <w:tcBorders>
              <w:top w:val="nil"/>
              <w:left w:val="nil"/>
              <w:bottom w:val="nil"/>
              <w:right w:val="nil"/>
            </w:tcBorders>
            <w:shd w:val="clear" w:color="auto" w:fill="E7E6E6" w:themeFill="background2"/>
          </w:tcPr>
          <w:p w14:paraId="20491C6E" w14:textId="1760CCD6" w:rsidR="147885A2" w:rsidRDefault="00B12234" w:rsidP="006242B5">
            <w:pPr>
              <w:jc w:val="center"/>
              <w:rPr>
                <w:rFonts w:ascii="Calibri" w:eastAsia="Calibri" w:hAnsi="Calibri" w:cs="Calibri"/>
                <w:color w:val="000000" w:themeColor="text1"/>
                <w:sz w:val="21"/>
                <w:szCs w:val="21"/>
                <w:lang w:val="en-GB"/>
              </w:rPr>
            </w:pPr>
            <w:bookmarkStart w:id="183" w:name="_Hlk74414386"/>
            <w:r>
              <w:rPr>
                <w:rFonts w:ascii="Calibri" w:eastAsia="Calibri" w:hAnsi="Calibri" w:cs="Calibri"/>
                <w:color w:val="000000" w:themeColor="text1"/>
                <w:sz w:val="21"/>
                <w:szCs w:val="21"/>
                <w:lang w:val="en-GB"/>
              </w:rPr>
              <w:t>1</w:t>
            </w:r>
            <w:r w:rsidR="000302EF">
              <w:rPr>
                <w:rFonts w:ascii="Calibri" w:eastAsia="Calibri" w:hAnsi="Calibri" w:cs="Calibri"/>
                <w:color w:val="000000" w:themeColor="text1"/>
                <w:sz w:val="21"/>
                <w:szCs w:val="21"/>
                <w:lang w:val="en-GB"/>
              </w:rPr>
              <w:t>7</w:t>
            </w:r>
            <w:r>
              <w:rPr>
                <w:rFonts w:ascii="Calibri" w:eastAsia="Calibri" w:hAnsi="Calibri" w:cs="Calibri"/>
                <w:color w:val="000000" w:themeColor="text1"/>
                <w:sz w:val="21"/>
                <w:szCs w:val="21"/>
                <w:lang w:val="en-GB"/>
              </w:rPr>
              <w:t>.</w:t>
            </w:r>
            <w:r w:rsidR="000302EF">
              <w:rPr>
                <w:rFonts w:ascii="Calibri" w:eastAsia="Calibri" w:hAnsi="Calibri" w:cs="Calibri"/>
                <w:color w:val="000000" w:themeColor="text1"/>
                <w:sz w:val="21"/>
                <w:szCs w:val="21"/>
                <w:lang w:val="en-GB"/>
              </w:rPr>
              <w:t>8</w:t>
            </w:r>
            <w:bookmarkEnd w:id="183"/>
          </w:p>
        </w:tc>
        <w:tc>
          <w:tcPr>
            <w:tcW w:w="1523" w:type="dxa"/>
            <w:tcBorders>
              <w:top w:val="nil"/>
              <w:left w:val="nil"/>
              <w:bottom w:val="nil"/>
              <w:right w:val="nil"/>
            </w:tcBorders>
            <w:shd w:val="clear" w:color="auto" w:fill="E7E6E6" w:themeFill="background2"/>
          </w:tcPr>
          <w:p w14:paraId="28CAE8BC" w14:textId="6264CEE5"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33.0</w:t>
            </w:r>
          </w:p>
        </w:tc>
        <w:tc>
          <w:tcPr>
            <w:tcW w:w="1344" w:type="dxa"/>
            <w:tcBorders>
              <w:top w:val="nil"/>
              <w:left w:val="nil"/>
              <w:bottom w:val="nil"/>
              <w:right w:val="nil"/>
            </w:tcBorders>
            <w:shd w:val="clear" w:color="auto" w:fill="E7E6E6" w:themeFill="background2"/>
          </w:tcPr>
          <w:p w14:paraId="5EB2BBBC" w14:textId="1E8D08C0"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16.5</w:t>
            </w:r>
          </w:p>
        </w:tc>
      </w:tr>
      <w:tr w:rsidR="147885A2" w14:paraId="186A3C6C" w14:textId="77777777" w:rsidTr="7E8FD016">
        <w:tc>
          <w:tcPr>
            <w:tcW w:w="4971" w:type="dxa"/>
            <w:tcBorders>
              <w:top w:val="nil"/>
              <w:left w:val="nil"/>
              <w:bottom w:val="nil"/>
              <w:right w:val="nil"/>
            </w:tcBorders>
            <w:shd w:val="clear" w:color="auto" w:fill="FFFFFF" w:themeFill="background1"/>
          </w:tcPr>
          <w:p w14:paraId="02D614E1" w14:textId="29F13336" w:rsidR="147885A2" w:rsidRPr="00525843" w:rsidRDefault="147885A2" w:rsidP="006242B5">
            <w:pPr>
              <w:jc w:val="center"/>
              <w:rPr>
                <w:rFonts w:ascii="Calibri" w:eastAsia="Calibri" w:hAnsi="Calibri" w:cs="Calibri"/>
                <w:b/>
                <w:bCs/>
                <w:sz w:val="21"/>
                <w:szCs w:val="21"/>
                <w:lang w:val="en-GB"/>
              </w:rPr>
            </w:pPr>
            <w:r w:rsidRPr="00525843">
              <w:rPr>
                <w:rFonts w:ascii="Calibri" w:eastAsia="Calibri" w:hAnsi="Calibri" w:cs="Calibri"/>
                <w:b/>
                <w:bCs/>
                <w:sz w:val="21"/>
                <w:szCs w:val="21"/>
                <w:lang w:val="en-GB"/>
              </w:rPr>
              <w:t>Fix broadband subs by speed, % distribution:</w:t>
            </w:r>
          </w:p>
        </w:tc>
        <w:tc>
          <w:tcPr>
            <w:tcW w:w="1523" w:type="dxa"/>
            <w:tcBorders>
              <w:top w:val="nil"/>
              <w:left w:val="nil"/>
              <w:bottom w:val="nil"/>
              <w:right w:val="nil"/>
            </w:tcBorders>
            <w:shd w:val="clear" w:color="auto" w:fill="FFFFFF" w:themeFill="background1"/>
          </w:tcPr>
          <w:p w14:paraId="07260F54" w14:textId="1958AF34"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 xml:space="preserve"> </w:t>
            </w:r>
          </w:p>
        </w:tc>
        <w:tc>
          <w:tcPr>
            <w:tcW w:w="1523" w:type="dxa"/>
            <w:tcBorders>
              <w:top w:val="nil"/>
              <w:left w:val="nil"/>
              <w:bottom w:val="nil"/>
              <w:right w:val="nil"/>
            </w:tcBorders>
            <w:shd w:val="clear" w:color="auto" w:fill="FFFFFF" w:themeFill="background1"/>
          </w:tcPr>
          <w:p w14:paraId="62E2A5B9" w14:textId="2D00A6AA"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 xml:space="preserve"> </w:t>
            </w:r>
          </w:p>
        </w:tc>
        <w:tc>
          <w:tcPr>
            <w:tcW w:w="1344" w:type="dxa"/>
            <w:tcBorders>
              <w:top w:val="nil"/>
              <w:left w:val="nil"/>
              <w:bottom w:val="nil"/>
              <w:right w:val="nil"/>
            </w:tcBorders>
            <w:shd w:val="clear" w:color="auto" w:fill="FFFFFF" w:themeFill="background1"/>
          </w:tcPr>
          <w:p w14:paraId="4E975C2A" w14:textId="2D369E5F"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 xml:space="preserve"> </w:t>
            </w:r>
          </w:p>
        </w:tc>
      </w:tr>
      <w:tr w:rsidR="147885A2" w14:paraId="0BA63BDC" w14:textId="77777777" w:rsidTr="7E8FD016">
        <w:tc>
          <w:tcPr>
            <w:tcW w:w="4971" w:type="dxa"/>
            <w:tcBorders>
              <w:top w:val="nil"/>
              <w:left w:val="nil"/>
              <w:bottom w:val="nil"/>
              <w:right w:val="nil"/>
            </w:tcBorders>
            <w:shd w:val="clear" w:color="auto" w:fill="EDEDED" w:themeFill="accent3" w:themeFillTint="33"/>
          </w:tcPr>
          <w:p w14:paraId="5ACF69FF" w14:textId="6EA2A61F"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256 kbit/s to 2 Mbit/s</w:t>
            </w:r>
          </w:p>
        </w:tc>
        <w:tc>
          <w:tcPr>
            <w:tcW w:w="1523" w:type="dxa"/>
            <w:tcBorders>
              <w:top w:val="nil"/>
              <w:left w:val="nil"/>
              <w:bottom w:val="nil"/>
              <w:right w:val="nil"/>
            </w:tcBorders>
            <w:shd w:val="clear" w:color="auto" w:fill="EDEDED" w:themeFill="accent3" w:themeFillTint="33"/>
          </w:tcPr>
          <w:p w14:paraId="6CC77B0A" w14:textId="17D2B346" w:rsidR="147885A2" w:rsidRDefault="00525843" w:rsidP="006242B5">
            <w:pPr>
              <w:jc w:val="center"/>
              <w:rPr>
                <w:rFonts w:ascii="Calibri" w:eastAsia="Calibri" w:hAnsi="Calibri" w:cs="Calibri"/>
                <w:color w:val="000000" w:themeColor="text1"/>
                <w:sz w:val="21"/>
                <w:szCs w:val="21"/>
                <w:lang w:val="en-GB"/>
              </w:rPr>
            </w:pPr>
            <w:r>
              <w:rPr>
                <w:rFonts w:ascii="Calibri" w:eastAsia="Calibri" w:hAnsi="Calibri" w:cs="Calibri"/>
                <w:color w:val="000000" w:themeColor="text1"/>
                <w:sz w:val="21"/>
                <w:szCs w:val="21"/>
                <w:lang w:val="en-GB"/>
              </w:rPr>
              <w:t>2.2</w:t>
            </w:r>
          </w:p>
        </w:tc>
        <w:tc>
          <w:tcPr>
            <w:tcW w:w="1523" w:type="dxa"/>
            <w:tcBorders>
              <w:top w:val="nil"/>
              <w:left w:val="nil"/>
              <w:bottom w:val="nil"/>
              <w:right w:val="nil"/>
            </w:tcBorders>
            <w:shd w:val="clear" w:color="auto" w:fill="EDEDED" w:themeFill="accent3" w:themeFillTint="33"/>
          </w:tcPr>
          <w:p w14:paraId="0E3B5840" w14:textId="13444634"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0.7</w:t>
            </w:r>
          </w:p>
        </w:tc>
        <w:tc>
          <w:tcPr>
            <w:tcW w:w="1344" w:type="dxa"/>
            <w:tcBorders>
              <w:top w:val="nil"/>
              <w:left w:val="nil"/>
              <w:bottom w:val="nil"/>
              <w:right w:val="nil"/>
            </w:tcBorders>
            <w:shd w:val="clear" w:color="auto" w:fill="EDEDED" w:themeFill="accent3" w:themeFillTint="33"/>
          </w:tcPr>
          <w:p w14:paraId="7D26AF9A" w14:textId="6A5C5F3B"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2.6</w:t>
            </w:r>
          </w:p>
        </w:tc>
      </w:tr>
      <w:tr w:rsidR="147885A2" w14:paraId="750CA8CD" w14:textId="77777777" w:rsidTr="7E8FD016">
        <w:tc>
          <w:tcPr>
            <w:tcW w:w="4971" w:type="dxa"/>
            <w:tcBorders>
              <w:top w:val="nil"/>
              <w:left w:val="nil"/>
              <w:bottom w:val="nil"/>
              <w:right w:val="nil"/>
            </w:tcBorders>
          </w:tcPr>
          <w:p w14:paraId="21954CAB" w14:textId="7697A138"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2 to 10 Mbit/s</w:t>
            </w:r>
          </w:p>
        </w:tc>
        <w:tc>
          <w:tcPr>
            <w:tcW w:w="1523" w:type="dxa"/>
            <w:tcBorders>
              <w:top w:val="nil"/>
              <w:left w:val="nil"/>
              <w:bottom w:val="nil"/>
              <w:right w:val="nil"/>
            </w:tcBorders>
          </w:tcPr>
          <w:p w14:paraId="635C87E2" w14:textId="7D1D69F7" w:rsidR="147885A2" w:rsidRDefault="00525843" w:rsidP="006242B5">
            <w:pPr>
              <w:jc w:val="center"/>
              <w:rPr>
                <w:rFonts w:ascii="Calibri" w:eastAsia="Calibri" w:hAnsi="Calibri" w:cs="Calibri"/>
                <w:sz w:val="21"/>
                <w:szCs w:val="21"/>
                <w:lang w:val="en-GB"/>
              </w:rPr>
            </w:pPr>
            <w:r>
              <w:rPr>
                <w:rFonts w:ascii="Calibri" w:eastAsia="Calibri" w:hAnsi="Calibri" w:cs="Calibri"/>
                <w:sz w:val="21"/>
                <w:szCs w:val="21"/>
                <w:lang w:val="en-GB"/>
              </w:rPr>
              <w:t>1.2</w:t>
            </w:r>
          </w:p>
        </w:tc>
        <w:tc>
          <w:tcPr>
            <w:tcW w:w="1523" w:type="dxa"/>
            <w:tcBorders>
              <w:top w:val="nil"/>
              <w:left w:val="nil"/>
              <w:bottom w:val="nil"/>
              <w:right w:val="nil"/>
            </w:tcBorders>
          </w:tcPr>
          <w:p w14:paraId="19AFFE63" w14:textId="143EC821"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10.2</w:t>
            </w:r>
          </w:p>
        </w:tc>
        <w:tc>
          <w:tcPr>
            <w:tcW w:w="1344" w:type="dxa"/>
            <w:tcBorders>
              <w:top w:val="nil"/>
              <w:left w:val="nil"/>
              <w:bottom w:val="nil"/>
              <w:right w:val="nil"/>
            </w:tcBorders>
          </w:tcPr>
          <w:p w14:paraId="1B89E44A" w14:textId="0D5D2DD5" w:rsidR="147885A2" w:rsidRDefault="147885A2" w:rsidP="006242B5">
            <w:pPr>
              <w:jc w:val="center"/>
              <w:rPr>
                <w:rFonts w:ascii="Calibri" w:eastAsia="Calibri" w:hAnsi="Calibri" w:cs="Calibri"/>
                <w:sz w:val="21"/>
                <w:szCs w:val="21"/>
                <w:lang w:val="en-GB"/>
              </w:rPr>
            </w:pPr>
            <w:r w:rsidRPr="147885A2">
              <w:rPr>
                <w:rFonts w:ascii="Calibri" w:eastAsia="Calibri" w:hAnsi="Calibri" w:cs="Calibri"/>
                <w:sz w:val="21"/>
                <w:szCs w:val="21"/>
                <w:lang w:val="en-GB"/>
              </w:rPr>
              <w:t>8.0</w:t>
            </w:r>
          </w:p>
        </w:tc>
      </w:tr>
      <w:tr w:rsidR="147885A2" w14:paraId="5CBEC144" w14:textId="77777777" w:rsidTr="7E8FD016">
        <w:tc>
          <w:tcPr>
            <w:tcW w:w="4971" w:type="dxa"/>
            <w:tcBorders>
              <w:top w:val="nil"/>
              <w:left w:val="nil"/>
              <w:bottom w:val="single" w:sz="8" w:space="0" w:color="auto"/>
              <w:right w:val="nil"/>
            </w:tcBorders>
            <w:shd w:val="clear" w:color="auto" w:fill="EDEDED" w:themeFill="accent3" w:themeFillTint="33"/>
          </w:tcPr>
          <w:p w14:paraId="6DC901F2" w14:textId="436138A1"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 xml:space="preserve"> 10 Mbit/s</w:t>
            </w:r>
          </w:p>
        </w:tc>
        <w:tc>
          <w:tcPr>
            <w:tcW w:w="1523" w:type="dxa"/>
            <w:tcBorders>
              <w:top w:val="nil"/>
              <w:left w:val="nil"/>
              <w:bottom w:val="single" w:sz="8" w:space="0" w:color="auto"/>
              <w:right w:val="nil"/>
            </w:tcBorders>
            <w:shd w:val="clear" w:color="auto" w:fill="EDEDED" w:themeFill="accent3" w:themeFillTint="33"/>
          </w:tcPr>
          <w:p w14:paraId="21D2F7A8" w14:textId="270C6C13" w:rsidR="147885A2" w:rsidRDefault="00525843" w:rsidP="006242B5">
            <w:pPr>
              <w:jc w:val="center"/>
              <w:rPr>
                <w:rFonts w:ascii="Calibri" w:eastAsia="Calibri" w:hAnsi="Calibri" w:cs="Calibri"/>
                <w:color w:val="000000" w:themeColor="text1"/>
                <w:sz w:val="21"/>
                <w:szCs w:val="21"/>
                <w:lang w:val="en-GB"/>
              </w:rPr>
            </w:pPr>
            <w:r>
              <w:rPr>
                <w:rFonts w:ascii="Calibri" w:eastAsia="Calibri" w:hAnsi="Calibri" w:cs="Calibri"/>
                <w:color w:val="000000" w:themeColor="text1"/>
                <w:sz w:val="21"/>
                <w:szCs w:val="21"/>
                <w:lang w:val="en-GB"/>
              </w:rPr>
              <w:t>96.6</w:t>
            </w:r>
          </w:p>
        </w:tc>
        <w:tc>
          <w:tcPr>
            <w:tcW w:w="1523" w:type="dxa"/>
            <w:tcBorders>
              <w:top w:val="nil"/>
              <w:left w:val="nil"/>
              <w:bottom w:val="single" w:sz="8" w:space="0" w:color="auto"/>
              <w:right w:val="nil"/>
            </w:tcBorders>
            <w:shd w:val="clear" w:color="auto" w:fill="EDEDED" w:themeFill="accent3" w:themeFillTint="33"/>
          </w:tcPr>
          <w:p w14:paraId="2641D34F" w14:textId="7302E870"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88.9</w:t>
            </w:r>
          </w:p>
        </w:tc>
        <w:tc>
          <w:tcPr>
            <w:tcW w:w="1344" w:type="dxa"/>
            <w:tcBorders>
              <w:top w:val="nil"/>
              <w:left w:val="nil"/>
              <w:bottom w:val="single" w:sz="8" w:space="0" w:color="auto"/>
              <w:right w:val="nil"/>
            </w:tcBorders>
            <w:shd w:val="clear" w:color="auto" w:fill="EDEDED" w:themeFill="accent3" w:themeFillTint="33"/>
          </w:tcPr>
          <w:p w14:paraId="37DACD29" w14:textId="68215002" w:rsidR="147885A2" w:rsidRDefault="147885A2" w:rsidP="006242B5">
            <w:pPr>
              <w:jc w:val="center"/>
              <w:rPr>
                <w:rFonts w:ascii="Calibri" w:eastAsia="Calibri" w:hAnsi="Calibri" w:cs="Calibri"/>
                <w:color w:val="000000" w:themeColor="text1"/>
                <w:sz w:val="21"/>
                <w:szCs w:val="21"/>
                <w:lang w:val="en-GB"/>
              </w:rPr>
            </w:pPr>
            <w:r w:rsidRPr="147885A2">
              <w:rPr>
                <w:rFonts w:ascii="Calibri" w:eastAsia="Calibri" w:hAnsi="Calibri" w:cs="Calibri"/>
                <w:color w:val="000000" w:themeColor="text1"/>
                <w:sz w:val="21"/>
                <w:szCs w:val="21"/>
                <w:lang w:val="en-GB"/>
              </w:rPr>
              <w:t>89.4</w:t>
            </w:r>
          </w:p>
        </w:tc>
      </w:tr>
    </w:tbl>
    <w:p w14:paraId="748CEE5D" w14:textId="77777777" w:rsidR="00D07BCC" w:rsidRDefault="00D07BCC" w:rsidP="6AB2FDFD">
      <w:pPr>
        <w:rPr>
          <w:rFonts w:ascii="Calibri" w:eastAsia="Calibri" w:hAnsi="Calibri" w:cs="Calibri"/>
        </w:rPr>
      </w:pPr>
    </w:p>
    <w:p w14:paraId="5C4E6D72" w14:textId="147C3485" w:rsidR="6C6F9C6C" w:rsidRPr="009F68A4" w:rsidRDefault="6C6F9C6C" w:rsidP="6AB2FDFD">
      <w:pPr>
        <w:rPr>
          <w:rFonts w:eastAsia="Calibri" w:cstheme="minorHAnsi"/>
        </w:rPr>
      </w:pPr>
      <w:r w:rsidRPr="009F68A4">
        <w:rPr>
          <w:rFonts w:eastAsia="Calibri" w:cstheme="minorHAnsi"/>
        </w:rPr>
        <w:t xml:space="preserve">Figure 1 below shows a comparison of basic indicators of ICT-access in </w:t>
      </w:r>
      <w:r w:rsidR="000339AE" w:rsidRPr="009F68A4">
        <w:rPr>
          <w:rFonts w:eastAsia="Calibri" w:cstheme="minorHAnsi"/>
        </w:rPr>
        <w:t>Moldova</w:t>
      </w:r>
      <w:r w:rsidRPr="009F68A4">
        <w:rPr>
          <w:rFonts w:eastAsia="Calibri" w:cstheme="minorHAnsi"/>
        </w:rPr>
        <w:t>, during the year 2014,</w:t>
      </w:r>
      <w:r w:rsidR="00BA7277" w:rsidRPr="009F68A4">
        <w:rPr>
          <w:rFonts w:eastAsia="Calibri" w:cstheme="minorHAnsi"/>
        </w:rPr>
        <w:t xml:space="preserve"> </w:t>
      </w:r>
      <w:r w:rsidRPr="009F68A4">
        <w:rPr>
          <w:rFonts w:eastAsia="Calibri" w:cstheme="minorHAnsi"/>
        </w:rPr>
        <w:t>2016 and 2018.</w:t>
      </w:r>
    </w:p>
    <w:p w14:paraId="72E3E0BB" w14:textId="66D615BB" w:rsidR="6C6F9C6C" w:rsidRPr="008915B2" w:rsidRDefault="6C6F9C6C" w:rsidP="008915B2">
      <w:pPr>
        <w:jc w:val="center"/>
        <w:rPr>
          <w:rFonts w:ascii="Calibri" w:eastAsia="Calibri" w:hAnsi="Calibri" w:cs="Calibri"/>
          <w:b/>
          <w:bCs/>
          <w:color w:val="4472C4" w:themeColor="accent1"/>
        </w:rPr>
      </w:pPr>
      <w:r w:rsidRPr="02567566">
        <w:rPr>
          <w:rFonts w:ascii="Calibri" w:eastAsia="Calibri" w:hAnsi="Calibri" w:cs="Calibri"/>
          <w:b/>
          <w:bCs/>
          <w:color w:val="4472C4" w:themeColor="accent1"/>
        </w:rPr>
        <w:t xml:space="preserve">Figure 1. The basic indicators of ICT-access and usage in </w:t>
      </w:r>
      <w:r w:rsidR="00BA7277" w:rsidRPr="02567566">
        <w:rPr>
          <w:rFonts w:ascii="Calibri" w:eastAsia="Calibri" w:hAnsi="Calibri" w:cs="Calibri"/>
          <w:b/>
          <w:bCs/>
          <w:color w:val="4472C4" w:themeColor="accent1"/>
        </w:rPr>
        <w:t>Moldova</w:t>
      </w:r>
      <w:r w:rsidRPr="02567566">
        <w:rPr>
          <w:rFonts w:ascii="Calibri" w:eastAsia="Calibri" w:hAnsi="Calibri" w:cs="Calibri"/>
          <w:b/>
          <w:bCs/>
          <w:color w:val="4472C4" w:themeColor="accent1"/>
        </w:rPr>
        <w:t xml:space="preserve"> </w:t>
      </w:r>
      <w:bookmarkStart w:id="184" w:name="_Hlk74159872"/>
      <w:r w:rsidRPr="02567566">
        <w:rPr>
          <w:rFonts w:ascii="Calibri" w:eastAsia="Calibri" w:hAnsi="Calibri" w:cs="Calibri"/>
          <w:b/>
          <w:bCs/>
          <w:color w:val="4472C4" w:themeColor="accent1"/>
        </w:rPr>
        <w:t>(ITU WTI Database)</w:t>
      </w:r>
      <w:bookmarkEnd w:id="184"/>
    </w:p>
    <w:p w14:paraId="43B0125D" w14:textId="22B56022" w:rsidR="003762D1" w:rsidRDefault="1CEDB923" w:rsidP="00DF5CDB">
      <w:pPr>
        <w:jc w:val="center"/>
      </w:pPr>
      <w:r>
        <w:rPr>
          <w:noProof/>
        </w:rPr>
        <w:drawing>
          <wp:inline distT="0" distB="0" distL="0" distR="0" wp14:anchorId="7F6E4592" wp14:editId="5FA103C6">
            <wp:extent cx="4572000" cy="2771775"/>
            <wp:effectExtent l="0" t="0" r="0" b="0"/>
            <wp:docPr id="1923119454" name="Picture 1923119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771775"/>
                    </a:xfrm>
                    <a:prstGeom prst="rect">
                      <a:avLst/>
                    </a:prstGeom>
                  </pic:spPr>
                </pic:pic>
              </a:graphicData>
            </a:graphic>
          </wp:inline>
        </w:drawing>
      </w:r>
    </w:p>
    <w:p w14:paraId="0E7EA3D5" w14:textId="2C7868BE" w:rsidR="00043B70" w:rsidRPr="000A5102" w:rsidRDefault="008435C4" w:rsidP="000A5102">
      <w:pPr>
        <w:pStyle w:val="Heading3"/>
      </w:pPr>
      <w:r>
        <w:t xml:space="preserve">2.1.2 </w:t>
      </w:r>
      <w:r w:rsidR="00517C31">
        <w:t xml:space="preserve">Market environment </w:t>
      </w:r>
    </w:p>
    <w:p w14:paraId="5736123F" w14:textId="5064C015" w:rsidR="02567566" w:rsidRDefault="02567566" w:rsidP="02567566"/>
    <w:p w14:paraId="5D4EB1F2" w14:textId="4A524AA6" w:rsidR="000C31E4" w:rsidRDefault="005F1C51" w:rsidP="000A5102">
      <w:pPr>
        <w:jc w:val="both"/>
        <w:rPr>
          <w:rFonts w:ascii="Calibri" w:eastAsia="Calibri" w:hAnsi="Calibri" w:cs="Calibri"/>
          <w:vertAlign w:val="superscript"/>
        </w:rPr>
      </w:pPr>
      <w:r w:rsidRPr="002A66D9">
        <w:t xml:space="preserve">According to the ITU </w:t>
      </w:r>
      <w:r w:rsidRPr="77ECB594">
        <w:rPr>
          <w:i/>
          <w:iCs/>
        </w:rPr>
        <w:t>Measuring Information Society Report 2018</w:t>
      </w:r>
      <w:r w:rsidRPr="002A66D9">
        <w:t xml:space="preserve">, </w:t>
      </w:r>
      <w:r w:rsidR="00A97BF5">
        <w:t xml:space="preserve">Moldova has a dynamic and competitive telecommunication market, which is characterized by high Internet access speeds, high level of mobile services accessibility, and technological development. Telecommunication authorities try to apply best practices of market regulation in order to create a </w:t>
      </w:r>
      <w:r w:rsidR="00BC0EDF">
        <w:t>favorable</w:t>
      </w:r>
      <w:r w:rsidR="00A97BF5">
        <w:t xml:space="preserve"> environment for information society development while having minimum intervention from the government.</w:t>
      </w:r>
      <w:r w:rsidRPr="00A97BF5">
        <w:rPr>
          <w:rFonts w:ascii="Calibri" w:eastAsia="Calibri" w:hAnsi="Calibri" w:cs="Calibri"/>
          <w:vertAlign w:val="superscript"/>
        </w:rPr>
        <w:footnoteReference w:id="8"/>
      </w:r>
      <w:r w:rsidRPr="00A97BF5">
        <w:rPr>
          <w:rFonts w:ascii="Calibri" w:eastAsia="Calibri" w:hAnsi="Calibri" w:cs="Calibri"/>
          <w:vertAlign w:val="superscript"/>
        </w:rPr>
        <w:t xml:space="preserve"> </w:t>
      </w:r>
    </w:p>
    <w:p w14:paraId="14344AD6" w14:textId="79111239" w:rsidR="00A97648" w:rsidRPr="009F68A4" w:rsidRDefault="00E01854" w:rsidP="000A5102">
      <w:pPr>
        <w:jc w:val="both"/>
        <w:rPr>
          <w:rFonts w:eastAsia="Calibri" w:cstheme="minorHAnsi"/>
        </w:rPr>
      </w:pPr>
      <w:r w:rsidRPr="009F68A4">
        <w:rPr>
          <w:rFonts w:eastAsia="Calibri" w:cstheme="minorHAnsi"/>
        </w:rPr>
        <w:t xml:space="preserve">Main public authorities </w:t>
      </w:r>
      <w:r w:rsidR="00F00245">
        <w:rPr>
          <w:rFonts w:eastAsia="Calibri" w:cstheme="minorHAnsi"/>
        </w:rPr>
        <w:t xml:space="preserve">concerned </w:t>
      </w:r>
      <w:r w:rsidRPr="009F68A4">
        <w:rPr>
          <w:rFonts w:eastAsia="Calibri" w:cstheme="minorHAnsi"/>
        </w:rPr>
        <w:t>in this process are the Ministry of Economy and Infrastructure</w:t>
      </w:r>
      <w:r w:rsidR="00A97648" w:rsidRPr="009F68A4">
        <w:rPr>
          <w:rFonts w:eastAsia="Calibri" w:cstheme="minorHAnsi"/>
        </w:rPr>
        <w:t xml:space="preserve"> of the Republic of Moldova</w:t>
      </w:r>
      <w:r w:rsidRPr="009F68A4">
        <w:rPr>
          <w:rFonts w:eastAsia="Calibri" w:cstheme="minorHAnsi"/>
        </w:rPr>
        <w:t>, w</w:t>
      </w:r>
      <w:r w:rsidR="00A97648" w:rsidRPr="009F68A4">
        <w:rPr>
          <w:rFonts w:eastAsia="Calibri" w:cstheme="minorHAnsi"/>
        </w:rPr>
        <w:t>hich aims to develop and promote</w:t>
      </w:r>
      <w:r w:rsidRPr="009F68A4">
        <w:rPr>
          <w:rFonts w:eastAsia="Calibri" w:cstheme="minorHAnsi"/>
        </w:rPr>
        <w:t xml:space="preserve"> </w:t>
      </w:r>
      <w:r w:rsidR="00A97648" w:rsidRPr="009F68A4">
        <w:rPr>
          <w:rFonts w:eastAsia="Calibri" w:cstheme="minorHAnsi"/>
        </w:rPr>
        <w:t xml:space="preserve">policies directed towards ensuring a sustainable </w:t>
      </w:r>
      <w:r w:rsidR="00A97648" w:rsidRPr="009F68A4">
        <w:rPr>
          <w:rFonts w:eastAsia="Calibri" w:cstheme="minorHAnsi"/>
        </w:rPr>
        <w:lastRenderedPageBreak/>
        <w:t xml:space="preserve">growth of the ICT sector, and the National Regulatory Agency for Electronic Communications and Information Technology in Moldova, which regulates </w:t>
      </w:r>
      <w:r w:rsidR="00E224D1" w:rsidRPr="009F68A4">
        <w:rPr>
          <w:rFonts w:eastAsia="Calibri" w:cstheme="minorHAnsi"/>
        </w:rPr>
        <w:t>the telecommunication market</w:t>
      </w:r>
      <w:r w:rsidR="00A97648" w:rsidRPr="009F68A4">
        <w:rPr>
          <w:rFonts w:eastAsia="Calibri" w:cstheme="minorHAnsi"/>
        </w:rPr>
        <w:t xml:space="preserve">, ensures the implementation of </w:t>
      </w:r>
      <w:r w:rsidR="0095172B" w:rsidRPr="009F68A4">
        <w:rPr>
          <w:rFonts w:eastAsia="Calibri" w:cstheme="minorHAnsi"/>
        </w:rPr>
        <w:t xml:space="preserve">strategies </w:t>
      </w:r>
      <w:r w:rsidR="00A97648" w:rsidRPr="009F68A4">
        <w:rPr>
          <w:rFonts w:eastAsia="Calibri" w:cstheme="minorHAnsi"/>
        </w:rPr>
        <w:t xml:space="preserve">development and supervises the compliance with the </w:t>
      </w:r>
      <w:r w:rsidR="00E224D1" w:rsidRPr="009F68A4">
        <w:rPr>
          <w:rFonts w:eastAsia="Calibri" w:cstheme="minorHAnsi"/>
        </w:rPr>
        <w:t xml:space="preserve">sector </w:t>
      </w:r>
      <w:r w:rsidR="00A97648" w:rsidRPr="009F68A4">
        <w:rPr>
          <w:rFonts w:eastAsia="Calibri" w:cstheme="minorHAnsi"/>
        </w:rPr>
        <w:t>legislation.</w:t>
      </w:r>
      <w:r w:rsidR="0095172B" w:rsidRPr="009F68A4">
        <w:rPr>
          <w:rFonts w:eastAsia="Calibri" w:cstheme="minorHAnsi"/>
        </w:rPr>
        <w:t xml:space="preserve"> </w:t>
      </w:r>
    </w:p>
    <w:p w14:paraId="68E68EFF" w14:textId="1C671B6D" w:rsidR="00C845A3" w:rsidRDefault="00C845A3" w:rsidP="000A5102">
      <w:pPr>
        <w:jc w:val="both"/>
      </w:pPr>
      <w:r>
        <w:t xml:space="preserve">According to the </w:t>
      </w:r>
      <w:r w:rsidRPr="0027199A">
        <w:t>revenue</w:t>
      </w:r>
      <w:r>
        <w:t xml:space="preserve"> generated in 2020, t</w:t>
      </w:r>
      <w:r w:rsidRPr="0027199A">
        <w:t xml:space="preserve">he fixed broadband Internet market </w:t>
      </w:r>
      <w:r>
        <w:t xml:space="preserve">was covered mainly by three operators. In this segment, the biggest share belongs to </w:t>
      </w:r>
      <w:r w:rsidRPr="0027199A">
        <w:t>"</w:t>
      </w:r>
      <w:proofErr w:type="spellStart"/>
      <w:r w:rsidRPr="0027199A">
        <w:t>Moldtelecom</w:t>
      </w:r>
      <w:proofErr w:type="spellEnd"/>
      <w:r w:rsidRPr="0027199A">
        <w:t>"</w:t>
      </w:r>
      <w:r>
        <w:t xml:space="preserve"> with</w:t>
      </w:r>
      <w:r w:rsidRPr="0027199A">
        <w:t xml:space="preserve"> 61.1%</w:t>
      </w:r>
      <w:r>
        <w:t>, which is followed by</w:t>
      </w:r>
      <w:r w:rsidRPr="0027199A">
        <w:t xml:space="preserve"> "</w:t>
      </w:r>
      <w:proofErr w:type="spellStart"/>
      <w:r w:rsidRPr="0027199A">
        <w:t>Starnet</w:t>
      </w:r>
      <w:proofErr w:type="spellEnd"/>
      <w:r w:rsidRPr="0027199A">
        <w:t xml:space="preserve"> Solutions" </w:t>
      </w:r>
      <w:r>
        <w:t>with</w:t>
      </w:r>
      <w:r w:rsidRPr="0027199A">
        <w:t xml:space="preserve"> 21%, </w:t>
      </w:r>
      <w:r>
        <w:t>and</w:t>
      </w:r>
      <w:r w:rsidRPr="0027199A">
        <w:t xml:space="preserve"> "Orange Moldova"</w:t>
      </w:r>
      <w:r>
        <w:t xml:space="preserve"> with</w:t>
      </w:r>
      <w:r w:rsidRPr="0027199A">
        <w:t xml:space="preserve"> 7.5%. The </w:t>
      </w:r>
      <w:r>
        <w:t xml:space="preserve">total </w:t>
      </w:r>
      <w:r w:rsidRPr="0027199A">
        <w:t xml:space="preserve">share of other fixed Internet access providers </w:t>
      </w:r>
      <w:r>
        <w:t>was</w:t>
      </w:r>
      <w:r w:rsidRPr="0027199A">
        <w:t xml:space="preserve"> 10.4%</w:t>
      </w:r>
      <w:r>
        <w:t>, with an increase of only</w:t>
      </w:r>
      <w:r w:rsidRPr="0027199A">
        <w:t xml:space="preserve"> 0.1</w:t>
      </w:r>
      <w:r w:rsidR="00074F9E">
        <w:t xml:space="preserve"> percentage points </w:t>
      </w:r>
      <w:r w:rsidRPr="0027199A">
        <w:t>compared to 2019</w:t>
      </w:r>
      <w:r>
        <w:t xml:space="preserve"> data.</w:t>
      </w:r>
      <w:r w:rsidR="00074F9E">
        <w:rPr>
          <w:rStyle w:val="FootnoteReference"/>
        </w:rPr>
        <w:footnoteReference w:id="9"/>
      </w:r>
    </w:p>
    <w:p w14:paraId="08EA3A74" w14:textId="28096EF8" w:rsidR="0027199A" w:rsidRPr="0044207A" w:rsidRDefault="0027199A" w:rsidP="000A5102">
      <w:pPr>
        <w:jc w:val="both"/>
      </w:pPr>
      <w:r w:rsidRPr="0044207A">
        <w:t xml:space="preserve">The mobile broadband market is </w:t>
      </w:r>
      <w:r w:rsidR="00C845A3">
        <w:t xml:space="preserve">also </w:t>
      </w:r>
      <w:r w:rsidRPr="0044207A">
        <w:t xml:space="preserve">divided between three providers. According to the revenue generated in 2020, </w:t>
      </w:r>
      <w:r w:rsidR="0044207A">
        <w:t>“</w:t>
      </w:r>
      <w:r w:rsidRPr="0044207A">
        <w:t>Orange Moldova</w:t>
      </w:r>
      <w:r w:rsidR="0044207A">
        <w:t>”</w:t>
      </w:r>
      <w:r w:rsidRPr="0044207A">
        <w:t xml:space="preserve"> holds the biggest share of </w:t>
      </w:r>
      <w:r w:rsidR="008500E2">
        <w:t>62</w:t>
      </w:r>
      <w:r w:rsidRPr="0044207A">
        <w:t>%,</w:t>
      </w:r>
      <w:r w:rsidRPr="0027199A">
        <w:t xml:space="preserve"> </w:t>
      </w:r>
      <w:r w:rsidR="0044207A">
        <w:t>“</w:t>
      </w:r>
      <w:proofErr w:type="spellStart"/>
      <w:r w:rsidRPr="0044207A">
        <w:t>Moldcell</w:t>
      </w:r>
      <w:proofErr w:type="spellEnd"/>
      <w:r w:rsidR="0044207A">
        <w:t>”</w:t>
      </w:r>
      <w:r w:rsidRPr="0044207A">
        <w:t xml:space="preserve"> has </w:t>
      </w:r>
      <w:r w:rsidR="008500E2">
        <w:t>30</w:t>
      </w:r>
      <w:r w:rsidRPr="0044207A">
        <w:t xml:space="preserve">%, and </w:t>
      </w:r>
      <w:r w:rsidR="0044207A">
        <w:t>“</w:t>
      </w:r>
      <w:proofErr w:type="spellStart"/>
      <w:r w:rsidRPr="0044207A">
        <w:t>Moldtelecom</w:t>
      </w:r>
      <w:proofErr w:type="spellEnd"/>
      <w:r w:rsidR="0044207A">
        <w:t>”</w:t>
      </w:r>
      <w:r w:rsidRPr="0044207A">
        <w:t xml:space="preserve"> share is 8%.</w:t>
      </w:r>
      <w:r w:rsidR="008500E2">
        <w:rPr>
          <w:rStyle w:val="FootnoteReference"/>
        </w:rPr>
        <w:footnoteReference w:id="10"/>
      </w:r>
    </w:p>
    <w:p w14:paraId="12E36247" w14:textId="0FEE229D" w:rsidR="00EB175E" w:rsidRPr="007E43E4" w:rsidRDefault="00EB175E" w:rsidP="000A5102">
      <w:pPr>
        <w:jc w:val="both"/>
      </w:pPr>
      <w:r>
        <w:t xml:space="preserve">Based on the revenues registered in 2020, </w:t>
      </w:r>
      <w:r w:rsidR="00AE5448">
        <w:t xml:space="preserve">the electronic communications market </w:t>
      </w:r>
      <w:r w:rsidR="001A3112">
        <w:t xml:space="preserve">reported </w:t>
      </w:r>
      <w:r w:rsidR="00AE5448">
        <w:t xml:space="preserve">a decrease of 231,7 mil. lei </w:t>
      </w:r>
      <w:r w:rsidR="00DD13DE">
        <w:t xml:space="preserve">(approx. </w:t>
      </w:r>
      <w:r w:rsidR="00DD13DE" w:rsidRPr="00DD13DE">
        <w:t>10</w:t>
      </w:r>
      <w:r w:rsidR="00DD13DE">
        <w:t>,9 mil</w:t>
      </w:r>
      <w:r w:rsidR="00680899">
        <w:t>lion</w:t>
      </w:r>
      <w:r w:rsidR="00DD13DE">
        <w:t xml:space="preserve"> EUR), which is </w:t>
      </w:r>
      <w:r w:rsidR="00AE5448">
        <w:t xml:space="preserve">-3,8% compared </w:t>
      </w:r>
      <w:r w:rsidR="001A3112">
        <w:t>to 2019, and amounted approximately 6 billion lei</w:t>
      </w:r>
      <w:r w:rsidR="00855C88">
        <w:t xml:space="preserve"> (</w:t>
      </w:r>
      <w:r w:rsidR="00680899">
        <w:t xml:space="preserve">approx. </w:t>
      </w:r>
      <w:r w:rsidR="00855C88">
        <w:t>282</w:t>
      </w:r>
      <w:r w:rsidR="00680899">
        <w:t xml:space="preserve"> million EUR)</w:t>
      </w:r>
      <w:r w:rsidR="001A3112">
        <w:t xml:space="preserve">. This was caused by a </w:t>
      </w:r>
      <w:r w:rsidR="001A3112" w:rsidRPr="001A3112">
        <w:t>decrease in sales</w:t>
      </w:r>
      <w:r w:rsidR="001A3112">
        <w:t xml:space="preserve"> on almost all the market segments, the only exceptions being fixed and mobile broadband access services. The sales revenue of </w:t>
      </w:r>
      <w:r w:rsidR="001A3112" w:rsidRPr="007E43E4">
        <w:t xml:space="preserve">fixed and mobile </w:t>
      </w:r>
      <w:r w:rsidR="001A3112">
        <w:t>broadband</w:t>
      </w:r>
      <w:r w:rsidR="001A3112" w:rsidRPr="007E43E4">
        <w:t xml:space="preserve"> services increased compared to 2019 by 1.7% and</w:t>
      </w:r>
      <w:r w:rsidR="001A3112">
        <w:t xml:space="preserve"> reached </w:t>
      </w:r>
      <w:r w:rsidR="001A3112" w:rsidRPr="007E43E4">
        <w:t>2.6 billion lei</w:t>
      </w:r>
      <w:r w:rsidR="00680899">
        <w:t xml:space="preserve"> (approx. 122 million EUR)</w:t>
      </w:r>
      <w:r w:rsidR="001A3112" w:rsidRPr="007E43E4">
        <w:t xml:space="preserve">. </w:t>
      </w:r>
      <w:r w:rsidR="00C845A3">
        <w:t>However, t</w:t>
      </w:r>
      <w:r w:rsidR="001A3112" w:rsidRPr="007E43E4">
        <w:t xml:space="preserve">he highest revenue growth of 2.8% was recorded in the mobile </w:t>
      </w:r>
      <w:r w:rsidR="001A3112">
        <w:t>broadband</w:t>
      </w:r>
      <w:r w:rsidR="001A3112" w:rsidRPr="007E43E4">
        <w:t xml:space="preserve"> market</w:t>
      </w:r>
      <w:r w:rsidR="001A3112">
        <w:t xml:space="preserve">. </w:t>
      </w:r>
      <w:r w:rsidR="00680899">
        <w:rPr>
          <w:rStyle w:val="FootnoteReference"/>
        </w:rPr>
        <w:footnoteReference w:id="11"/>
      </w:r>
      <w:r w:rsidR="00DD6E86">
        <w:rPr>
          <w:rStyle w:val="FootnoteReference"/>
        </w:rPr>
        <w:footnoteReference w:id="12"/>
      </w:r>
    </w:p>
    <w:p w14:paraId="3635600F" w14:textId="6836A1A0" w:rsidR="1CF2D2C7" w:rsidRPr="000A5102" w:rsidRDefault="008435C4" w:rsidP="000A5102">
      <w:pPr>
        <w:pStyle w:val="Heading3"/>
      </w:pPr>
      <w:bookmarkStart w:id="185" w:name="_Toc74850929"/>
      <w:r w:rsidRPr="000A5102">
        <w:t xml:space="preserve">2.1.3 </w:t>
      </w:r>
      <w:r w:rsidR="3A7B61E7" w:rsidRPr="000A5102">
        <w:t>M</w:t>
      </w:r>
      <w:r w:rsidR="1CF2D2C7" w:rsidRPr="000A5102">
        <w:t xml:space="preserve">eaningful </w:t>
      </w:r>
      <w:r w:rsidR="00116D26" w:rsidRPr="000A5102">
        <w:t>c</w:t>
      </w:r>
      <w:r w:rsidR="1CF2D2C7" w:rsidRPr="000A5102">
        <w:t>onnectivity</w:t>
      </w:r>
      <w:r w:rsidR="00E00B05" w:rsidRPr="000A5102">
        <w:t xml:space="preserve"> in the regional context</w:t>
      </w:r>
      <w:bookmarkEnd w:id="185"/>
    </w:p>
    <w:p w14:paraId="22911920" w14:textId="5A1FCEC2" w:rsidR="1C3D924A" w:rsidRDefault="1C3D924A" w:rsidP="000A5102">
      <w:pPr>
        <w:jc w:val="both"/>
      </w:pPr>
      <w:r>
        <w:t xml:space="preserve">Meaningful connectivity depends on a variety of factors, the most important of which </w:t>
      </w:r>
      <w:r w:rsidR="0056443D">
        <w:t>are</w:t>
      </w:r>
      <w:r>
        <w:t xml:space="preserve"> </w:t>
      </w:r>
      <w:r w:rsidRPr="77ECB594">
        <w:rPr>
          <w:i/>
          <w:iCs/>
        </w:rPr>
        <w:t>availability</w:t>
      </w:r>
      <w:r w:rsidR="49612D82" w:rsidRPr="77ECB594">
        <w:rPr>
          <w:i/>
          <w:iCs/>
        </w:rPr>
        <w:t xml:space="preserve"> </w:t>
      </w:r>
      <w:r w:rsidR="49612D82" w:rsidRPr="008435C4">
        <w:t>and</w:t>
      </w:r>
      <w:r>
        <w:t xml:space="preserve"> </w:t>
      </w:r>
      <w:r w:rsidR="0056443D" w:rsidRPr="77ECB594">
        <w:rPr>
          <w:i/>
          <w:iCs/>
        </w:rPr>
        <w:t>affordability</w:t>
      </w:r>
      <w:r w:rsidR="00F76325">
        <w:t xml:space="preserve">, which are the strongest determinants of </w:t>
      </w:r>
      <w:r w:rsidR="35DEF709">
        <w:t xml:space="preserve">the third factor, </w:t>
      </w:r>
      <w:r w:rsidR="00F76325" w:rsidRPr="77ECB594">
        <w:rPr>
          <w:i/>
          <w:iCs/>
        </w:rPr>
        <w:t>uptake</w:t>
      </w:r>
      <w:r w:rsidR="00F76325">
        <w:t>.</w:t>
      </w:r>
      <w:r>
        <w:t xml:space="preserve"> Looking more in depth at the</w:t>
      </w:r>
      <w:r w:rsidR="298F9B8B">
        <w:t>se</w:t>
      </w:r>
      <w:r>
        <w:t xml:space="preserve"> three d</w:t>
      </w:r>
      <w:r w:rsidR="78C811E6">
        <w:t>i</w:t>
      </w:r>
      <w:r>
        <w:t xml:space="preserve">mensions, the ITU report on Connectivity in </w:t>
      </w:r>
      <w:r w:rsidR="2312F158">
        <w:t>9 non-EU countries of Europe region, prepared in the context of the ITU Regional Forum for Europe on Meaningful Connectivity held on 8 and 9 March 2021,</w:t>
      </w:r>
      <w:r w:rsidRPr="00756494">
        <w:rPr>
          <w:vertAlign w:val="superscript"/>
        </w:rPr>
        <w:footnoteReference w:id="13"/>
      </w:r>
      <w:r w:rsidR="2312F158">
        <w:t xml:space="preserve"> </w:t>
      </w:r>
      <w:r w:rsidR="06F9BD19">
        <w:t xml:space="preserve">shows </w:t>
      </w:r>
      <w:r w:rsidR="2312F158">
        <w:t xml:space="preserve">that </w:t>
      </w:r>
      <w:r w:rsidR="00A72391" w:rsidRPr="00B87759">
        <w:t>Moldova</w:t>
      </w:r>
      <w:r w:rsidR="04C5C291" w:rsidRPr="00B87759">
        <w:t xml:space="preserve"> is relatively well </w:t>
      </w:r>
      <w:r w:rsidR="3203E881" w:rsidRPr="00B87759">
        <w:t xml:space="preserve">positioned </w:t>
      </w:r>
      <w:r w:rsidR="23B04EDF" w:rsidRPr="00B87759">
        <w:t xml:space="preserve">If compared to </w:t>
      </w:r>
      <w:r w:rsidR="48AB9967" w:rsidRPr="00B87759">
        <w:t xml:space="preserve">regional </w:t>
      </w:r>
      <w:r w:rsidR="23B04EDF" w:rsidRPr="00B87759">
        <w:t>peers</w:t>
      </w:r>
      <w:r w:rsidR="007C6670" w:rsidRPr="00B87759">
        <w:t>.</w:t>
      </w:r>
    </w:p>
    <w:p w14:paraId="1C26A671" w14:textId="3DB2A286" w:rsidR="04C5C291" w:rsidRDefault="00756494" w:rsidP="000A5102">
      <w:pPr>
        <w:jc w:val="both"/>
      </w:pPr>
      <w:r w:rsidRPr="00B82939">
        <w:t>I</w:t>
      </w:r>
      <w:r w:rsidR="04C5C291" w:rsidRPr="00B82939">
        <w:t xml:space="preserve">n terms of </w:t>
      </w:r>
      <w:r w:rsidR="63969BC3" w:rsidRPr="00B82939">
        <w:rPr>
          <w:i/>
          <w:iCs/>
        </w:rPr>
        <w:t>availability</w:t>
      </w:r>
      <w:r w:rsidR="487B5FE6" w:rsidRPr="00B82939">
        <w:rPr>
          <w:i/>
          <w:iCs/>
        </w:rPr>
        <w:t xml:space="preserve"> of connectivity</w:t>
      </w:r>
      <w:r w:rsidR="487B5FE6" w:rsidRPr="00B82939">
        <w:t xml:space="preserve">, </w:t>
      </w:r>
      <w:r w:rsidR="00B82939" w:rsidRPr="00B82939">
        <w:t>Moldova</w:t>
      </w:r>
      <w:r w:rsidR="00F00245">
        <w:t xml:space="preserve"> is performing </w:t>
      </w:r>
      <w:r w:rsidR="652AA4A3" w:rsidRPr="00B82939">
        <w:t xml:space="preserve">in </w:t>
      </w:r>
      <w:r w:rsidR="00BB1823">
        <w:t>all</w:t>
      </w:r>
      <w:r w:rsidR="64A8D0A4" w:rsidRPr="00B82939">
        <w:t xml:space="preserve"> </w:t>
      </w:r>
      <w:r w:rsidR="652AA4A3" w:rsidRPr="00B82939">
        <w:t xml:space="preserve">three indicators </w:t>
      </w:r>
      <w:r w:rsidR="75BF5B7E" w:rsidRPr="00B82939">
        <w:t xml:space="preserve">considered </w:t>
      </w:r>
      <w:r w:rsidR="652AA4A3" w:rsidRPr="00B82939">
        <w:t xml:space="preserve">for this </w:t>
      </w:r>
      <w:r w:rsidR="5562A0E5" w:rsidRPr="00B82939">
        <w:t>domain</w:t>
      </w:r>
      <w:r w:rsidR="652AA4A3" w:rsidRPr="00B82939">
        <w:t>:</w:t>
      </w:r>
    </w:p>
    <w:p w14:paraId="112FE706" w14:textId="0911BF15" w:rsidR="000A5102" w:rsidRPr="000A5102" w:rsidRDefault="652AA4A3" w:rsidP="000A5102">
      <w:pPr>
        <w:pStyle w:val="ListParagraph"/>
        <w:numPr>
          <w:ilvl w:val="0"/>
          <w:numId w:val="16"/>
        </w:numPr>
        <w:jc w:val="both"/>
      </w:pPr>
      <w:r w:rsidRPr="55F26A43">
        <w:rPr>
          <w:rFonts w:ascii="Calibri" w:eastAsia="Calibri" w:hAnsi="Calibri" w:cs="Calibri"/>
          <w:u w:val="single"/>
        </w:rPr>
        <w:lastRenderedPageBreak/>
        <w:t>Percentage of the population covered by at least an LTE/WiMAX mobile network</w:t>
      </w:r>
      <w:r w:rsidRPr="55F26A43">
        <w:rPr>
          <w:rFonts w:ascii="Calibri" w:eastAsia="Calibri" w:hAnsi="Calibri" w:cs="Calibri"/>
        </w:rPr>
        <w:t xml:space="preserve">: </w:t>
      </w:r>
      <w:r w:rsidR="00756494" w:rsidRPr="55F26A43">
        <w:rPr>
          <w:rFonts w:ascii="Calibri" w:eastAsia="Calibri" w:hAnsi="Calibri" w:cs="Calibri"/>
        </w:rPr>
        <w:t>Moldova</w:t>
      </w:r>
      <w:r w:rsidRPr="55F26A43">
        <w:rPr>
          <w:rFonts w:ascii="Calibri" w:eastAsia="Calibri" w:hAnsi="Calibri" w:cs="Calibri"/>
        </w:rPr>
        <w:t xml:space="preserve"> is</w:t>
      </w:r>
      <w:r w:rsidR="00C845A3" w:rsidRPr="55F26A43">
        <w:rPr>
          <w:rFonts w:ascii="Calibri" w:eastAsia="Calibri" w:hAnsi="Calibri" w:cs="Calibri"/>
        </w:rPr>
        <w:t xml:space="preserve"> the</w:t>
      </w:r>
      <w:r w:rsidRPr="55F26A43">
        <w:rPr>
          <w:rFonts w:ascii="Calibri" w:eastAsia="Calibri" w:hAnsi="Calibri" w:cs="Calibri"/>
        </w:rPr>
        <w:t xml:space="preserve"> </w:t>
      </w:r>
      <w:r w:rsidR="00756494" w:rsidRPr="55F26A43">
        <w:rPr>
          <w:rFonts w:ascii="Calibri" w:eastAsia="Calibri" w:hAnsi="Calibri" w:cs="Calibri"/>
        </w:rPr>
        <w:t>third</w:t>
      </w:r>
      <w:r w:rsidRPr="55F26A43">
        <w:rPr>
          <w:rFonts w:ascii="Calibri" w:eastAsia="Calibri" w:hAnsi="Calibri" w:cs="Calibri"/>
        </w:rPr>
        <w:t xml:space="preserve"> </w:t>
      </w:r>
      <w:r w:rsidR="2ED24B6E" w:rsidRPr="55F26A43">
        <w:rPr>
          <w:rFonts w:ascii="Calibri" w:eastAsia="Calibri" w:hAnsi="Calibri" w:cs="Calibri"/>
        </w:rPr>
        <w:t>(only preceded by Georgia</w:t>
      </w:r>
      <w:r w:rsidR="00756494" w:rsidRPr="55F26A43">
        <w:rPr>
          <w:rFonts w:ascii="Calibri" w:eastAsia="Calibri" w:hAnsi="Calibri" w:cs="Calibri"/>
        </w:rPr>
        <w:t xml:space="preserve"> and North Macedonia</w:t>
      </w:r>
      <w:r w:rsidR="2ED24B6E" w:rsidRPr="55F26A43">
        <w:rPr>
          <w:rFonts w:ascii="Calibri" w:eastAsia="Calibri" w:hAnsi="Calibri" w:cs="Calibri"/>
        </w:rPr>
        <w:t xml:space="preserve">) </w:t>
      </w:r>
      <w:r w:rsidRPr="55F26A43">
        <w:rPr>
          <w:rFonts w:ascii="Calibri" w:eastAsia="Calibri" w:hAnsi="Calibri" w:cs="Calibri"/>
        </w:rPr>
        <w:t>among the 9 countries with 9</w:t>
      </w:r>
      <w:r w:rsidR="00756494" w:rsidRPr="55F26A43">
        <w:rPr>
          <w:rFonts w:ascii="Calibri" w:eastAsia="Calibri" w:hAnsi="Calibri" w:cs="Calibri"/>
        </w:rPr>
        <w:t>8</w:t>
      </w:r>
      <w:r w:rsidRPr="55F26A43">
        <w:rPr>
          <w:rFonts w:ascii="Calibri" w:eastAsia="Calibri" w:hAnsi="Calibri" w:cs="Calibri"/>
        </w:rPr>
        <w:t>% of the population cover</w:t>
      </w:r>
      <w:r w:rsidR="6C156D29" w:rsidRPr="55F26A43">
        <w:rPr>
          <w:rFonts w:ascii="Calibri" w:eastAsia="Calibri" w:hAnsi="Calibri" w:cs="Calibri"/>
        </w:rPr>
        <w:t>ed by 4G</w:t>
      </w:r>
      <w:r w:rsidR="00795D58" w:rsidRPr="55F26A43">
        <w:rPr>
          <w:rFonts w:ascii="Calibri" w:eastAsia="Calibri" w:hAnsi="Calibri" w:cs="Calibri"/>
        </w:rPr>
        <w:t>/LTE services</w:t>
      </w:r>
      <w:r w:rsidR="520C25B4" w:rsidRPr="55F26A43">
        <w:rPr>
          <w:rFonts w:ascii="Calibri" w:eastAsia="Calibri" w:hAnsi="Calibri" w:cs="Calibri"/>
        </w:rPr>
        <w:t xml:space="preserve">, up from </w:t>
      </w:r>
      <w:r w:rsidR="00EF473F" w:rsidRPr="55F26A43">
        <w:rPr>
          <w:rFonts w:ascii="Calibri" w:eastAsia="Calibri" w:hAnsi="Calibri" w:cs="Calibri"/>
        </w:rPr>
        <w:t>84</w:t>
      </w:r>
      <w:r w:rsidR="520C25B4" w:rsidRPr="55F26A43">
        <w:rPr>
          <w:rFonts w:ascii="Calibri" w:eastAsia="Calibri" w:hAnsi="Calibri" w:cs="Calibri"/>
        </w:rPr>
        <w:t>% in 2015.</w:t>
      </w:r>
      <w:r w:rsidR="00EF473F" w:rsidRPr="55F26A43">
        <w:rPr>
          <w:rFonts w:ascii="Calibri" w:eastAsia="Calibri" w:hAnsi="Calibri" w:cs="Calibri"/>
        </w:rPr>
        <w:t xml:space="preserve"> The dramatic increase of 13</w:t>
      </w:r>
      <w:r w:rsidR="23461A87" w:rsidRPr="55F26A43">
        <w:rPr>
          <w:rFonts w:ascii="Calibri" w:eastAsia="Calibri" w:hAnsi="Calibri" w:cs="Calibri"/>
        </w:rPr>
        <w:t xml:space="preserve"> percentage points</w:t>
      </w:r>
      <w:r w:rsidR="00EF473F" w:rsidRPr="55F26A43">
        <w:rPr>
          <w:rFonts w:ascii="Calibri" w:eastAsia="Calibri" w:hAnsi="Calibri" w:cs="Calibri"/>
        </w:rPr>
        <w:t xml:space="preserve"> </w:t>
      </w:r>
      <w:r w:rsidR="0CA853ED" w:rsidRPr="55F26A43">
        <w:rPr>
          <w:rFonts w:ascii="Calibri" w:eastAsia="Calibri" w:hAnsi="Calibri" w:cs="Calibri"/>
        </w:rPr>
        <w:t xml:space="preserve">was </w:t>
      </w:r>
      <w:r w:rsidR="00EF473F" w:rsidRPr="55F26A43">
        <w:rPr>
          <w:rFonts w:ascii="Calibri" w:eastAsia="Calibri" w:hAnsi="Calibri" w:cs="Calibri"/>
        </w:rPr>
        <w:t xml:space="preserve">registered in 2016 </w:t>
      </w:r>
      <w:r w:rsidR="00502691" w:rsidRPr="55F26A43">
        <w:rPr>
          <w:rFonts w:ascii="Calibri" w:eastAsia="Calibri" w:hAnsi="Calibri" w:cs="Calibri"/>
        </w:rPr>
        <w:t xml:space="preserve">and </w:t>
      </w:r>
      <w:r w:rsidR="00EF473F" w:rsidRPr="55F26A43">
        <w:rPr>
          <w:rFonts w:ascii="Calibri" w:eastAsia="Calibri" w:hAnsi="Calibri" w:cs="Calibri"/>
        </w:rPr>
        <w:t xml:space="preserve">followed by </w:t>
      </w:r>
      <w:r w:rsidR="4FEFE2C3" w:rsidRPr="55F26A43">
        <w:rPr>
          <w:rFonts w:ascii="Calibri" w:eastAsia="Calibri" w:hAnsi="Calibri" w:cs="Calibri"/>
        </w:rPr>
        <w:t xml:space="preserve">a </w:t>
      </w:r>
      <w:r w:rsidR="00EF473F" w:rsidRPr="55F26A43">
        <w:rPr>
          <w:rFonts w:ascii="Calibri" w:eastAsia="Calibri" w:hAnsi="Calibri" w:cs="Calibri"/>
        </w:rPr>
        <w:t>1</w:t>
      </w:r>
      <w:r w:rsidR="4734E7D6" w:rsidRPr="55F26A43">
        <w:rPr>
          <w:rFonts w:ascii="Calibri" w:eastAsia="Calibri" w:hAnsi="Calibri" w:cs="Calibri"/>
        </w:rPr>
        <w:t xml:space="preserve"> percentage point </w:t>
      </w:r>
      <w:r w:rsidR="00EF473F" w:rsidRPr="55F26A43">
        <w:rPr>
          <w:rFonts w:ascii="Calibri" w:eastAsia="Calibri" w:hAnsi="Calibri" w:cs="Calibri"/>
        </w:rPr>
        <w:t>increase during</w:t>
      </w:r>
      <w:r w:rsidR="13E89872" w:rsidRPr="55F26A43">
        <w:rPr>
          <w:rFonts w:ascii="Calibri" w:eastAsia="Calibri" w:hAnsi="Calibri" w:cs="Calibri"/>
        </w:rPr>
        <w:t xml:space="preserve"> the period</w:t>
      </w:r>
      <w:r w:rsidR="00EF473F" w:rsidRPr="55F26A43">
        <w:rPr>
          <w:rFonts w:ascii="Calibri" w:eastAsia="Calibri" w:hAnsi="Calibri" w:cs="Calibri"/>
        </w:rPr>
        <w:t xml:space="preserve"> 2016-2019</w:t>
      </w:r>
      <w:r w:rsidR="285BAA50" w:rsidRPr="55F26A43">
        <w:rPr>
          <w:rFonts w:ascii="Calibri" w:eastAsia="Calibri" w:hAnsi="Calibri" w:cs="Calibri"/>
        </w:rPr>
        <w:t>.</w:t>
      </w:r>
    </w:p>
    <w:p w14:paraId="457A1A19" w14:textId="330F8F02" w:rsidR="000A5102" w:rsidRDefault="652AA4A3" w:rsidP="008D6D7C">
      <w:pPr>
        <w:pStyle w:val="ListParagraph"/>
        <w:numPr>
          <w:ilvl w:val="0"/>
          <w:numId w:val="16"/>
        </w:numPr>
        <w:jc w:val="both"/>
      </w:pPr>
      <w:r w:rsidRPr="008D6D7C">
        <w:rPr>
          <w:rFonts w:ascii="Calibri" w:eastAsia="Calibri" w:hAnsi="Calibri" w:cs="Calibri"/>
          <w:u w:val="single"/>
        </w:rPr>
        <w:t>Estimated proportion of households with Internet access at home</w:t>
      </w:r>
      <w:r w:rsidR="0A0CC4F4" w:rsidRPr="008D6D7C">
        <w:rPr>
          <w:rFonts w:ascii="Calibri" w:eastAsia="Calibri" w:hAnsi="Calibri" w:cs="Calibri"/>
        </w:rPr>
        <w:t>: according to the latest available data (201</w:t>
      </w:r>
      <w:r w:rsidR="002B3D90" w:rsidRPr="008D6D7C">
        <w:rPr>
          <w:rFonts w:ascii="Calibri" w:eastAsia="Calibri" w:hAnsi="Calibri" w:cs="Calibri"/>
        </w:rPr>
        <w:t>9</w:t>
      </w:r>
      <w:r w:rsidR="0A0CC4F4" w:rsidRPr="008D6D7C">
        <w:rPr>
          <w:rFonts w:ascii="Calibri" w:eastAsia="Calibri" w:hAnsi="Calibri" w:cs="Calibri"/>
        </w:rPr>
        <w:t xml:space="preserve">), </w:t>
      </w:r>
      <w:r w:rsidR="002B3D90" w:rsidRPr="008D6D7C">
        <w:rPr>
          <w:rFonts w:ascii="Calibri" w:eastAsia="Calibri" w:hAnsi="Calibri" w:cs="Calibri"/>
        </w:rPr>
        <w:t>60.8</w:t>
      </w:r>
      <w:r w:rsidR="0A0CC4F4" w:rsidRPr="008D6D7C">
        <w:rPr>
          <w:rFonts w:ascii="Calibri" w:eastAsia="Calibri" w:hAnsi="Calibri" w:cs="Calibri"/>
        </w:rPr>
        <w:t xml:space="preserve">% of households in </w:t>
      </w:r>
      <w:r w:rsidR="002B3D90" w:rsidRPr="008D6D7C">
        <w:rPr>
          <w:rFonts w:ascii="Calibri" w:eastAsia="Calibri" w:hAnsi="Calibri" w:cs="Calibri"/>
        </w:rPr>
        <w:t>Moldova</w:t>
      </w:r>
      <w:r w:rsidR="0A0CC4F4" w:rsidRPr="008D6D7C">
        <w:rPr>
          <w:rFonts w:ascii="Calibri" w:eastAsia="Calibri" w:hAnsi="Calibri" w:cs="Calibri"/>
        </w:rPr>
        <w:t xml:space="preserve"> are connected to the Internet</w:t>
      </w:r>
      <w:r w:rsidR="002B3D90" w:rsidRPr="008D6D7C">
        <w:rPr>
          <w:rFonts w:ascii="Calibri" w:eastAsia="Calibri" w:hAnsi="Calibri" w:cs="Calibri"/>
        </w:rPr>
        <w:t xml:space="preserve">. </w:t>
      </w:r>
    </w:p>
    <w:p w14:paraId="0A4EA8E5" w14:textId="2692B461" w:rsidR="55F26A43" w:rsidRDefault="008D6D7C" w:rsidP="55F26A43">
      <w:pPr>
        <w:pStyle w:val="ListParagraph"/>
        <w:numPr>
          <w:ilvl w:val="0"/>
          <w:numId w:val="16"/>
        </w:numPr>
        <w:jc w:val="both"/>
      </w:pPr>
      <w:r w:rsidRPr="55F26A43">
        <w:rPr>
          <w:rFonts w:ascii="Calibri" w:eastAsia="Calibri" w:hAnsi="Calibri" w:cs="Calibri"/>
        </w:rPr>
        <w:t>Availability of Internet at home continues to prove an area of challenge</w:t>
      </w:r>
      <w:r>
        <w:rPr>
          <w:rFonts w:ascii="Calibri" w:eastAsia="Calibri" w:hAnsi="Calibri" w:cs="Calibri"/>
        </w:rPr>
        <w:t xml:space="preserve"> even though the </w:t>
      </w:r>
      <w:proofErr w:type="spellStart"/>
      <w:proofErr w:type="gramStart"/>
      <w:r>
        <w:rPr>
          <w:rFonts w:ascii="Calibri" w:eastAsia="Calibri" w:hAnsi="Calibri" w:cs="Calibri"/>
        </w:rPr>
        <w:t>the</w:t>
      </w:r>
      <w:proofErr w:type="spellEnd"/>
      <w:r>
        <w:rPr>
          <w:rFonts w:ascii="Calibri" w:eastAsia="Calibri" w:hAnsi="Calibri" w:cs="Calibri"/>
        </w:rPr>
        <w:t xml:space="preserve">  share</w:t>
      </w:r>
      <w:proofErr w:type="gramEnd"/>
      <w:r>
        <w:rPr>
          <w:rFonts w:ascii="Calibri" w:eastAsia="Calibri" w:hAnsi="Calibri" w:cs="Calibri"/>
        </w:rPr>
        <w:t xml:space="preserve"> of connected households increased with 11,7%  compared to 2017.</w:t>
      </w:r>
    </w:p>
    <w:p w14:paraId="49DF60ED" w14:textId="5D87C6F3" w:rsidR="005D69B6" w:rsidRPr="000A5102" w:rsidRDefault="652AA4A3" w:rsidP="000A5102">
      <w:pPr>
        <w:pStyle w:val="ListParagraph"/>
        <w:numPr>
          <w:ilvl w:val="0"/>
          <w:numId w:val="16"/>
        </w:numPr>
        <w:jc w:val="both"/>
      </w:pPr>
      <w:r w:rsidRPr="55F26A43">
        <w:rPr>
          <w:rFonts w:ascii="Calibri" w:eastAsia="Calibri" w:hAnsi="Calibri" w:cs="Calibri"/>
          <w:u w:val="single"/>
        </w:rPr>
        <w:t xml:space="preserve">Number of </w:t>
      </w:r>
      <w:proofErr w:type="spellStart"/>
      <w:r w:rsidRPr="55F26A43">
        <w:rPr>
          <w:rFonts w:ascii="Calibri" w:eastAsia="Calibri" w:hAnsi="Calibri" w:cs="Calibri"/>
          <w:u w:val="single"/>
        </w:rPr>
        <w:t>fibre</w:t>
      </w:r>
      <w:proofErr w:type="spellEnd"/>
      <w:r w:rsidRPr="55F26A43">
        <w:rPr>
          <w:rFonts w:ascii="Calibri" w:eastAsia="Calibri" w:hAnsi="Calibri" w:cs="Calibri"/>
          <w:u w:val="single"/>
        </w:rPr>
        <w:t xml:space="preserve"> connections per 100 inhabitants</w:t>
      </w:r>
      <w:r w:rsidR="005D69B6" w:rsidRPr="55F26A43">
        <w:rPr>
          <w:rFonts w:ascii="Calibri" w:eastAsia="Calibri" w:hAnsi="Calibri" w:cs="Calibri"/>
        </w:rPr>
        <w:t xml:space="preserve">: </w:t>
      </w:r>
      <w:r w:rsidR="00416C9E" w:rsidRPr="55F26A43">
        <w:rPr>
          <w:rFonts w:ascii="Calibri" w:eastAsia="Calibri" w:hAnsi="Calibri" w:cs="Calibri"/>
        </w:rPr>
        <w:t xml:space="preserve">with a score of 11.1 FTTH subscriptions per 100 inhabitants </w:t>
      </w:r>
      <w:r w:rsidR="005D69B6" w:rsidRPr="55F26A43">
        <w:rPr>
          <w:rFonts w:ascii="Calibri" w:hAnsi="Calibri" w:cs="Calibri"/>
          <w:color w:val="000000" w:themeColor="text1"/>
        </w:rPr>
        <w:t>in</w:t>
      </w:r>
      <w:r w:rsidR="00DC1DBE" w:rsidRPr="55F26A43">
        <w:rPr>
          <w:rFonts w:ascii="Calibri" w:hAnsi="Calibri" w:cs="Calibri"/>
          <w:color w:val="000000" w:themeColor="text1"/>
        </w:rPr>
        <w:t xml:space="preserve"> 2019</w:t>
      </w:r>
      <w:r w:rsidR="00416C9E" w:rsidRPr="55F26A43">
        <w:rPr>
          <w:rFonts w:ascii="Calibri" w:hAnsi="Calibri" w:cs="Calibri"/>
          <w:color w:val="000000" w:themeColor="text1"/>
        </w:rPr>
        <w:t>,</w:t>
      </w:r>
      <w:r w:rsidR="00DC1DBE" w:rsidRPr="55F26A43">
        <w:rPr>
          <w:rFonts w:ascii="Calibri" w:hAnsi="Calibri" w:cs="Calibri"/>
          <w:color w:val="000000" w:themeColor="text1"/>
        </w:rPr>
        <w:t xml:space="preserve"> Moldova </w:t>
      </w:r>
      <w:r w:rsidR="005D69B6" w:rsidRPr="55F26A43">
        <w:rPr>
          <w:rFonts w:ascii="Calibri" w:hAnsi="Calibri" w:cs="Calibri"/>
          <w:color w:val="000000" w:themeColor="text1"/>
        </w:rPr>
        <w:t xml:space="preserve">positioned </w:t>
      </w:r>
      <w:r w:rsidR="00416C9E" w:rsidRPr="55F26A43">
        <w:rPr>
          <w:rFonts w:ascii="Calibri" w:hAnsi="Calibri" w:cs="Calibri"/>
          <w:color w:val="000000" w:themeColor="text1"/>
        </w:rPr>
        <w:t>itself slightly</w:t>
      </w:r>
      <w:r w:rsidR="00DC1DBE" w:rsidRPr="55F26A43">
        <w:rPr>
          <w:rFonts w:ascii="Calibri" w:hAnsi="Calibri" w:cs="Calibri"/>
          <w:color w:val="000000" w:themeColor="text1"/>
        </w:rPr>
        <w:t xml:space="preserve"> above the EU27 average </w:t>
      </w:r>
      <w:r w:rsidR="00416C9E" w:rsidRPr="55F26A43">
        <w:rPr>
          <w:rFonts w:ascii="Calibri" w:eastAsia="Calibri" w:hAnsi="Calibri" w:cs="Calibri"/>
        </w:rPr>
        <w:t xml:space="preserve">of 8.7 </w:t>
      </w:r>
      <w:r w:rsidR="00DC1DBE" w:rsidRPr="55F26A43">
        <w:rPr>
          <w:rFonts w:ascii="Calibri" w:hAnsi="Calibri" w:cs="Calibri"/>
          <w:color w:val="000000" w:themeColor="text1"/>
        </w:rPr>
        <w:t xml:space="preserve">for </w:t>
      </w:r>
      <w:r w:rsidR="005D69B6" w:rsidRPr="55F26A43">
        <w:rPr>
          <w:rFonts w:ascii="Calibri" w:hAnsi="Calibri" w:cs="Calibri"/>
          <w:color w:val="000000" w:themeColor="text1"/>
        </w:rPr>
        <w:t>this year</w:t>
      </w:r>
      <w:r w:rsidR="00416C9E" w:rsidRPr="55F26A43">
        <w:rPr>
          <w:rFonts w:ascii="Calibri" w:hAnsi="Calibri" w:cs="Calibri"/>
          <w:color w:val="000000" w:themeColor="text1"/>
        </w:rPr>
        <w:t xml:space="preserve">. </w:t>
      </w:r>
      <w:r w:rsidR="00DC1DBE" w:rsidRPr="55F26A43">
        <w:rPr>
          <w:rFonts w:ascii="Calibri" w:hAnsi="Calibri" w:cs="Calibri"/>
          <w:color w:val="000000" w:themeColor="text1"/>
        </w:rPr>
        <w:t xml:space="preserve"> </w:t>
      </w:r>
      <w:r w:rsidR="00416C9E" w:rsidRPr="55F26A43">
        <w:rPr>
          <w:rFonts w:ascii="Calibri" w:hAnsi="Calibri" w:cs="Calibri"/>
          <w:color w:val="000000" w:themeColor="text1"/>
        </w:rPr>
        <w:t xml:space="preserve">FTTH </w:t>
      </w:r>
      <w:r w:rsidR="00B82939" w:rsidRPr="55F26A43">
        <w:rPr>
          <w:rFonts w:ascii="Calibri" w:hAnsi="Calibri" w:cs="Calibri"/>
          <w:color w:val="000000" w:themeColor="text1"/>
        </w:rPr>
        <w:t>subscriptions represent 67.2% of the fix broadband subscriptions</w:t>
      </w:r>
      <w:r w:rsidR="00481750">
        <w:rPr>
          <w:rFonts w:ascii="Calibri" w:hAnsi="Calibri" w:cs="Calibri"/>
          <w:color w:val="000000" w:themeColor="text1"/>
        </w:rPr>
        <w:t xml:space="preserve"> active</w:t>
      </w:r>
      <w:r w:rsidR="00B82939" w:rsidRPr="55F26A43">
        <w:rPr>
          <w:rFonts w:ascii="Calibri" w:hAnsi="Calibri" w:cs="Calibri"/>
          <w:color w:val="000000" w:themeColor="text1"/>
        </w:rPr>
        <w:t xml:space="preserve"> in 2019.</w:t>
      </w:r>
    </w:p>
    <w:p w14:paraId="1B020A4C" w14:textId="0B2972E1" w:rsidR="006D7E17" w:rsidRDefault="006D7E17" w:rsidP="000A5102">
      <w:pPr>
        <w:jc w:val="both"/>
      </w:pPr>
    </w:p>
    <w:p w14:paraId="30269686" w14:textId="101B3E97" w:rsidR="00554EF2" w:rsidRDefault="00745709" w:rsidP="000A5102">
      <w:pPr>
        <w:jc w:val="both"/>
      </w:pPr>
      <w:bookmarkStart w:id="186" w:name="_Hlk78278651"/>
      <w:r w:rsidRPr="003509AA">
        <w:t>Internet access in Moldova is relative</w:t>
      </w:r>
      <w:r>
        <w:t>ly</w:t>
      </w:r>
      <w:r w:rsidRPr="003509AA">
        <w:t xml:space="preserve"> affordable</w:t>
      </w:r>
      <w:r w:rsidR="00554EF2">
        <w:t xml:space="preserve">. Due to the </w:t>
      </w:r>
      <w:r w:rsidR="00554EF2" w:rsidRPr="003908EC">
        <w:t>price drops registered over the past year the country managed to achieve the Broadband Commission’s 2</w:t>
      </w:r>
      <w:r w:rsidR="00355063">
        <w:t>%</w:t>
      </w:r>
      <w:r w:rsidR="00554EF2" w:rsidRPr="003908EC">
        <w:t xml:space="preserve"> target for mobile-data basket cost for the first time in 2020</w:t>
      </w:r>
      <w:r w:rsidR="003908EC">
        <w:t>.</w:t>
      </w:r>
      <w:r w:rsidR="00554EF2">
        <w:t xml:space="preserve"> Besides, Moldova was among the countries with the biggest improvements in the affordability of this</w:t>
      </w:r>
      <w:r w:rsidR="00554EF2" w:rsidRPr="00554EF2">
        <w:t xml:space="preserve"> fixed broadband Internet</w:t>
      </w:r>
      <w:r w:rsidR="00554EF2">
        <w:t>.</w:t>
      </w:r>
      <w:r w:rsidR="00554EF2">
        <w:rPr>
          <w:rStyle w:val="FootnoteReference"/>
        </w:rPr>
        <w:footnoteReference w:id="14"/>
      </w:r>
    </w:p>
    <w:p w14:paraId="6E80BEEF" w14:textId="28B4E3F5" w:rsidR="00554EF2" w:rsidRDefault="00554EF2" w:rsidP="00554EF2">
      <w:pPr>
        <w:jc w:val="both"/>
      </w:pPr>
      <w:r>
        <w:t>According to</w:t>
      </w:r>
      <w:r w:rsidRPr="003509AA">
        <w:t xml:space="preserve"> </w:t>
      </w:r>
      <w:r>
        <w:t>most recent data</w:t>
      </w:r>
      <w:r w:rsidRPr="003509AA">
        <w:t>, the</w:t>
      </w:r>
      <w:r>
        <w:t xml:space="preserve"> data only</w:t>
      </w:r>
      <w:r w:rsidRPr="003509AA">
        <w:t xml:space="preserve"> mobile</w:t>
      </w:r>
      <w:r>
        <w:t xml:space="preserve"> broadband</w:t>
      </w:r>
      <w:r w:rsidRPr="003509AA">
        <w:t xml:space="preserve"> basket cost was </w:t>
      </w:r>
      <w:r w:rsidRPr="00D33660">
        <w:t>0.48</w:t>
      </w:r>
      <w:r w:rsidRPr="003509AA">
        <w:t xml:space="preserve">% of GNI per capita for a monthly allowance of 1.5 Gb, while the fixed-broadband basket cost was </w:t>
      </w:r>
      <w:r>
        <w:t>2.25</w:t>
      </w:r>
      <w:r w:rsidRPr="003509AA">
        <w:t>% of GNI per capita for a 5Gb Internet data cap</w:t>
      </w:r>
      <w:r>
        <w:t>.</w:t>
      </w:r>
    </w:p>
    <w:bookmarkEnd w:id="186"/>
    <w:p w14:paraId="3FB9B724" w14:textId="5EDA1853" w:rsidR="00D33660" w:rsidRDefault="00554EF2" w:rsidP="000A5102">
      <w:pPr>
        <w:jc w:val="both"/>
      </w:pPr>
      <w:r>
        <w:t>Among</w:t>
      </w:r>
      <w:r w:rsidRPr="00554EF2">
        <w:t xml:space="preserve"> 9 non-EU countries of Europe region</w:t>
      </w:r>
      <w:r>
        <w:t xml:space="preserve">, Moldova is leading the with its </w:t>
      </w:r>
      <w:r w:rsidRPr="00554EF2">
        <w:t>mobile-data broadband basket cost</w:t>
      </w:r>
      <w:r w:rsidR="003908EC">
        <w:t xml:space="preserve">, while the </w:t>
      </w:r>
      <w:r w:rsidR="003908EC" w:rsidRPr="003908EC">
        <w:t>fixed-broadband basket cost</w:t>
      </w:r>
      <w:r w:rsidR="003908EC">
        <w:t xml:space="preserve"> is slightly beneath the average. This </w:t>
      </w:r>
      <w:r w:rsidR="006D7E17">
        <w:t xml:space="preserve">is </w:t>
      </w:r>
      <w:r w:rsidR="003908EC">
        <w:t>refle</w:t>
      </w:r>
      <w:r w:rsidR="006D7E17">
        <w:t>cted</w:t>
      </w:r>
      <w:r w:rsidR="003908EC">
        <w:t xml:space="preserve"> as well in the international rankings, where the country shares 28</w:t>
      </w:r>
      <w:r w:rsidR="003908EC" w:rsidRPr="003908EC">
        <w:rPr>
          <w:vertAlign w:val="superscript"/>
        </w:rPr>
        <w:t>th</w:t>
      </w:r>
      <w:r w:rsidR="003908EC">
        <w:t xml:space="preserve"> place with Sweden on the </w:t>
      </w:r>
      <w:r w:rsidR="003908EC" w:rsidRPr="003908EC">
        <w:t>mobile-broadband basket affordability</w:t>
      </w:r>
      <w:r w:rsidR="003908EC">
        <w:t xml:space="preserve">, and the 71st place with </w:t>
      </w:r>
      <w:r w:rsidR="003908EC" w:rsidRPr="003908EC">
        <w:t>Bosnia and Herzegovina</w:t>
      </w:r>
      <w:r w:rsidR="003908EC">
        <w:t xml:space="preserve"> on the fixed broadband basket cost.</w:t>
      </w:r>
      <w:r w:rsidR="006D7E17">
        <w:rPr>
          <w:rStyle w:val="FootnoteReference"/>
        </w:rPr>
        <w:footnoteReference w:id="15"/>
      </w:r>
    </w:p>
    <w:p w14:paraId="5AC6F051" w14:textId="0E668274" w:rsidR="2A5A829E" w:rsidRPr="007B4F8F" w:rsidRDefault="2A5A829E" w:rsidP="000A5102">
      <w:pPr>
        <w:jc w:val="both"/>
      </w:pPr>
      <w:r>
        <w:t xml:space="preserve">Finally, when it comes to </w:t>
      </w:r>
      <w:r w:rsidRPr="006242B5">
        <w:rPr>
          <w:i/>
          <w:iCs/>
        </w:rPr>
        <w:t>connectivity uptake</w:t>
      </w:r>
      <w:r w:rsidRPr="006242B5">
        <w:t xml:space="preserve">, </w:t>
      </w:r>
      <w:r w:rsidR="003509AA" w:rsidRPr="003509AA">
        <w:t>Moldova</w:t>
      </w:r>
      <w:r w:rsidR="171EC86E" w:rsidRPr="003509AA">
        <w:t xml:space="preserve"> is positioned in the middle in comparison to </w:t>
      </w:r>
      <w:r w:rsidR="171EC86E" w:rsidRPr="007B4F8F">
        <w:t>regional peers</w:t>
      </w:r>
      <w:r w:rsidR="33EC1DC2" w:rsidRPr="007B4F8F">
        <w:t>:</w:t>
      </w:r>
    </w:p>
    <w:p w14:paraId="018CC28E" w14:textId="77777777" w:rsidR="000A5102" w:rsidRPr="000A5102" w:rsidRDefault="33EC1DC2" w:rsidP="000A5102">
      <w:pPr>
        <w:pStyle w:val="ListParagraph"/>
        <w:numPr>
          <w:ilvl w:val="0"/>
          <w:numId w:val="17"/>
        </w:numPr>
        <w:jc w:val="both"/>
      </w:pPr>
      <w:r w:rsidRPr="000A5102">
        <w:rPr>
          <w:rFonts w:eastAsia="Calibri"/>
        </w:rPr>
        <w:t>F</w:t>
      </w:r>
      <w:r w:rsidRPr="000A5102">
        <w:rPr>
          <w:rFonts w:eastAsia="Calibri"/>
          <w:u w:val="single"/>
        </w:rPr>
        <w:t xml:space="preserve">ixed broadband subscriptions per 100 </w:t>
      </w:r>
      <w:r w:rsidR="007F6CEA" w:rsidRPr="000A5102">
        <w:rPr>
          <w:rFonts w:eastAsia="Calibri"/>
          <w:u w:val="single"/>
        </w:rPr>
        <w:t>inhabitants:</w:t>
      </w:r>
      <w:r w:rsidR="007F6CEA" w:rsidRPr="000A5102">
        <w:rPr>
          <w:rFonts w:eastAsia="Calibri"/>
        </w:rPr>
        <w:t xml:space="preserve"> </w:t>
      </w:r>
      <w:r w:rsidR="00346A6C" w:rsidRPr="000A5102">
        <w:rPr>
          <w:rFonts w:eastAsia="Calibri"/>
        </w:rPr>
        <w:t>Moldova</w:t>
      </w:r>
      <w:r w:rsidRPr="000A5102">
        <w:rPr>
          <w:rFonts w:eastAsia="Calibri"/>
        </w:rPr>
        <w:t xml:space="preserve"> </w:t>
      </w:r>
      <w:r w:rsidR="01108582" w:rsidRPr="000A5102">
        <w:rPr>
          <w:rFonts w:eastAsia="Calibri"/>
        </w:rPr>
        <w:t xml:space="preserve">has </w:t>
      </w:r>
      <w:r w:rsidR="000E32B8" w:rsidRPr="000A5102">
        <w:rPr>
          <w:rFonts w:eastAsia="Calibri"/>
        </w:rPr>
        <w:t>16.5</w:t>
      </w:r>
      <w:r w:rsidR="5B6F0A37" w:rsidRPr="000A5102">
        <w:rPr>
          <w:rFonts w:eastAsia="Calibri"/>
        </w:rPr>
        <w:t xml:space="preserve"> subscriptions per 100 inhabitants compared to an EU-27 average of 34.3. </w:t>
      </w:r>
      <w:r w:rsidR="006010D9" w:rsidRPr="000A5102">
        <w:rPr>
          <w:rFonts w:eastAsia="Calibri"/>
        </w:rPr>
        <w:t xml:space="preserve">During the last five years, it experienced moderately slower annual growth with a CAGR of </w:t>
      </w:r>
      <w:r w:rsidR="005118EA" w:rsidRPr="000A5102">
        <w:rPr>
          <w:rFonts w:eastAsia="Calibri"/>
        </w:rPr>
        <w:t>6</w:t>
      </w:r>
      <w:r w:rsidR="006010D9" w:rsidRPr="000A5102">
        <w:rPr>
          <w:rFonts w:eastAsia="Calibri"/>
        </w:rPr>
        <w:t xml:space="preserve">%. This </w:t>
      </w:r>
      <w:r w:rsidR="00007002" w:rsidRPr="000A5102">
        <w:rPr>
          <w:rFonts w:eastAsia="Calibri"/>
        </w:rPr>
        <w:t xml:space="preserve">rate </w:t>
      </w:r>
      <w:r w:rsidR="005118EA" w:rsidRPr="000A5102">
        <w:rPr>
          <w:rFonts w:eastAsia="Calibri"/>
        </w:rPr>
        <w:t>is higher than</w:t>
      </w:r>
      <w:r w:rsidR="006010D9" w:rsidRPr="000A5102">
        <w:rPr>
          <w:rFonts w:eastAsia="Calibri"/>
        </w:rPr>
        <w:t xml:space="preserve"> the </w:t>
      </w:r>
      <w:r w:rsidR="005118EA" w:rsidRPr="000A5102">
        <w:rPr>
          <w:rFonts w:eastAsia="Calibri"/>
        </w:rPr>
        <w:t>EU-27 average growth with</w:t>
      </w:r>
      <w:r w:rsidR="006010D9" w:rsidRPr="000A5102">
        <w:rPr>
          <w:rFonts w:eastAsia="Calibri"/>
        </w:rPr>
        <w:t xml:space="preserve"> a CAGR of 3.</w:t>
      </w:r>
      <w:r w:rsidR="005118EA" w:rsidRPr="000A5102">
        <w:rPr>
          <w:rFonts w:eastAsia="Calibri"/>
        </w:rPr>
        <w:t>2</w:t>
      </w:r>
      <w:r w:rsidR="006010D9" w:rsidRPr="000A5102">
        <w:rPr>
          <w:rFonts w:eastAsia="Calibri"/>
        </w:rPr>
        <w:t>%</w:t>
      </w:r>
      <w:r w:rsidR="00007002" w:rsidRPr="000A5102">
        <w:rPr>
          <w:rFonts w:eastAsia="Calibri"/>
        </w:rPr>
        <w:t xml:space="preserve">, </w:t>
      </w:r>
      <w:r w:rsidR="005118EA" w:rsidRPr="000A5102">
        <w:rPr>
          <w:rFonts w:eastAsia="Calibri"/>
        </w:rPr>
        <w:t xml:space="preserve">but it </w:t>
      </w:r>
      <w:r w:rsidR="00A44F3E" w:rsidRPr="000A5102">
        <w:rPr>
          <w:rFonts w:eastAsia="Calibri"/>
        </w:rPr>
        <w:t>falls</w:t>
      </w:r>
      <w:r w:rsidR="00007002" w:rsidRPr="000A5102">
        <w:rPr>
          <w:rFonts w:eastAsia="Calibri"/>
        </w:rPr>
        <w:t xml:space="preserve"> behind in comparison with the 9 non-EU countries annual growth of</w:t>
      </w:r>
      <w:r w:rsidR="006010D9" w:rsidRPr="000A5102">
        <w:rPr>
          <w:rFonts w:eastAsia="Calibri"/>
        </w:rPr>
        <w:t xml:space="preserve"> an average of 8.7% each year from 2015 to 2019</w:t>
      </w:r>
      <w:r w:rsidR="00007002" w:rsidRPr="000A5102">
        <w:rPr>
          <w:rFonts w:eastAsia="Calibri"/>
        </w:rPr>
        <w:t>.</w:t>
      </w:r>
    </w:p>
    <w:p w14:paraId="2A1E1D44" w14:textId="77777777" w:rsidR="000A5102" w:rsidRPr="000A5102" w:rsidRDefault="33EC1DC2" w:rsidP="000A5102">
      <w:pPr>
        <w:pStyle w:val="ListParagraph"/>
        <w:numPr>
          <w:ilvl w:val="0"/>
          <w:numId w:val="17"/>
        </w:numPr>
        <w:jc w:val="both"/>
      </w:pPr>
      <w:r w:rsidRPr="000A5102">
        <w:rPr>
          <w:rFonts w:eastAsia="Calibri"/>
          <w:u w:val="single"/>
        </w:rPr>
        <w:lastRenderedPageBreak/>
        <w:t>Active mobile-broadband subscriptions per 100 inhabitants</w:t>
      </w:r>
      <w:r w:rsidRPr="000A5102">
        <w:rPr>
          <w:rFonts w:eastAsia="Calibri"/>
          <w:color w:val="2B579A"/>
          <w:u w:val="single"/>
        </w:rPr>
        <w:t>:</w:t>
      </w:r>
      <w:r w:rsidRPr="000A5102">
        <w:rPr>
          <w:rFonts w:eastAsia="Calibri"/>
        </w:rPr>
        <w:t xml:space="preserve"> </w:t>
      </w:r>
      <w:r w:rsidR="4D329A35" w:rsidRPr="000A5102">
        <w:rPr>
          <w:rFonts w:eastAsia="Calibri"/>
        </w:rPr>
        <w:t xml:space="preserve">the country has </w:t>
      </w:r>
      <w:r w:rsidR="00007002" w:rsidRPr="000A5102">
        <w:rPr>
          <w:rFonts w:eastAsia="Calibri"/>
        </w:rPr>
        <w:t xml:space="preserve">58.9 </w:t>
      </w:r>
      <w:r w:rsidR="4D329A35" w:rsidRPr="000A5102">
        <w:rPr>
          <w:rFonts w:eastAsia="Calibri"/>
        </w:rPr>
        <w:t xml:space="preserve">subscriptions per 100 inhabitants compared to an EU-27 average of </w:t>
      </w:r>
      <w:r w:rsidR="7F1FBC16" w:rsidRPr="000A5102">
        <w:rPr>
          <w:rFonts w:eastAsia="Calibri"/>
        </w:rPr>
        <w:t>108.8</w:t>
      </w:r>
      <w:r w:rsidR="003509AA" w:rsidRPr="000A5102">
        <w:rPr>
          <w:rFonts w:eastAsia="Calibri"/>
        </w:rPr>
        <w:t>, which draws attention to the disparities that exist</w:t>
      </w:r>
      <w:r w:rsidR="007B4F8F" w:rsidRPr="000A5102">
        <w:rPr>
          <w:rFonts w:eastAsia="Calibri"/>
        </w:rPr>
        <w:t xml:space="preserve"> between</w:t>
      </w:r>
      <w:r w:rsidR="003509AA" w:rsidRPr="000A5102">
        <w:rPr>
          <w:rFonts w:eastAsia="Calibri"/>
        </w:rPr>
        <w:t xml:space="preserve"> Europe </w:t>
      </w:r>
      <w:r w:rsidR="007B4F8F" w:rsidRPr="000A5102">
        <w:rPr>
          <w:rFonts w:eastAsia="Calibri"/>
        </w:rPr>
        <w:t xml:space="preserve">countries </w:t>
      </w:r>
      <w:r w:rsidR="003509AA" w:rsidRPr="000A5102">
        <w:rPr>
          <w:rFonts w:eastAsia="Calibri"/>
        </w:rPr>
        <w:t>and Moldova</w:t>
      </w:r>
      <w:r w:rsidR="007B4F8F" w:rsidRPr="000A5102">
        <w:rPr>
          <w:rFonts w:eastAsia="Calibri"/>
        </w:rPr>
        <w:t>.</w:t>
      </w:r>
    </w:p>
    <w:p w14:paraId="71635470" w14:textId="2F57C21A" w:rsidR="006C5705" w:rsidRPr="008D6D7C" w:rsidRDefault="33EC1DC2" w:rsidP="55F26A43">
      <w:pPr>
        <w:pStyle w:val="ListParagraph"/>
        <w:numPr>
          <w:ilvl w:val="0"/>
          <w:numId w:val="17"/>
        </w:numPr>
        <w:jc w:val="both"/>
      </w:pPr>
      <w:r w:rsidRPr="000A5102">
        <w:rPr>
          <w:rFonts w:eastAsia="Calibri"/>
          <w:u w:val="single"/>
        </w:rPr>
        <w:t>Estimated proportion of households with a computer</w:t>
      </w:r>
      <w:r w:rsidR="007F6CEA" w:rsidRPr="000A5102">
        <w:rPr>
          <w:rFonts w:eastAsia="Calibri"/>
          <w:lang w:val="en-GB"/>
        </w:rPr>
        <w:t>:</w:t>
      </w:r>
      <w:r w:rsidR="2D093EF0" w:rsidRPr="000A5102">
        <w:rPr>
          <w:rFonts w:eastAsia="Calibri"/>
        </w:rPr>
        <w:t xml:space="preserve"> </w:t>
      </w:r>
    </w:p>
    <w:p w14:paraId="18774FB1" w14:textId="60359818" w:rsidR="008D6D7C" w:rsidRPr="008D6D7C" w:rsidRDefault="008D6D7C" w:rsidP="008D6D7C">
      <w:pPr>
        <w:pStyle w:val="ListParagraph"/>
        <w:numPr>
          <w:ilvl w:val="0"/>
          <w:numId w:val="17"/>
        </w:numPr>
        <w:jc w:val="both"/>
        <w:rPr>
          <w:rFonts w:eastAsia="Calibri"/>
        </w:rPr>
      </w:pPr>
      <w:r w:rsidRPr="000A5102">
        <w:rPr>
          <w:rFonts w:eastAsia="Calibri"/>
        </w:rPr>
        <w:t>with 59.5% of households estimated to be in possession of a computer at home</w:t>
      </w:r>
      <w:r>
        <w:rPr>
          <w:rFonts w:eastAsia="Calibri"/>
        </w:rPr>
        <w:t xml:space="preserve"> in 2019, Moldova is still far behind the EU-27 average of 80.5%.  However, the country registered a positive trend related to this indicator justified by a 5.9% increase compared to 2017.</w:t>
      </w:r>
    </w:p>
    <w:p w14:paraId="7AA148EB" w14:textId="77777777" w:rsidR="008D6D7C" w:rsidRPr="000A5102" w:rsidRDefault="008D6D7C" w:rsidP="55F26A43">
      <w:pPr>
        <w:pStyle w:val="ListParagraph"/>
        <w:numPr>
          <w:ilvl w:val="0"/>
          <w:numId w:val="17"/>
        </w:numPr>
        <w:jc w:val="both"/>
      </w:pPr>
    </w:p>
    <w:p w14:paraId="1D7E190B" w14:textId="2E964D61" w:rsidR="5818ED36" w:rsidRPr="000A5102" w:rsidRDefault="008435C4" w:rsidP="000A5102">
      <w:pPr>
        <w:pStyle w:val="Heading3"/>
      </w:pPr>
      <w:bookmarkStart w:id="187" w:name="_Toc74850930"/>
      <w:r>
        <w:t xml:space="preserve">2.1.4 </w:t>
      </w:r>
      <w:r w:rsidR="5818ED36">
        <w:t xml:space="preserve">Connectivity </w:t>
      </w:r>
      <w:r w:rsidR="00B172A8">
        <w:t>p</w:t>
      </w:r>
      <w:r w:rsidR="79108E42">
        <w:t xml:space="preserve">olicies </w:t>
      </w:r>
      <w:r w:rsidR="5ADF3266">
        <w:t>and regulations</w:t>
      </w:r>
      <w:bookmarkEnd w:id="187"/>
    </w:p>
    <w:p w14:paraId="23B3DDEF" w14:textId="15C06C8F" w:rsidR="00AD25DC" w:rsidRDefault="00AD25DC" w:rsidP="000A5102">
      <w:pPr>
        <w:jc w:val="both"/>
      </w:pPr>
      <w:bookmarkStart w:id="188" w:name="_Hlk78281137"/>
      <w:r>
        <w:t xml:space="preserve">The ICT usage and coverage in the Republic of Moldova increased and spread at a high pace </w:t>
      </w:r>
      <w:r w:rsidR="078CD927">
        <w:t xml:space="preserve">over </w:t>
      </w:r>
      <w:r>
        <w:t>the past decade. This is due to the strong government support to the sector development and its engagement in sector promotion through various strategies and regulations</w:t>
      </w:r>
      <w:bookmarkEnd w:id="188"/>
      <w:r>
        <w:t xml:space="preserve">. Among them is the national strategy for information society development, </w:t>
      </w:r>
      <w:bookmarkStart w:id="189" w:name="_Hlk78283152"/>
      <w:r>
        <w:t>“Digital Moldova 2020” and the Action Plan for 2013-2020</w:t>
      </w:r>
      <w:bookmarkEnd w:id="189"/>
      <w:r>
        <w:t xml:space="preserve">. </w:t>
      </w:r>
    </w:p>
    <w:p w14:paraId="4655E2F4" w14:textId="77777777" w:rsidR="00AD25DC" w:rsidRDefault="00AD25DC" w:rsidP="000A5102">
      <w:pPr>
        <w:jc w:val="both"/>
      </w:pPr>
      <w:r>
        <w:t xml:space="preserve">The strategy </w:t>
      </w:r>
      <w:bookmarkStart w:id="190" w:name="_Hlk78283656"/>
      <w:r>
        <w:t>was built upon 3 pillars covering the most important areas for the sector growth:</w:t>
      </w:r>
    </w:p>
    <w:p w14:paraId="66AF1174" w14:textId="77777777" w:rsidR="000A5102" w:rsidRDefault="00AD25DC" w:rsidP="000A5102">
      <w:pPr>
        <w:pStyle w:val="ListParagraph"/>
        <w:numPr>
          <w:ilvl w:val="0"/>
          <w:numId w:val="18"/>
        </w:numPr>
        <w:jc w:val="both"/>
      </w:pPr>
      <w:r>
        <w:t>Infrastructure and access;</w:t>
      </w:r>
    </w:p>
    <w:p w14:paraId="065E3A0A" w14:textId="77777777" w:rsidR="000A5102" w:rsidRDefault="00AD25DC" w:rsidP="000A5102">
      <w:pPr>
        <w:pStyle w:val="ListParagraph"/>
        <w:numPr>
          <w:ilvl w:val="0"/>
          <w:numId w:val="18"/>
        </w:numPr>
        <w:jc w:val="both"/>
      </w:pPr>
      <w:r>
        <w:t>Digital content and electronic services;</w:t>
      </w:r>
      <w:bookmarkStart w:id="191" w:name="_Hlk74664257"/>
    </w:p>
    <w:p w14:paraId="49DBF0B4" w14:textId="136E37C5" w:rsidR="00AD25DC" w:rsidRDefault="00AD25DC" w:rsidP="000A5102">
      <w:pPr>
        <w:pStyle w:val="ListParagraph"/>
        <w:numPr>
          <w:ilvl w:val="0"/>
          <w:numId w:val="18"/>
        </w:numPr>
        <w:jc w:val="both"/>
      </w:pPr>
      <w:r>
        <w:t>Capacities and usage.</w:t>
      </w:r>
    </w:p>
    <w:bookmarkEnd w:id="190"/>
    <w:bookmarkEnd w:id="191"/>
    <w:p w14:paraId="15AE0734" w14:textId="69A0938A" w:rsidR="00AD25DC" w:rsidRDefault="00AD25DC" w:rsidP="000A5102">
      <w:pPr>
        <w:jc w:val="both"/>
      </w:pPr>
      <w:r>
        <w:t xml:space="preserve">The Strategy aimed to impact the ICT spread through the public, private, and business areas, </w:t>
      </w:r>
      <w:r w:rsidR="00F00245">
        <w:t xml:space="preserve">and </w:t>
      </w:r>
      <w:r>
        <w:t>envision</w:t>
      </w:r>
      <w:r w:rsidR="00F00245">
        <w:t>ed</w:t>
      </w:r>
      <w:r>
        <w:t xml:space="preserve"> an advanced information society in Moldova by 2020. As a result of its implementation, citizens c</w:t>
      </w:r>
      <w:r w:rsidR="00F00245">
        <w:t>an now</w:t>
      </w:r>
      <w:r>
        <w:t xml:space="preserve"> benefit from extended access to modern ICT infrastructure, rich digital content and extended number of electronic services, as well as from tools and initiatives enhancing the digital literacy and technological skills.</w:t>
      </w:r>
      <w:r>
        <w:rPr>
          <w:rStyle w:val="FootnoteReference"/>
        </w:rPr>
        <w:footnoteReference w:id="16"/>
      </w:r>
    </w:p>
    <w:p w14:paraId="50571940" w14:textId="02594323" w:rsidR="00AD25DC" w:rsidRDefault="00AD25DC" w:rsidP="000A5102">
      <w:pPr>
        <w:jc w:val="both"/>
      </w:pPr>
      <w:bookmarkStart w:id="192" w:name="_Hlk78283702"/>
      <w:r>
        <w:t>In line with the Strategy objectives, t</w:t>
      </w:r>
      <w:r w:rsidRPr="00DC6556">
        <w:t xml:space="preserve">he Broadband Development </w:t>
      </w:r>
      <w:proofErr w:type="spellStart"/>
      <w:r w:rsidRPr="00DC6556">
        <w:t>Programme</w:t>
      </w:r>
      <w:proofErr w:type="spellEnd"/>
      <w:r w:rsidRPr="00DC6556">
        <w:t xml:space="preserve"> for the years 2018–2020 was approved and an action plan </w:t>
      </w:r>
      <w:r w:rsidR="00AC02B0">
        <w:t xml:space="preserve">was </w:t>
      </w:r>
      <w:r w:rsidRPr="00DC6556">
        <w:t>adopted for its implementation.</w:t>
      </w:r>
      <w:bookmarkEnd w:id="192"/>
      <w:r>
        <w:t xml:space="preserve"> </w:t>
      </w:r>
      <w:bookmarkStart w:id="193" w:name="_Hlk78283778"/>
      <w:r w:rsidRPr="00DC6556">
        <w:t xml:space="preserve">The </w:t>
      </w:r>
      <w:proofErr w:type="spellStart"/>
      <w:r w:rsidRPr="00DC6556">
        <w:t>programme’s</w:t>
      </w:r>
      <w:proofErr w:type="spellEnd"/>
      <w:r w:rsidRPr="00DC6556">
        <w:t xml:space="preserve"> overall objective </w:t>
      </w:r>
      <w:r w:rsidR="00F00245">
        <w:t>was the</w:t>
      </w:r>
      <w:r w:rsidRPr="00DC6556">
        <w:t xml:space="preserve"> development of broadband electronic communication networks which provide greater data transfer capacity. In order to promote the efficient management of radio spectrum resources and thus ensure the continued development of public broadband electronic communication networks and services, the Radio Spectrum Management </w:t>
      </w:r>
      <w:proofErr w:type="spellStart"/>
      <w:r w:rsidRPr="00DC6556">
        <w:t>Programme</w:t>
      </w:r>
      <w:proofErr w:type="spellEnd"/>
      <w:r w:rsidRPr="00DC6556">
        <w:t xml:space="preserve"> for the years 2013–2020 was </w:t>
      </w:r>
      <w:r w:rsidR="00F00245">
        <w:t xml:space="preserve">also </w:t>
      </w:r>
      <w:r w:rsidR="00AC02B0">
        <w:t>created</w:t>
      </w:r>
      <w:bookmarkEnd w:id="193"/>
      <w:r w:rsidRPr="00DC6556">
        <w:t>.</w:t>
      </w:r>
      <w:bookmarkStart w:id="194" w:name="_Hlk74502928"/>
      <w:r>
        <w:rPr>
          <w:rStyle w:val="FootnoteReference"/>
        </w:rPr>
        <w:footnoteReference w:id="17"/>
      </w:r>
    </w:p>
    <w:bookmarkEnd w:id="194"/>
    <w:p w14:paraId="38709167" w14:textId="20A4F6E0" w:rsidR="00AD25DC" w:rsidRDefault="00AD25DC" w:rsidP="000A5102">
      <w:pPr>
        <w:jc w:val="both"/>
      </w:pPr>
      <w:r>
        <w:lastRenderedPageBreak/>
        <w:t xml:space="preserve">The Strategy was considered a great success with the 95% implementation of the planed actions. These developments </w:t>
      </w:r>
      <w:r w:rsidR="00F00245">
        <w:t>raised</w:t>
      </w:r>
      <w:r>
        <w:t xml:space="preserve"> the ICT sector as one of the engines of economic growth of the country.</w:t>
      </w:r>
      <w:r>
        <w:rPr>
          <w:rStyle w:val="FootnoteReference"/>
        </w:rPr>
        <w:footnoteReference w:id="18"/>
      </w:r>
      <w:r>
        <w:t xml:space="preserve"> </w:t>
      </w:r>
    </w:p>
    <w:p w14:paraId="5186FE80" w14:textId="740CB590" w:rsidR="00AD25DC" w:rsidRDefault="00AD25DC" w:rsidP="000A5102">
      <w:pPr>
        <w:jc w:val="both"/>
      </w:pPr>
      <w:r>
        <w:t>As a follow up to these efforts</w:t>
      </w:r>
      <w:r w:rsidR="00AC02B0">
        <w:t xml:space="preserve">, </w:t>
      </w:r>
      <w:r>
        <w:t>the national development strategy “Moldova 2030”</w:t>
      </w:r>
      <w:r>
        <w:rPr>
          <w:rStyle w:val="FootnoteReference"/>
        </w:rPr>
        <w:footnoteReference w:id="19"/>
      </w:r>
      <w:r>
        <w:t xml:space="preserve"> </w:t>
      </w:r>
      <w:bookmarkStart w:id="195" w:name="_Hlk78287346"/>
      <w:r>
        <w:t>was adopted</w:t>
      </w:r>
      <w:r w:rsidR="00BB0DD4">
        <w:t xml:space="preserve"> by the Government</w:t>
      </w:r>
      <w:r w:rsidR="000970F6">
        <w:t xml:space="preserve"> in 2020</w:t>
      </w:r>
      <w:r w:rsidR="00BB0DD4">
        <w:t xml:space="preserve"> and awaits Parliament approval</w:t>
      </w:r>
      <w:bookmarkEnd w:id="195"/>
      <w:r>
        <w:t xml:space="preserve">. It has 10 main objectives </w:t>
      </w:r>
      <w:r w:rsidR="00AC02B0">
        <w:t>covering multiple</w:t>
      </w:r>
      <w:r>
        <w:t xml:space="preserve"> economic and social issues.</w:t>
      </w:r>
      <w:r w:rsidR="00AC02B0">
        <w:t xml:space="preserve"> </w:t>
      </w:r>
      <w:r>
        <w:t>ICT plays a crosscutting role in supporting the positive change</w:t>
      </w:r>
      <w:r w:rsidR="00AC02B0">
        <w:t xml:space="preserve"> envisioned </w:t>
      </w:r>
      <w:r w:rsidR="00F00245">
        <w:t>through</w:t>
      </w:r>
      <w:r w:rsidR="00AC02B0">
        <w:t xml:space="preserve"> the Strategy implementation</w:t>
      </w:r>
      <w:r>
        <w:t xml:space="preserve">. </w:t>
      </w:r>
      <w:r w:rsidR="00F00245">
        <w:t>A</w:t>
      </w:r>
      <w:r>
        <w:t xml:space="preserve">mong the objectives expected to be fulfilled by 2030 are: </w:t>
      </w:r>
    </w:p>
    <w:p w14:paraId="42DE456C" w14:textId="77777777" w:rsidR="00AD25DC" w:rsidRDefault="00AD25DC" w:rsidP="000A5102">
      <w:pPr>
        <w:pStyle w:val="ListParagraph"/>
        <w:numPr>
          <w:ilvl w:val="0"/>
          <w:numId w:val="19"/>
        </w:numPr>
        <w:jc w:val="both"/>
      </w:pPr>
      <w:r>
        <w:t>reaching the mobile</w:t>
      </w:r>
      <w:r w:rsidRPr="0048758D">
        <w:t>-cellular subscriptions</w:t>
      </w:r>
      <w:r>
        <w:t xml:space="preserve"> of 130%;</w:t>
      </w:r>
    </w:p>
    <w:p w14:paraId="641A20AA" w14:textId="02EE0361" w:rsidR="00AD25DC" w:rsidRDefault="00F00245" w:rsidP="000A5102">
      <w:pPr>
        <w:pStyle w:val="ListParagraph"/>
        <w:numPr>
          <w:ilvl w:val="0"/>
          <w:numId w:val="19"/>
        </w:numPr>
        <w:jc w:val="both"/>
      </w:pPr>
      <w:r>
        <w:t>achieving a</w:t>
      </w:r>
      <w:r w:rsidR="00AD25DC">
        <w:t xml:space="preserve"> mobile Internet penetration rate of 80%;</w:t>
      </w:r>
    </w:p>
    <w:p w14:paraId="59641131" w14:textId="4397617A" w:rsidR="00AD25DC" w:rsidRDefault="00AD25DC" w:rsidP="000A5102">
      <w:pPr>
        <w:pStyle w:val="ListParagraph"/>
        <w:numPr>
          <w:ilvl w:val="0"/>
          <w:numId w:val="19"/>
        </w:numPr>
        <w:jc w:val="both"/>
      </w:pPr>
      <w:r>
        <w:t>increas</w:t>
      </w:r>
      <w:r w:rsidR="00F00245">
        <w:t xml:space="preserve">ing </w:t>
      </w:r>
      <w:r>
        <w:t>broadband access</w:t>
      </w:r>
      <w:r w:rsidRPr="001075D6">
        <w:t xml:space="preserve"> </w:t>
      </w:r>
      <w:r>
        <w:t xml:space="preserve">speed with </w:t>
      </w:r>
      <w:r w:rsidRPr="001075D6">
        <w:t xml:space="preserve">50% of </w:t>
      </w:r>
      <w:r>
        <w:t>Internet connections</w:t>
      </w:r>
      <w:r w:rsidRPr="001075D6">
        <w:t xml:space="preserve"> </w:t>
      </w:r>
      <w:r w:rsidR="00F00245">
        <w:t>having</w:t>
      </w:r>
      <w:r>
        <w:t xml:space="preserve"> a</w:t>
      </w:r>
      <w:r w:rsidRPr="001075D6">
        <w:t>t least 100 Mbps</w:t>
      </w:r>
      <w:r>
        <w:t>, and 45% with a</w:t>
      </w:r>
      <w:r w:rsidR="00F00245" w:rsidRPr="00F00245">
        <w:t xml:space="preserve"> least a</w:t>
      </w:r>
      <w:r>
        <w:t xml:space="preserve"> speed between 30 – 100 Mbps;</w:t>
      </w:r>
    </w:p>
    <w:p w14:paraId="6EF4732B" w14:textId="4252FE1D" w:rsidR="00AD25DC" w:rsidRDefault="00AD25DC" w:rsidP="000A5102">
      <w:pPr>
        <w:pStyle w:val="ListParagraph"/>
        <w:numPr>
          <w:ilvl w:val="0"/>
          <w:numId w:val="19"/>
        </w:numPr>
        <w:jc w:val="both"/>
      </w:pPr>
      <w:r>
        <w:t>promoti</w:t>
      </w:r>
      <w:r w:rsidR="00F00245">
        <w:t>ng use of</w:t>
      </w:r>
      <w:r>
        <w:t xml:space="preserve"> 5G connectivity</w:t>
      </w:r>
      <w:r w:rsidRPr="0048758D">
        <w:t xml:space="preserve"> </w:t>
      </w:r>
      <w:r>
        <w:t xml:space="preserve">for all the </w:t>
      </w:r>
      <w:r w:rsidRPr="0048758D">
        <w:t xml:space="preserve">household </w:t>
      </w:r>
      <w:r>
        <w:t>across the country</w:t>
      </w:r>
      <w:r w:rsidRPr="0048758D">
        <w:t>.</w:t>
      </w:r>
    </w:p>
    <w:p w14:paraId="3C02215F" w14:textId="30DAF144" w:rsidR="0010039D" w:rsidRDefault="003E0D57" w:rsidP="000A5102">
      <w:pPr>
        <w:jc w:val="both"/>
        <w:rPr>
          <w:rFonts w:eastAsia="Calibri"/>
        </w:rPr>
      </w:pPr>
      <w:bookmarkStart w:id="196" w:name="_Hlk78283920"/>
      <w:r>
        <w:t xml:space="preserve">In 2020, another document that completed the country’s legal framework was the </w:t>
      </w:r>
      <w:r w:rsidR="0010039D">
        <w:t xml:space="preserve">Radio Spectrum Management </w:t>
      </w:r>
      <w:proofErr w:type="spellStart"/>
      <w:r w:rsidR="0010039D">
        <w:t>Programme</w:t>
      </w:r>
      <w:proofErr w:type="spellEnd"/>
      <w:r w:rsidR="0010039D">
        <w:t xml:space="preserve"> for 2021-2025</w:t>
      </w:r>
      <w:r>
        <w:t xml:space="preserve"> which was developed with </w:t>
      </w:r>
      <w:r w:rsidR="0010039D">
        <w:t>the support of ITU</w:t>
      </w:r>
      <w:r>
        <w:t>. It</w:t>
      </w:r>
      <w:r w:rsidR="0010039D">
        <w:t xml:space="preserve"> aims to ensure the necessary radio spectrum resources for the continued development of ICTs in the Republic of Moldova</w:t>
      </w:r>
      <w:r>
        <w:t xml:space="preserve">, and </w:t>
      </w:r>
      <w:r w:rsidR="0010039D">
        <w:t xml:space="preserve">sets out </w:t>
      </w:r>
      <w:r>
        <w:t>recommendations</w:t>
      </w:r>
      <w:r w:rsidR="0010039D">
        <w:t xml:space="preserve"> for spectrum allocations over the next five years. </w:t>
      </w:r>
      <w:bookmarkEnd w:id="196"/>
      <w:r w:rsidR="0010039D">
        <w:t xml:space="preserve">While the document provides some clarity to market players on intended spectrum allocations, some issues remain unclear: 1) allocation dates are only provisional as the regulator is </w:t>
      </w:r>
      <w:r>
        <w:t>responsible</w:t>
      </w:r>
      <w:r w:rsidR="0010039D">
        <w:t xml:space="preserve"> for the organization of licensing process; 2) license obligations yet to be determined by the regulator; and 3) methodology of reserve prices setting is somewhat opaque.</w:t>
      </w:r>
      <w:r>
        <w:rPr>
          <w:rStyle w:val="FootnoteReference"/>
        </w:rPr>
        <w:footnoteReference w:id="20"/>
      </w:r>
    </w:p>
    <w:p w14:paraId="4203ECB4" w14:textId="34F780A8" w:rsidR="201DA159" w:rsidRPr="00775F65" w:rsidRDefault="0010039D" w:rsidP="000A5102">
      <w:pPr>
        <w:jc w:val="both"/>
        <w:rPr>
          <w:rFonts w:eastAsia="Calibri"/>
          <w:color w:val="000000" w:themeColor="text1"/>
        </w:rPr>
      </w:pPr>
      <w:r>
        <w:rPr>
          <w:rFonts w:eastAsia="Calibri"/>
        </w:rPr>
        <w:t>F</w:t>
      </w:r>
      <w:r w:rsidR="007663C2" w:rsidRPr="00FE6638">
        <w:rPr>
          <w:rFonts w:eastAsia="Calibri"/>
        </w:rPr>
        <w:t xml:space="preserve">rom a </w:t>
      </w:r>
      <w:r w:rsidR="00BE3997" w:rsidRPr="00FE6638">
        <w:rPr>
          <w:rFonts w:eastAsia="Calibri"/>
        </w:rPr>
        <w:t xml:space="preserve">wider </w:t>
      </w:r>
      <w:r w:rsidR="201DA159" w:rsidRPr="00FE6638">
        <w:rPr>
          <w:rFonts w:eastAsia="Calibri"/>
        </w:rPr>
        <w:t xml:space="preserve">regulatory </w:t>
      </w:r>
      <w:r w:rsidR="00BE3997" w:rsidRPr="00FE6638">
        <w:rPr>
          <w:rFonts w:eastAsia="Calibri"/>
        </w:rPr>
        <w:t>standpoint</w:t>
      </w:r>
      <w:r w:rsidR="201DA159" w:rsidRPr="00FE6638">
        <w:rPr>
          <w:rFonts w:eastAsia="Calibri"/>
        </w:rPr>
        <w:t xml:space="preserve">, </w:t>
      </w:r>
      <w:r w:rsidR="00FE6638" w:rsidRPr="00FE6638">
        <w:rPr>
          <w:rFonts w:eastAsia="Calibri"/>
        </w:rPr>
        <w:t>the Republic of Moldova</w:t>
      </w:r>
      <w:r w:rsidR="201DA159" w:rsidRPr="00FE6638">
        <w:rPr>
          <w:rFonts w:eastAsia="Calibri"/>
        </w:rPr>
        <w:t xml:space="preserve"> currently </w:t>
      </w:r>
      <w:r w:rsidR="19A384AA" w:rsidRPr="00FE6638">
        <w:rPr>
          <w:rFonts w:eastAsia="Calibri"/>
        </w:rPr>
        <w:t>scor</w:t>
      </w:r>
      <w:r w:rsidR="3C2BE3E2" w:rsidRPr="00FE6638">
        <w:rPr>
          <w:rFonts w:eastAsia="Calibri"/>
        </w:rPr>
        <w:t>es</w:t>
      </w:r>
      <w:r w:rsidR="19A384AA" w:rsidRPr="00FE6638">
        <w:rPr>
          <w:rFonts w:eastAsia="Calibri"/>
        </w:rPr>
        <w:t xml:space="preserve"> </w:t>
      </w:r>
      <w:r w:rsidR="00FE6638" w:rsidRPr="00FE6638">
        <w:rPr>
          <w:rFonts w:eastAsia="Calibri"/>
        </w:rPr>
        <w:t>91</w:t>
      </w:r>
      <w:r w:rsidR="19A384AA" w:rsidRPr="00FE6638">
        <w:rPr>
          <w:rFonts w:eastAsia="Calibri"/>
        </w:rPr>
        <w:t xml:space="preserve"> in </w:t>
      </w:r>
      <w:r w:rsidR="313B4ECC" w:rsidRPr="00FE6638">
        <w:rPr>
          <w:rFonts w:eastAsia="Calibri"/>
        </w:rPr>
        <w:t xml:space="preserve">the </w:t>
      </w:r>
      <w:r w:rsidR="41E0FE8D" w:rsidRPr="00FE6638">
        <w:rPr>
          <w:rFonts w:eastAsia="Calibri"/>
        </w:rPr>
        <w:t xml:space="preserve">ITU </w:t>
      </w:r>
      <w:r w:rsidR="4472E0BF" w:rsidRPr="00FE6638">
        <w:rPr>
          <w:rFonts w:eastAsia="Calibri"/>
        </w:rPr>
        <w:t>I</w:t>
      </w:r>
      <w:r w:rsidR="313B4ECC" w:rsidRPr="00FE6638">
        <w:rPr>
          <w:rFonts w:eastAsia="Calibri"/>
        </w:rPr>
        <w:t>CT Regulatory Tracker</w:t>
      </w:r>
      <w:r w:rsidR="201DA159" w:rsidRPr="00FE6638">
        <w:rPr>
          <w:rFonts w:eastAsia="Calibri"/>
          <w:vertAlign w:val="superscript"/>
        </w:rPr>
        <w:footnoteReference w:id="21"/>
      </w:r>
      <w:r w:rsidR="7E1FD256" w:rsidRPr="00FE6638">
        <w:rPr>
          <w:rFonts w:eastAsia="Calibri"/>
        </w:rPr>
        <w:t>.</w:t>
      </w:r>
      <w:r w:rsidR="615E057E" w:rsidRPr="00FE6638">
        <w:rPr>
          <w:rFonts w:eastAsia="Calibri"/>
        </w:rPr>
        <w:t xml:space="preserve"> The </w:t>
      </w:r>
      <w:r w:rsidR="615E057E" w:rsidRPr="00775F65">
        <w:rPr>
          <w:rFonts w:eastAsia="Calibri"/>
          <w:color w:val="000000" w:themeColor="text1"/>
        </w:rPr>
        <w:t xml:space="preserve">ITU </w:t>
      </w:r>
      <w:r w:rsidR="313B4ECC" w:rsidRPr="00775F65">
        <w:rPr>
          <w:rFonts w:eastAsia="Calibri"/>
          <w:color w:val="000000" w:themeColor="text1"/>
        </w:rPr>
        <w:t>Tracker pinpoints the changes taking place in the ICT regulatory environment. It facilitates benchmarking and the identification of trends</w:t>
      </w:r>
      <w:r w:rsidR="134B2760" w:rsidRPr="00775F65">
        <w:rPr>
          <w:rFonts w:eastAsia="Calibri"/>
          <w:color w:val="000000" w:themeColor="text1"/>
        </w:rPr>
        <w:t xml:space="preserve"> and gaps</w:t>
      </w:r>
      <w:r w:rsidR="313B4ECC" w:rsidRPr="00775F65">
        <w:rPr>
          <w:rFonts w:eastAsia="Calibri"/>
          <w:color w:val="000000" w:themeColor="text1"/>
        </w:rPr>
        <w:t xml:space="preserve"> in ICT legal and regulatory frameworks</w:t>
      </w:r>
      <w:r w:rsidR="5896815C" w:rsidRPr="00775F65">
        <w:rPr>
          <w:rFonts w:eastAsia="Calibri"/>
          <w:color w:val="000000" w:themeColor="text1"/>
        </w:rPr>
        <w:t xml:space="preserve"> and</w:t>
      </w:r>
      <w:r w:rsidR="313B4ECC" w:rsidRPr="00775F65">
        <w:rPr>
          <w:rFonts w:eastAsia="Calibri"/>
          <w:color w:val="000000" w:themeColor="text1"/>
        </w:rPr>
        <w:t xml:space="preserve"> </w:t>
      </w:r>
      <w:r w:rsidR="00121A52" w:rsidRPr="00775F65">
        <w:rPr>
          <w:rFonts w:eastAsia="Calibri"/>
          <w:color w:val="000000" w:themeColor="text1"/>
        </w:rPr>
        <w:t>allows decision makers to make</w:t>
      </w:r>
      <w:r w:rsidR="1C910CC0" w:rsidRPr="00775F65">
        <w:rPr>
          <w:rFonts w:eastAsia="Calibri"/>
          <w:color w:val="000000" w:themeColor="text1"/>
        </w:rPr>
        <w:t xml:space="preserve"> </w:t>
      </w:r>
      <w:r w:rsidR="313B4ECC" w:rsidRPr="00775F65">
        <w:rPr>
          <w:rFonts w:eastAsia="Calibri"/>
          <w:color w:val="000000" w:themeColor="text1"/>
        </w:rPr>
        <w:t>the case for further regulatory reform towards achieving a vibrant and inclusive ICT sector.</w:t>
      </w:r>
    </w:p>
    <w:p w14:paraId="122DD6AF" w14:textId="454C8DED" w:rsidR="313B4ECC" w:rsidRPr="00775F65" w:rsidRDefault="313B4ECC" w:rsidP="000A5102">
      <w:pPr>
        <w:jc w:val="both"/>
        <w:rPr>
          <w:rFonts w:eastAsia="Calibri"/>
          <w:color w:val="000000" w:themeColor="text1"/>
        </w:rPr>
      </w:pPr>
      <w:r w:rsidRPr="00775F65">
        <w:rPr>
          <w:rFonts w:eastAsia="Calibri"/>
          <w:color w:val="000000" w:themeColor="text1"/>
        </w:rPr>
        <w:t xml:space="preserve">The ICT Regulatory Tracker is composed </w:t>
      </w:r>
      <w:r w:rsidR="00AC02B0" w:rsidRPr="00775F65">
        <w:rPr>
          <w:rFonts w:eastAsia="Calibri"/>
          <w:color w:val="000000" w:themeColor="text1"/>
        </w:rPr>
        <w:t>of</w:t>
      </w:r>
      <w:r w:rsidRPr="00775F65">
        <w:rPr>
          <w:rFonts w:eastAsia="Calibri"/>
          <w:color w:val="000000" w:themeColor="text1"/>
        </w:rPr>
        <w:t xml:space="preserve"> 50 indicators (11 composite, see full list below) grouped into four clusters:</w:t>
      </w:r>
    </w:p>
    <w:p w14:paraId="44982911" w14:textId="58E7EB2F" w:rsidR="313B4ECC" w:rsidRPr="006242B5" w:rsidRDefault="313B4ECC" w:rsidP="00BF5404">
      <w:pPr>
        <w:pStyle w:val="ListParagraph"/>
        <w:numPr>
          <w:ilvl w:val="0"/>
          <w:numId w:val="4"/>
        </w:numPr>
        <w:jc w:val="both"/>
        <w:rPr>
          <w:color w:val="333333"/>
        </w:rPr>
      </w:pPr>
      <w:r w:rsidRPr="006242B5">
        <w:rPr>
          <w:rFonts w:ascii="Calibri" w:eastAsia="Calibri" w:hAnsi="Calibri" w:cs="Calibri"/>
          <w:color w:val="333333"/>
        </w:rPr>
        <w:t>Regulatory authority (focusing on the functioning of the separate regulator)</w:t>
      </w:r>
      <w:r w:rsidR="6980CDF7" w:rsidRPr="006242B5">
        <w:rPr>
          <w:rFonts w:ascii="Calibri" w:eastAsia="Calibri" w:hAnsi="Calibri" w:cs="Calibri"/>
          <w:color w:val="333333"/>
        </w:rPr>
        <w:t xml:space="preserve">: </w:t>
      </w:r>
      <w:r w:rsidR="00FE6638">
        <w:rPr>
          <w:rFonts w:ascii="Calibri" w:eastAsia="Calibri" w:hAnsi="Calibri" w:cs="Calibri"/>
          <w:color w:val="333333"/>
        </w:rPr>
        <w:t>Moldova</w:t>
      </w:r>
      <w:r w:rsidR="6980CDF7" w:rsidRPr="006242B5">
        <w:rPr>
          <w:rFonts w:ascii="Calibri" w:eastAsia="Calibri" w:hAnsi="Calibri" w:cs="Calibri"/>
          <w:color w:val="333333"/>
        </w:rPr>
        <w:t xml:space="preserve"> scores </w:t>
      </w:r>
      <w:r w:rsidR="337BB303" w:rsidRPr="006242B5">
        <w:rPr>
          <w:rFonts w:ascii="Calibri" w:eastAsia="Calibri" w:hAnsi="Calibri" w:cs="Calibri"/>
          <w:color w:val="333333"/>
        </w:rPr>
        <w:t>19</w:t>
      </w:r>
      <w:r w:rsidR="00121A52">
        <w:rPr>
          <w:rFonts w:ascii="Calibri" w:eastAsia="Calibri" w:hAnsi="Calibri" w:cs="Calibri"/>
          <w:color w:val="333333"/>
        </w:rPr>
        <w:t xml:space="preserve"> out of </w:t>
      </w:r>
      <w:r w:rsidR="395E1745" w:rsidRPr="006242B5">
        <w:rPr>
          <w:rFonts w:ascii="Calibri" w:eastAsia="Calibri" w:hAnsi="Calibri" w:cs="Calibri"/>
          <w:color w:val="333333"/>
        </w:rPr>
        <w:t>20</w:t>
      </w:r>
      <w:r w:rsidR="00121A52">
        <w:rPr>
          <w:rFonts w:ascii="Calibri" w:eastAsia="Calibri" w:hAnsi="Calibri" w:cs="Calibri"/>
          <w:color w:val="333333"/>
        </w:rPr>
        <w:t>;</w:t>
      </w:r>
    </w:p>
    <w:p w14:paraId="6C131AF0" w14:textId="6675D5CC" w:rsidR="313B4ECC" w:rsidRPr="006242B5" w:rsidRDefault="313B4ECC" w:rsidP="00BF5404">
      <w:pPr>
        <w:pStyle w:val="ListParagraph"/>
        <w:numPr>
          <w:ilvl w:val="0"/>
          <w:numId w:val="4"/>
        </w:numPr>
        <w:jc w:val="both"/>
        <w:rPr>
          <w:color w:val="333333"/>
        </w:rPr>
      </w:pPr>
      <w:r w:rsidRPr="006242B5">
        <w:rPr>
          <w:rFonts w:ascii="Calibri" w:eastAsia="Calibri" w:hAnsi="Calibri" w:cs="Calibri"/>
          <w:color w:val="333333"/>
        </w:rPr>
        <w:lastRenderedPageBreak/>
        <w:t>Regulatory mandates (who regulates what)</w:t>
      </w:r>
      <w:r w:rsidR="6FE7645B" w:rsidRPr="006242B5">
        <w:rPr>
          <w:rFonts w:ascii="Calibri" w:eastAsia="Calibri" w:hAnsi="Calibri" w:cs="Calibri"/>
          <w:color w:val="333333"/>
        </w:rPr>
        <w:t xml:space="preserve">: </w:t>
      </w:r>
      <w:r w:rsidR="00FE6638">
        <w:rPr>
          <w:rFonts w:ascii="Calibri" w:eastAsia="Calibri" w:hAnsi="Calibri" w:cs="Calibri"/>
          <w:color w:val="333333"/>
        </w:rPr>
        <w:t>Moldova</w:t>
      </w:r>
      <w:r w:rsidR="6FE7645B" w:rsidRPr="006242B5">
        <w:rPr>
          <w:rFonts w:ascii="Calibri" w:eastAsia="Calibri" w:hAnsi="Calibri" w:cs="Calibri"/>
          <w:color w:val="333333"/>
        </w:rPr>
        <w:t xml:space="preserve"> scores </w:t>
      </w:r>
      <w:r w:rsidR="00FE6638">
        <w:rPr>
          <w:rFonts w:ascii="Calibri" w:eastAsia="Calibri" w:hAnsi="Calibri" w:cs="Calibri"/>
          <w:color w:val="333333"/>
        </w:rPr>
        <w:t>18</w:t>
      </w:r>
      <w:r w:rsidR="00121A52">
        <w:rPr>
          <w:rFonts w:ascii="Calibri" w:eastAsia="Calibri" w:hAnsi="Calibri" w:cs="Calibri"/>
          <w:color w:val="333333"/>
        </w:rPr>
        <w:t xml:space="preserve"> out of </w:t>
      </w:r>
      <w:r w:rsidR="07D7592A" w:rsidRPr="006242B5">
        <w:rPr>
          <w:rFonts w:ascii="Calibri" w:eastAsia="Calibri" w:hAnsi="Calibri" w:cs="Calibri"/>
          <w:color w:val="333333"/>
        </w:rPr>
        <w:t>2</w:t>
      </w:r>
      <w:r w:rsidR="327113E4" w:rsidRPr="006242B5">
        <w:rPr>
          <w:rFonts w:ascii="Calibri" w:eastAsia="Calibri" w:hAnsi="Calibri" w:cs="Calibri"/>
          <w:color w:val="333333"/>
        </w:rPr>
        <w:t>2</w:t>
      </w:r>
      <w:r w:rsidR="00121A52">
        <w:rPr>
          <w:rFonts w:ascii="Calibri" w:eastAsia="Calibri" w:hAnsi="Calibri" w:cs="Calibri"/>
          <w:color w:val="333333"/>
        </w:rPr>
        <w:t>;</w:t>
      </w:r>
    </w:p>
    <w:p w14:paraId="099F049F" w14:textId="672459BA" w:rsidR="313B4ECC" w:rsidRPr="006242B5" w:rsidRDefault="313B4ECC" w:rsidP="00BF5404">
      <w:pPr>
        <w:pStyle w:val="ListParagraph"/>
        <w:numPr>
          <w:ilvl w:val="0"/>
          <w:numId w:val="4"/>
        </w:numPr>
        <w:jc w:val="both"/>
        <w:rPr>
          <w:color w:val="333333"/>
        </w:rPr>
      </w:pPr>
      <w:r w:rsidRPr="006242B5">
        <w:rPr>
          <w:rFonts w:ascii="Calibri" w:eastAsia="Calibri" w:hAnsi="Calibri" w:cs="Calibri"/>
          <w:color w:val="333333"/>
        </w:rPr>
        <w:t>Regulatory regime (what regulation exists in major areas)</w:t>
      </w:r>
      <w:r w:rsidR="364AEE4C" w:rsidRPr="006242B5">
        <w:rPr>
          <w:rFonts w:ascii="Calibri" w:eastAsia="Calibri" w:hAnsi="Calibri" w:cs="Calibri"/>
          <w:color w:val="333333"/>
        </w:rPr>
        <w:t xml:space="preserve">: </w:t>
      </w:r>
      <w:r w:rsidR="00FE6638">
        <w:rPr>
          <w:rFonts w:ascii="Calibri" w:eastAsia="Calibri" w:hAnsi="Calibri" w:cs="Calibri"/>
          <w:color w:val="333333"/>
        </w:rPr>
        <w:t>Moldova</w:t>
      </w:r>
      <w:r w:rsidR="2524E632" w:rsidRPr="006242B5">
        <w:rPr>
          <w:rFonts w:ascii="Calibri" w:eastAsia="Calibri" w:hAnsi="Calibri" w:cs="Calibri"/>
          <w:color w:val="333333"/>
        </w:rPr>
        <w:t xml:space="preserve"> scores </w:t>
      </w:r>
      <w:r w:rsidR="00FE6638">
        <w:rPr>
          <w:rFonts w:ascii="Calibri" w:eastAsia="Calibri" w:hAnsi="Calibri" w:cs="Calibri"/>
          <w:color w:val="333333"/>
        </w:rPr>
        <w:t>28</w:t>
      </w:r>
      <w:r w:rsidR="00121A52">
        <w:rPr>
          <w:rFonts w:ascii="Calibri" w:eastAsia="Calibri" w:hAnsi="Calibri" w:cs="Calibri"/>
          <w:color w:val="333333"/>
        </w:rPr>
        <w:t xml:space="preserve"> out of </w:t>
      </w:r>
      <w:r w:rsidR="364AEE4C" w:rsidRPr="006242B5">
        <w:rPr>
          <w:rFonts w:ascii="Calibri" w:eastAsia="Calibri" w:hAnsi="Calibri" w:cs="Calibri"/>
          <w:color w:val="333333"/>
        </w:rPr>
        <w:t>30</w:t>
      </w:r>
      <w:r w:rsidR="00121A52">
        <w:rPr>
          <w:rFonts w:ascii="Calibri" w:eastAsia="Calibri" w:hAnsi="Calibri" w:cs="Calibri"/>
          <w:color w:val="333333"/>
        </w:rPr>
        <w:t>;</w:t>
      </w:r>
    </w:p>
    <w:p w14:paraId="43CF2939" w14:textId="39D27B37" w:rsidR="313B4ECC" w:rsidRPr="008915B2" w:rsidRDefault="313B4ECC" w:rsidP="00BF5404">
      <w:pPr>
        <w:pStyle w:val="ListParagraph"/>
        <w:numPr>
          <w:ilvl w:val="0"/>
          <w:numId w:val="4"/>
        </w:numPr>
        <w:jc w:val="both"/>
        <w:rPr>
          <w:color w:val="333333"/>
        </w:rPr>
      </w:pPr>
      <w:r w:rsidRPr="7E8FD016">
        <w:rPr>
          <w:rFonts w:ascii="Calibri" w:eastAsia="Calibri" w:hAnsi="Calibri" w:cs="Calibri"/>
          <w:color w:val="333333"/>
        </w:rPr>
        <w:t>Competition framework for the ICT sector (level of competition in the main market segments)</w:t>
      </w:r>
      <w:r w:rsidR="068DC774" w:rsidRPr="7E8FD016">
        <w:rPr>
          <w:rFonts w:ascii="Calibri" w:eastAsia="Calibri" w:hAnsi="Calibri" w:cs="Calibri"/>
          <w:color w:val="333333"/>
        </w:rPr>
        <w:t xml:space="preserve">: </w:t>
      </w:r>
      <w:r w:rsidR="00FE6638">
        <w:rPr>
          <w:rFonts w:ascii="Calibri" w:eastAsia="Calibri" w:hAnsi="Calibri" w:cs="Calibri"/>
          <w:color w:val="333333"/>
        </w:rPr>
        <w:t>Moldova</w:t>
      </w:r>
      <w:r w:rsidR="6796EF40" w:rsidRPr="7E8FD016">
        <w:rPr>
          <w:rFonts w:ascii="Calibri" w:eastAsia="Calibri" w:hAnsi="Calibri" w:cs="Calibri"/>
          <w:color w:val="333333"/>
        </w:rPr>
        <w:t xml:space="preserve"> scores</w:t>
      </w:r>
      <w:r w:rsidR="746A32AF" w:rsidRPr="7E8FD016">
        <w:rPr>
          <w:rFonts w:ascii="Calibri" w:eastAsia="Calibri" w:hAnsi="Calibri" w:cs="Calibri"/>
          <w:color w:val="333333"/>
        </w:rPr>
        <w:t xml:space="preserve"> </w:t>
      </w:r>
      <w:r w:rsidR="00FE6638">
        <w:rPr>
          <w:rFonts w:ascii="Calibri" w:eastAsia="Calibri" w:hAnsi="Calibri" w:cs="Calibri"/>
          <w:color w:val="333333"/>
        </w:rPr>
        <w:t>26</w:t>
      </w:r>
      <w:r w:rsidR="00121A52" w:rsidRPr="7E8FD016">
        <w:rPr>
          <w:rFonts w:ascii="Calibri" w:eastAsia="Calibri" w:hAnsi="Calibri" w:cs="Calibri"/>
          <w:color w:val="333333"/>
        </w:rPr>
        <w:t xml:space="preserve"> out of </w:t>
      </w:r>
      <w:r w:rsidR="068DC774" w:rsidRPr="7E8FD016">
        <w:rPr>
          <w:rFonts w:ascii="Calibri" w:eastAsia="Calibri" w:hAnsi="Calibri" w:cs="Calibri"/>
          <w:color w:val="333333"/>
        </w:rPr>
        <w:t>28</w:t>
      </w:r>
      <w:r w:rsidR="00121A52" w:rsidRPr="7E8FD016">
        <w:rPr>
          <w:rFonts w:ascii="Calibri" w:eastAsia="Calibri" w:hAnsi="Calibri" w:cs="Calibri"/>
          <w:color w:val="333333"/>
        </w:rPr>
        <w:t>.</w:t>
      </w:r>
    </w:p>
    <w:p w14:paraId="2A36AF22" w14:textId="12E7382C" w:rsidR="00266634" w:rsidRPr="008915B2" w:rsidRDefault="00266634" w:rsidP="000A5102">
      <w:pPr>
        <w:jc w:val="center"/>
      </w:pPr>
      <w:r w:rsidRPr="008915B2">
        <w:rPr>
          <w:rFonts w:eastAsia="Calibri"/>
        </w:rPr>
        <w:t>Figure 2 - ICT Regulatory</w:t>
      </w:r>
      <w:r w:rsidRPr="008915B2">
        <w:t xml:space="preserve"> </w:t>
      </w:r>
      <w:r w:rsidRPr="008915B2">
        <w:rPr>
          <w:rFonts w:eastAsia="Calibri"/>
        </w:rPr>
        <w:t xml:space="preserve">Tracker </w:t>
      </w:r>
      <w:r w:rsidR="0014128A">
        <w:rPr>
          <w:rFonts w:eastAsia="Calibri"/>
        </w:rPr>
        <w:t>–</w:t>
      </w:r>
      <w:r w:rsidRPr="008915B2">
        <w:rPr>
          <w:rFonts w:eastAsia="Calibri"/>
        </w:rPr>
        <w:t xml:space="preserve"> </w:t>
      </w:r>
      <w:r w:rsidR="0014128A">
        <w:rPr>
          <w:rFonts w:eastAsia="Calibri"/>
        </w:rPr>
        <w:t>Republic of Moldova</w:t>
      </w:r>
    </w:p>
    <w:p w14:paraId="18532CDD" w14:textId="39A77371" w:rsidR="008E0520" w:rsidRDefault="0014128A" w:rsidP="008915B2">
      <w:pPr>
        <w:keepNext/>
        <w:jc w:val="center"/>
      </w:pPr>
      <w:r>
        <w:rPr>
          <w:noProof/>
        </w:rPr>
        <w:drawing>
          <wp:inline distT="0" distB="0" distL="0" distR="0" wp14:anchorId="76CF9BB6" wp14:editId="0D0D0435">
            <wp:extent cx="5937250" cy="2108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937250" cy="2108200"/>
                    </a:xfrm>
                    <a:prstGeom prst="rect">
                      <a:avLst/>
                    </a:prstGeom>
                  </pic:spPr>
                </pic:pic>
              </a:graphicData>
            </a:graphic>
          </wp:inline>
        </w:drawing>
      </w:r>
    </w:p>
    <w:p w14:paraId="2BE442E7" w14:textId="4E526658" w:rsidR="004065A6" w:rsidRDefault="0DDEBC26" w:rsidP="000A5102">
      <w:pPr>
        <w:jc w:val="both"/>
        <w:rPr>
          <w:rFonts w:ascii="Calibri" w:eastAsia="Calibri" w:hAnsi="Calibri" w:cs="Calibri"/>
          <w:color w:val="000000" w:themeColor="text1"/>
        </w:rPr>
      </w:pPr>
      <w:r w:rsidRPr="00023596">
        <w:rPr>
          <w:color w:val="000000" w:themeColor="text1"/>
        </w:rPr>
        <w:t xml:space="preserve">This benchmark position </w:t>
      </w:r>
      <w:r w:rsidR="0014128A" w:rsidRPr="00023596">
        <w:rPr>
          <w:color w:val="000000" w:themeColor="text1"/>
        </w:rPr>
        <w:t>Moldova</w:t>
      </w:r>
      <w:r w:rsidRPr="00023596">
        <w:rPr>
          <w:color w:val="000000" w:themeColor="text1"/>
        </w:rPr>
        <w:t xml:space="preserve"> among the group of countries </w:t>
      </w:r>
      <w:r w:rsidR="008E0520" w:rsidRPr="00023596">
        <w:rPr>
          <w:color w:val="000000" w:themeColor="text1"/>
        </w:rPr>
        <w:t>with</w:t>
      </w:r>
      <w:r w:rsidR="35DF7E2F" w:rsidRPr="00023596">
        <w:rPr>
          <w:color w:val="000000" w:themeColor="text1"/>
        </w:rPr>
        <w:t xml:space="preserve"> a </w:t>
      </w:r>
      <w:r w:rsidR="35DF7E2F" w:rsidRPr="77ECB594">
        <w:rPr>
          <w:i/>
          <w:iCs/>
          <w:color w:val="000000" w:themeColor="text1"/>
        </w:rPr>
        <w:t>Fou</w:t>
      </w:r>
      <w:r w:rsidR="2FFD19ED" w:rsidRPr="77ECB594">
        <w:rPr>
          <w:i/>
          <w:iCs/>
          <w:color w:val="000000" w:themeColor="text1"/>
        </w:rPr>
        <w:t>rth-</w:t>
      </w:r>
      <w:r w:rsidR="35DF7E2F" w:rsidRPr="77ECB594">
        <w:rPr>
          <w:i/>
          <w:iCs/>
          <w:color w:val="000000" w:themeColor="text1"/>
        </w:rPr>
        <w:t xml:space="preserve">Generation regulatory </w:t>
      </w:r>
      <w:r w:rsidR="008E0520" w:rsidRPr="77ECB594">
        <w:rPr>
          <w:i/>
          <w:iCs/>
          <w:color w:val="000000" w:themeColor="text1"/>
        </w:rPr>
        <w:t>regime</w:t>
      </w:r>
      <w:r w:rsidR="00121A52" w:rsidRPr="77ECB594">
        <w:rPr>
          <w:i/>
          <w:iCs/>
          <w:color w:val="000000" w:themeColor="text1"/>
        </w:rPr>
        <w:t xml:space="preserve"> (G4)</w:t>
      </w:r>
      <w:r w:rsidR="35DF7E2F" w:rsidRPr="00023596">
        <w:rPr>
          <w:color w:val="000000" w:themeColor="text1"/>
        </w:rPr>
        <w:t>,</w:t>
      </w:r>
      <w:r w:rsidR="00AC4487" w:rsidRPr="00023596">
        <w:rPr>
          <w:color w:val="000000" w:themeColor="text1"/>
        </w:rPr>
        <w:t xml:space="preserve"> that</w:t>
      </w:r>
      <w:r w:rsidR="35DF7E2F" w:rsidRPr="00023596">
        <w:rPr>
          <w:color w:val="000000" w:themeColor="text1"/>
        </w:rPr>
        <w:t xml:space="preserve"> is i</w:t>
      </w:r>
      <w:r w:rsidR="35DF7E2F" w:rsidRPr="00023596">
        <w:rPr>
          <w:rFonts w:ascii="Calibri" w:eastAsia="Calibri" w:hAnsi="Calibri" w:cs="Calibri"/>
          <w:color w:val="000000" w:themeColor="text1"/>
        </w:rPr>
        <w:t>ntegrated and led by economic and social policy goals.</w:t>
      </w:r>
      <w:r w:rsidR="00AC4487" w:rsidRPr="00023596">
        <w:rPr>
          <w:rFonts w:ascii="Calibri" w:eastAsia="Calibri" w:hAnsi="Calibri" w:cs="Calibri"/>
          <w:color w:val="000000" w:themeColor="text1"/>
        </w:rPr>
        <w:t xml:space="preserve"> </w:t>
      </w:r>
      <w:r w:rsidR="002A08E5" w:rsidRPr="00023596">
        <w:rPr>
          <w:rFonts w:ascii="Calibri" w:eastAsia="Calibri" w:hAnsi="Calibri" w:cs="Calibri"/>
          <w:color w:val="000000" w:themeColor="text1"/>
        </w:rPr>
        <w:t>As t</w:t>
      </w:r>
      <w:r w:rsidR="35DF7E2F" w:rsidRPr="00023596">
        <w:rPr>
          <w:rFonts w:ascii="Calibri" w:eastAsia="Calibri" w:hAnsi="Calibri" w:cs="Calibri"/>
          <w:color w:val="000000" w:themeColor="text1"/>
        </w:rPr>
        <w:t xml:space="preserve">he gold standard is </w:t>
      </w:r>
      <w:r w:rsidR="002A08E5" w:rsidRPr="00023596">
        <w:rPr>
          <w:rFonts w:ascii="Calibri" w:eastAsia="Calibri" w:hAnsi="Calibri" w:cs="Calibri"/>
          <w:color w:val="000000" w:themeColor="text1"/>
        </w:rPr>
        <w:t xml:space="preserve">currently </w:t>
      </w:r>
      <w:r w:rsidR="17D52612" w:rsidRPr="00023596">
        <w:rPr>
          <w:rFonts w:ascii="Calibri" w:eastAsia="Calibri" w:hAnsi="Calibri" w:cs="Calibri"/>
          <w:color w:val="000000" w:themeColor="text1"/>
        </w:rPr>
        <w:t>Fifth Generation</w:t>
      </w:r>
      <w:r w:rsidR="0B97F569" w:rsidRPr="00023596">
        <w:rPr>
          <w:rFonts w:ascii="Calibri" w:eastAsia="Calibri" w:hAnsi="Calibri" w:cs="Calibri"/>
          <w:color w:val="000000" w:themeColor="text1"/>
        </w:rPr>
        <w:t xml:space="preserve"> of regulation</w:t>
      </w:r>
      <w:r w:rsidR="002A08E5" w:rsidRPr="00023596">
        <w:rPr>
          <w:rFonts w:ascii="Calibri" w:eastAsia="Calibri" w:hAnsi="Calibri" w:cs="Calibri"/>
          <w:color w:val="000000" w:themeColor="text1"/>
        </w:rPr>
        <w:t xml:space="preserve">, </w:t>
      </w:r>
      <w:r w:rsidR="0B97F569" w:rsidRPr="00023596">
        <w:rPr>
          <w:rFonts w:ascii="Calibri" w:eastAsia="Calibri" w:hAnsi="Calibri" w:cs="Calibri"/>
          <w:color w:val="000000" w:themeColor="text1"/>
        </w:rPr>
        <w:t>focused on collaboration among different stakeholders in the ICT sector and with other sectors of the economy</w:t>
      </w:r>
      <w:r w:rsidR="002A08E5" w:rsidRPr="00023596">
        <w:rPr>
          <w:rFonts w:ascii="Calibri" w:eastAsia="Calibri" w:hAnsi="Calibri" w:cs="Calibri"/>
          <w:color w:val="000000" w:themeColor="text1"/>
        </w:rPr>
        <w:t>,</w:t>
      </w:r>
      <w:r w:rsidR="00AC4487" w:rsidRPr="00023596">
        <w:rPr>
          <w:rStyle w:val="FootnoteReference"/>
          <w:rFonts w:ascii="Calibri" w:eastAsia="Calibri" w:hAnsi="Calibri" w:cs="Calibri"/>
          <w:color w:val="000000" w:themeColor="text1"/>
        </w:rPr>
        <w:footnoteReference w:id="22"/>
      </w:r>
      <w:r w:rsidR="002A08E5" w:rsidRPr="00023596">
        <w:rPr>
          <w:rFonts w:ascii="Calibri" w:eastAsia="Calibri" w:hAnsi="Calibri" w:cs="Calibri"/>
          <w:color w:val="000000" w:themeColor="text1"/>
        </w:rPr>
        <w:t xml:space="preserve"> there is still </w:t>
      </w:r>
      <w:r w:rsidR="00F00245" w:rsidRPr="00023596">
        <w:rPr>
          <w:rFonts w:ascii="Calibri" w:eastAsia="Calibri" w:hAnsi="Calibri" w:cs="Calibri"/>
          <w:color w:val="000000" w:themeColor="text1"/>
        </w:rPr>
        <w:t>room for</w:t>
      </w:r>
      <w:r w:rsidR="002A08E5" w:rsidRPr="00023596">
        <w:rPr>
          <w:rFonts w:ascii="Calibri" w:eastAsia="Calibri" w:hAnsi="Calibri" w:cs="Calibri"/>
          <w:color w:val="000000" w:themeColor="text1"/>
        </w:rPr>
        <w:t xml:space="preserve"> improvement for the country.</w:t>
      </w:r>
    </w:p>
    <w:p w14:paraId="5DB71E49" w14:textId="0364D04C" w:rsidR="00D92D3E" w:rsidRDefault="00D92D3E" w:rsidP="00BB1823">
      <w:pPr>
        <w:jc w:val="both"/>
      </w:pPr>
      <w:r>
        <w:rPr>
          <w:color w:val="000000" w:themeColor="text1"/>
        </w:rPr>
        <w:t>T</w:t>
      </w:r>
      <w:r w:rsidR="0010039D">
        <w:rPr>
          <w:color w:val="000000" w:themeColor="text1"/>
        </w:rPr>
        <w:t xml:space="preserve">he fundamental shift to the </w:t>
      </w:r>
      <w:r w:rsidR="009F1A23">
        <w:rPr>
          <w:color w:val="000000" w:themeColor="text1"/>
        </w:rPr>
        <w:t>G5 regulation</w:t>
      </w:r>
      <w:r>
        <w:rPr>
          <w:color w:val="000000" w:themeColor="text1"/>
        </w:rPr>
        <w:t xml:space="preserve"> will require</w:t>
      </w:r>
      <w:r w:rsidR="009F1A23">
        <w:rPr>
          <w:color w:val="000000" w:themeColor="text1"/>
        </w:rPr>
        <w:t xml:space="preserve"> Moldova to </w:t>
      </w:r>
      <w:r>
        <w:rPr>
          <w:color w:val="000000" w:themeColor="text1"/>
        </w:rPr>
        <w:t xml:space="preserve">fine tune </w:t>
      </w:r>
      <w:r w:rsidR="0010039D" w:rsidRPr="0010039D">
        <w:rPr>
          <w:color w:val="000000" w:themeColor="text1"/>
        </w:rPr>
        <w:t>the way</w:t>
      </w:r>
      <w:r>
        <w:rPr>
          <w:color w:val="000000" w:themeColor="text1"/>
        </w:rPr>
        <w:t xml:space="preserve"> </w:t>
      </w:r>
      <w:r w:rsidR="0010039D" w:rsidRPr="0010039D">
        <w:rPr>
          <w:color w:val="000000" w:themeColor="text1"/>
        </w:rPr>
        <w:t xml:space="preserve">regulation is </w:t>
      </w:r>
      <w:r>
        <w:rPr>
          <w:color w:val="000000" w:themeColor="text1"/>
        </w:rPr>
        <w:t xml:space="preserve">developed and </w:t>
      </w:r>
      <w:r w:rsidR="0010039D" w:rsidRPr="0010039D">
        <w:rPr>
          <w:color w:val="000000" w:themeColor="text1"/>
        </w:rPr>
        <w:t>executed.</w:t>
      </w:r>
      <w:r>
        <w:rPr>
          <w:color w:val="000000" w:themeColor="text1"/>
        </w:rPr>
        <w:t xml:space="preserve"> </w:t>
      </w:r>
      <w:r w:rsidR="00BB1823">
        <w:rPr>
          <w:color w:val="000000" w:themeColor="text1"/>
        </w:rPr>
        <w:t>In this context, the ITU</w:t>
      </w:r>
      <w:r>
        <w:rPr>
          <w:color w:val="000000" w:themeColor="text1"/>
        </w:rPr>
        <w:t xml:space="preserve"> report “</w:t>
      </w:r>
      <w:r>
        <w:t>Collaborative Regulation Case Study for the Republic of Moldova: The Journey to G5 Regulation and Digital Transformation”</w:t>
      </w:r>
      <w:r w:rsidR="00BA11BB">
        <w:rPr>
          <w:rStyle w:val="FootnoteReference"/>
        </w:rPr>
        <w:footnoteReference w:id="23"/>
      </w:r>
      <w:r>
        <w:t xml:space="preserve"> </w:t>
      </w:r>
      <w:r w:rsidR="00BB1823">
        <w:t>provides f</w:t>
      </w:r>
      <w:r w:rsidRPr="00D92D3E">
        <w:rPr>
          <w:color w:val="000000" w:themeColor="text1"/>
        </w:rPr>
        <w:t>uture steps for consideration</w:t>
      </w:r>
      <w:r w:rsidR="00BB1823">
        <w:rPr>
          <w:color w:val="000000" w:themeColor="text1"/>
        </w:rPr>
        <w:t xml:space="preserve">, </w:t>
      </w:r>
      <w:r>
        <w:t xml:space="preserve">grouped into two distinct categories: </w:t>
      </w:r>
      <w:proofErr w:type="spellStart"/>
      <w:r>
        <w:t>i</w:t>
      </w:r>
      <w:proofErr w:type="spellEnd"/>
      <w:r>
        <w:t>) best practice principles of collaborative regulation targeted at improving regulatory maturity; and ii) best practice tools of collaborative regulation that can improve digital market outcomes</w:t>
      </w:r>
      <w:r w:rsidR="00BB1823">
        <w:t>.</w:t>
      </w:r>
    </w:p>
    <w:p w14:paraId="690B19E2" w14:textId="22E09B7F" w:rsidR="00BB1823" w:rsidRDefault="0000689B" w:rsidP="00BB1823">
      <w:pPr>
        <w:jc w:val="both"/>
      </w:pPr>
      <w:r>
        <w:t>In terms of b</w:t>
      </w:r>
      <w:r w:rsidR="00BB1823">
        <w:t>est practice collaborative regulation principles to improve regulatory maturity</w:t>
      </w:r>
      <w:r>
        <w:t>, five aspects are envisioned, with recommendations for each of them being provided:</w:t>
      </w:r>
    </w:p>
    <w:p w14:paraId="07FEC0B8" w14:textId="2FD4A42F" w:rsidR="0000689B" w:rsidRDefault="0000689B" w:rsidP="0000689B">
      <w:pPr>
        <w:pStyle w:val="ListParagraph"/>
        <w:numPr>
          <w:ilvl w:val="0"/>
          <w:numId w:val="19"/>
        </w:numPr>
        <w:jc w:val="both"/>
      </w:pPr>
      <w:r w:rsidRPr="00E00DA6">
        <w:rPr>
          <w:u w:val="single"/>
        </w:rPr>
        <w:t>Regulatory independence and regulatory accountability</w:t>
      </w:r>
      <w:r>
        <w:t xml:space="preserve">: </w:t>
      </w:r>
      <w:r w:rsidR="00BC6A6D" w:rsidRPr="0000689B">
        <w:t>suggest</w:t>
      </w:r>
      <w:r w:rsidRPr="0000689B">
        <w:t xml:space="preserve"> that</w:t>
      </w:r>
      <w:r>
        <w:t xml:space="preserve"> function of appointing the Board of “ANRCETI” should be shifted from the Government to the Parliament. This will strengthen the independence and accountability of the regulator, putting it on the same level of </w:t>
      </w:r>
      <w:r>
        <w:lastRenderedPageBreak/>
        <w:t>accountability as that enjoyed by other national regulatory bodies.</w:t>
      </w:r>
      <w:r w:rsidR="00E00DA6">
        <w:t xml:space="preserve"> Besides, where financial resources, the appointment of the Head of the regulator and reporting requirements are concerned, it is important to have another branch of the government reviewing the regulator’s decisions in line with established principles of separation of powers.</w:t>
      </w:r>
    </w:p>
    <w:p w14:paraId="777EC816" w14:textId="77777777" w:rsidR="00BC6A6D" w:rsidRPr="00974B40" w:rsidRDefault="00E00DA6" w:rsidP="00EC2BB5">
      <w:pPr>
        <w:pStyle w:val="ListParagraph"/>
        <w:numPr>
          <w:ilvl w:val="0"/>
          <w:numId w:val="19"/>
        </w:numPr>
        <w:jc w:val="both"/>
        <w:rPr>
          <w:u w:val="single"/>
        </w:rPr>
      </w:pPr>
      <w:r w:rsidRPr="00BC6A6D">
        <w:rPr>
          <w:u w:val="single"/>
        </w:rPr>
        <w:t xml:space="preserve">Regulatory predictability: </w:t>
      </w:r>
      <w:r w:rsidRPr="008B0860">
        <w:t>putting in place an overarching strategy</w:t>
      </w:r>
      <w:r w:rsidR="00BC6A6D" w:rsidRPr="008B0860">
        <w:t xml:space="preserve"> focused on the development of the digital economy as a whole</w:t>
      </w:r>
      <w:r w:rsidRPr="008B0860">
        <w:t>, and reviewing the action plan process of ANRCETI</w:t>
      </w:r>
      <w:r w:rsidR="00BC6A6D" w:rsidRPr="008B0860">
        <w:t xml:space="preserve"> could help the Republic of Moldova reach this objective</w:t>
      </w:r>
      <w:r w:rsidRPr="008B0860">
        <w:t xml:space="preserve">. </w:t>
      </w:r>
    </w:p>
    <w:p w14:paraId="30F59F50" w14:textId="082385EF" w:rsidR="00BC6A6D" w:rsidRDefault="00BC6A6D" w:rsidP="00EC2BB5">
      <w:pPr>
        <w:pStyle w:val="ListParagraph"/>
        <w:numPr>
          <w:ilvl w:val="0"/>
          <w:numId w:val="19"/>
        </w:numPr>
        <w:jc w:val="both"/>
        <w:rPr>
          <w:u w:val="single"/>
        </w:rPr>
      </w:pPr>
      <w:r w:rsidRPr="00BC6A6D">
        <w:rPr>
          <w:u w:val="single"/>
        </w:rPr>
        <w:t>Proactivity</w:t>
      </w:r>
      <w:r w:rsidR="00520806">
        <w:rPr>
          <w:u w:val="single"/>
        </w:rPr>
        <w:t>:</w:t>
      </w:r>
      <w:r w:rsidR="00520806" w:rsidRPr="00520806">
        <w:t xml:space="preserve"> the possibility for ANRCETI to work directly with the Parliament on legislative initiatives could help streamline the process of legal framework improvement in a timely and consistent manner. It is also important to ensure the participation of all relevant parties from the initial stages of legal drafting and complement the existing formal collaboration mechanisms with more flexibility and space for action. The active engagement of private sector players remains critically important in this regard.</w:t>
      </w:r>
    </w:p>
    <w:p w14:paraId="1DD42B78" w14:textId="77777777" w:rsidR="006B1A4C" w:rsidRPr="006B1A4C" w:rsidRDefault="00520806" w:rsidP="006B1A4C">
      <w:pPr>
        <w:pStyle w:val="ListParagraph"/>
        <w:numPr>
          <w:ilvl w:val="0"/>
          <w:numId w:val="19"/>
        </w:numPr>
        <w:rPr>
          <w:u w:val="single"/>
        </w:rPr>
      </w:pPr>
      <w:bookmarkStart w:id="197" w:name="_Hlk75115312"/>
      <w:r w:rsidRPr="006B1A4C">
        <w:rPr>
          <w:u w:val="single"/>
        </w:rPr>
        <w:t xml:space="preserve">Collaborative governance: </w:t>
      </w:r>
      <w:bookmarkEnd w:id="197"/>
      <w:r w:rsidR="006B1A4C" w:rsidRPr="006B1A4C">
        <w:t>public hearings, high-level roundtables and expert workshops, hackathons, etc., could strengthen the collaborative culture among stakeholders and help deliver the expected results.</w:t>
      </w:r>
    </w:p>
    <w:p w14:paraId="6F0343D7" w14:textId="46CD5F75" w:rsidR="00BC6A6D" w:rsidRPr="006B1A4C" w:rsidRDefault="00520806" w:rsidP="006B1A4C">
      <w:pPr>
        <w:pStyle w:val="ListParagraph"/>
        <w:numPr>
          <w:ilvl w:val="0"/>
          <w:numId w:val="19"/>
        </w:numPr>
        <w:jc w:val="both"/>
        <w:rPr>
          <w:u w:val="single"/>
        </w:rPr>
      </w:pPr>
      <w:r w:rsidRPr="00974B40">
        <w:rPr>
          <w:u w:val="single"/>
        </w:rPr>
        <w:t>Regulatory expertise and capacity building</w:t>
      </w:r>
      <w:r w:rsidR="006B1A4C">
        <w:t xml:space="preserve">: </w:t>
      </w:r>
      <w:r w:rsidR="006B1A4C" w:rsidRPr="006B1A4C">
        <w:t>strengthening the capacity of regulators and policy-makers to understand, and be equipped to deal with the challenges emerging from digitalization is an essential part of the journey towards transformation. Regulatory expertise needs to be developed continuously to integrate new technologies, competencies and skills and allow for data and evidence-based decision-making.</w:t>
      </w:r>
    </w:p>
    <w:p w14:paraId="3E6E66BE" w14:textId="5038D3CB" w:rsidR="0000689B" w:rsidRDefault="0000689B" w:rsidP="00BC6A6D">
      <w:pPr>
        <w:jc w:val="both"/>
      </w:pPr>
      <w:r>
        <w:t>When it comes to</w:t>
      </w:r>
      <w:r w:rsidR="006B1A4C" w:rsidRPr="006B1A4C">
        <w:t xml:space="preserve"> </w:t>
      </w:r>
      <w:r w:rsidR="006B1A4C">
        <w:t>b</w:t>
      </w:r>
      <w:r w:rsidR="006B1A4C" w:rsidRPr="006B1A4C">
        <w:t>est practice collaborative regulation tools to improve digital market outcomes</w:t>
      </w:r>
      <w:r w:rsidR="006B1A4C">
        <w:t>, two aspects should be taken into consideration:</w:t>
      </w:r>
    </w:p>
    <w:p w14:paraId="46FDCEE3" w14:textId="77777777" w:rsidR="00974B40" w:rsidRDefault="006B1A4C" w:rsidP="00974B40">
      <w:pPr>
        <w:pStyle w:val="ListParagraph"/>
        <w:numPr>
          <w:ilvl w:val="0"/>
          <w:numId w:val="19"/>
        </w:numPr>
        <w:jc w:val="both"/>
      </w:pPr>
      <w:r w:rsidRPr="00974B40">
        <w:rPr>
          <w:u w:val="single"/>
        </w:rPr>
        <w:t>Future orientation of policy and regulatory frameworks</w:t>
      </w:r>
      <w:r w:rsidR="007C5924" w:rsidRPr="00974B40">
        <w:rPr>
          <w:u w:val="single"/>
        </w:rPr>
        <w:t>:</w:t>
      </w:r>
      <w:r w:rsidR="007C5924">
        <w:t xml:space="preserve"> </w:t>
      </w:r>
      <w:r w:rsidR="007C5924" w:rsidRPr="007C5924">
        <w:t xml:space="preserve">Moldova’s digital competitiveness can significantly improve through the use of core collaborative regulation tools </w:t>
      </w:r>
      <w:r w:rsidR="007C5924">
        <w:t>like</w:t>
      </w:r>
      <w:r w:rsidR="007C5924" w:rsidRPr="007C5924">
        <w:t xml:space="preserve"> pro-competition frameworks for digital transformation, regulatory incentives to innovate, robust and enforceable mechanisms for consumer protection in the digital age.</w:t>
      </w:r>
    </w:p>
    <w:p w14:paraId="3F21256F" w14:textId="24785E84" w:rsidR="00974B40" w:rsidRDefault="006B1A4C" w:rsidP="00974B40">
      <w:pPr>
        <w:pStyle w:val="ListParagraph"/>
        <w:numPr>
          <w:ilvl w:val="0"/>
          <w:numId w:val="19"/>
        </w:numPr>
        <w:jc w:val="both"/>
      </w:pPr>
      <w:r w:rsidRPr="00974B40">
        <w:rPr>
          <w:u w:val="single"/>
        </w:rPr>
        <w:t>Monitoring and evaluation framework and leadership over implementation</w:t>
      </w:r>
      <w:r w:rsidR="00974B40">
        <w:t>: introducing an appropriate monitoring and evaluation framework gains extra value and may be considered by the Government. From this perspective, establishing at the Government level of a single body with strong coordination powers</w:t>
      </w:r>
      <w:r w:rsidR="00974B40" w:rsidRPr="00B764D3">
        <w:t xml:space="preserve"> </w:t>
      </w:r>
      <w:r w:rsidR="00BA11BB">
        <w:t>which is</w:t>
      </w:r>
      <w:r w:rsidR="00974B40">
        <w:t xml:space="preserve"> equipped with the necessary tools, could be a guarantee of successful strategy implementation.</w:t>
      </w:r>
    </w:p>
    <w:p w14:paraId="7F81F553" w14:textId="77A27261" w:rsidR="00BB1823" w:rsidRPr="00023596" w:rsidRDefault="00BA11BB" w:rsidP="00BB1823">
      <w:pPr>
        <w:jc w:val="both"/>
        <w:rPr>
          <w:color w:val="000000" w:themeColor="text1"/>
        </w:rPr>
      </w:pPr>
      <w:r w:rsidRPr="00BA11BB">
        <w:t>As resulted from this research, Moldova’s efforts towards a collaborative regulation framework and implementation could benefit from more agile and inclusive mechanisms for collaboration and a new approach to digital markets uplift. In this way, the legal frameworks have to be accompanied by a holistic, whole-of-government approach to digitization and sustainable economic development as well as strong leadership in implementation. Also, the collaborative mindset should cut across all levels, sectors and institutions, and not only limited to the ICT sector.</w:t>
      </w:r>
    </w:p>
    <w:p w14:paraId="62521498" w14:textId="17115706" w:rsidR="00FF11FC" w:rsidRPr="000A5102" w:rsidRDefault="008435C4" w:rsidP="000A5102">
      <w:pPr>
        <w:pStyle w:val="Heading3"/>
      </w:pPr>
      <w:bookmarkStart w:id="198" w:name="_Toc74850931"/>
      <w:r w:rsidRPr="000A5102">
        <w:lastRenderedPageBreak/>
        <w:t xml:space="preserve">2.1.5 </w:t>
      </w:r>
      <w:r w:rsidR="00FF11FC" w:rsidRPr="000A5102">
        <w:t>Next generation infrastructure: 5G Development</w:t>
      </w:r>
      <w:bookmarkEnd w:id="198"/>
    </w:p>
    <w:p w14:paraId="346FB9D2" w14:textId="0FBD7C85" w:rsidR="004135EF" w:rsidRDefault="004135EF" w:rsidP="000A5102">
      <w:pPr>
        <w:jc w:val="both"/>
      </w:pPr>
      <w:bookmarkStart w:id="199" w:name="_Hlk78287285"/>
      <w:r>
        <w:t xml:space="preserve">The National Development Strategy “Moldova 2030,” </w:t>
      </w:r>
      <w:bookmarkEnd w:id="199"/>
      <w:r>
        <w:t xml:space="preserve">states that a considerable increase </w:t>
      </w:r>
      <w:r w:rsidR="00AC02B0">
        <w:t>of the</w:t>
      </w:r>
      <w:r>
        <w:t xml:space="preserve"> access speed is expected due to the development of new access technologies and networks</w:t>
      </w:r>
      <w:r w:rsidR="00AC02B0">
        <w:t xml:space="preserve"> revamping</w:t>
      </w:r>
      <w:r>
        <w:t xml:space="preserve">. The document also </w:t>
      </w:r>
      <w:bookmarkStart w:id="200" w:name="_Hlk78287384"/>
      <w:r>
        <w:t xml:space="preserve">establishes </w:t>
      </w:r>
      <w:bookmarkStart w:id="201" w:name="_Hlk78287243"/>
      <w:r>
        <w:t xml:space="preserve">the need to promote </w:t>
      </w:r>
      <w:bookmarkEnd w:id="200"/>
      <w:r>
        <w:t xml:space="preserve">5G </w:t>
      </w:r>
      <w:r w:rsidR="57E01B7C">
        <w:t xml:space="preserve">availability </w:t>
      </w:r>
      <w:r>
        <w:t xml:space="preserve">at over 100 Mbps for any household in the country by 2030. </w:t>
      </w:r>
    </w:p>
    <w:p w14:paraId="51BC7356" w14:textId="3BCA171E" w:rsidR="004135EF" w:rsidRDefault="004135EF" w:rsidP="000A5102">
      <w:pPr>
        <w:jc w:val="both"/>
      </w:pPr>
      <w:bookmarkStart w:id="202" w:name="_Hlk78287492"/>
      <w:bookmarkEnd w:id="201"/>
      <w:r w:rsidRPr="00793C29">
        <w:t xml:space="preserve">To reach those targets, </w:t>
      </w:r>
      <w:r w:rsidR="00F00245">
        <w:t xml:space="preserve">the </w:t>
      </w:r>
      <w:r w:rsidRPr="00793C29">
        <w:t xml:space="preserve">Radio Spectrum Management Program for the years 2021-2025 was approved in December 2020. The Program was developed in partnership with experts from ITU and </w:t>
      </w:r>
      <w:r w:rsidR="00F00245">
        <w:t xml:space="preserve">the </w:t>
      </w:r>
      <w:r w:rsidRPr="00793C29">
        <w:t xml:space="preserve">Korean Information Society Development Institute. It sets the preconditions for the 5G </w:t>
      </w:r>
      <w:r w:rsidR="007B457B">
        <w:t xml:space="preserve">spectrum bands </w:t>
      </w:r>
      <w:r w:rsidRPr="00793C29">
        <w:t xml:space="preserve">allocation </w:t>
      </w:r>
      <w:bookmarkEnd w:id="202"/>
      <w:r w:rsidRPr="00793C29">
        <w:t xml:space="preserve">and </w:t>
      </w:r>
      <w:r w:rsidR="00F00245" w:rsidRPr="00F00245">
        <w:t>its implementation seeks to</w:t>
      </w:r>
      <w:r w:rsidRPr="00793C29">
        <w:t>:</w:t>
      </w:r>
      <w:r>
        <w:t xml:space="preserve"> </w:t>
      </w:r>
    </w:p>
    <w:p w14:paraId="7F87E2EC" w14:textId="29CE605F" w:rsidR="004135EF" w:rsidRDefault="004135EF" w:rsidP="000A5102">
      <w:pPr>
        <w:pStyle w:val="ListParagraph"/>
        <w:numPr>
          <w:ilvl w:val="0"/>
          <w:numId w:val="20"/>
        </w:numPr>
        <w:jc w:val="both"/>
      </w:pPr>
      <w:r w:rsidRPr="00793C29">
        <w:t>harness available radio spectrum resources;</w:t>
      </w:r>
    </w:p>
    <w:p w14:paraId="47526E15" w14:textId="3EFCE929" w:rsidR="004135EF" w:rsidRDefault="004135EF" w:rsidP="000A5102">
      <w:pPr>
        <w:pStyle w:val="ListParagraph"/>
        <w:numPr>
          <w:ilvl w:val="0"/>
          <w:numId w:val="20"/>
        </w:numPr>
        <w:jc w:val="both"/>
      </w:pPr>
      <w:r w:rsidRPr="00793C29">
        <w:t>continue the application of best practice with reference to the implementation of the EU’s Multiannual Policy Program in the field of radio spectrum (Radio Spectrum Policy Program</w:t>
      </w:r>
      <w:r w:rsidR="0010039D">
        <w:t xml:space="preserve"> </w:t>
      </w:r>
      <w:r w:rsidRPr="00793C29">
        <w:t>RSPP, Decision 243/2012 / EU of 14.03.2012);</w:t>
      </w:r>
    </w:p>
    <w:p w14:paraId="6F0A97E2" w14:textId="727AB488" w:rsidR="004135EF" w:rsidRDefault="007B457B" w:rsidP="000A5102">
      <w:pPr>
        <w:pStyle w:val="ListParagraph"/>
        <w:numPr>
          <w:ilvl w:val="0"/>
          <w:numId w:val="20"/>
        </w:numPr>
        <w:jc w:val="both"/>
      </w:pPr>
      <w:r>
        <w:t>provide</w:t>
      </w:r>
      <w:r w:rsidR="004135EF" w:rsidRPr="00793C29">
        <w:t xml:space="preserve"> the possibility of implementing 5G mobile broadband communications services, which offer citizens and industries the competitive advantages necessary for development in a favorable environment.</w:t>
      </w:r>
    </w:p>
    <w:p w14:paraId="78A38365" w14:textId="3D427A41" w:rsidR="004135EF" w:rsidRDefault="004135EF" w:rsidP="000A5102">
      <w:pPr>
        <w:jc w:val="both"/>
      </w:pPr>
      <w:r w:rsidRPr="00793C29">
        <w:t xml:space="preserve">The targeted bands for the new 2021-2025 spectrum management program include 700 MHz, 3600 MHz, 26 GHz, and also 1500 MHz (L band) and 2300MHz. The program also targets available spectrum resources from the 450MHz, E900MHz, 2100MHz and 2600MHz bands. With the ongoing strategies on the spectrum use that will pave the way for 5G implementation, the government </w:t>
      </w:r>
      <w:r w:rsidR="00F00245">
        <w:t>aims</w:t>
      </w:r>
      <w:r w:rsidRPr="00793C29">
        <w:t xml:space="preserve"> to:</w:t>
      </w:r>
    </w:p>
    <w:p w14:paraId="5D3A04BC" w14:textId="77777777" w:rsidR="00ED79F3" w:rsidRDefault="00ED79F3" w:rsidP="00ED79F3">
      <w:pPr>
        <w:pStyle w:val="ListParagraph"/>
        <w:numPr>
          <w:ilvl w:val="0"/>
          <w:numId w:val="10"/>
        </w:numPr>
        <w:spacing w:after="160" w:line="259" w:lineRule="auto"/>
        <w:jc w:val="both"/>
      </w:pPr>
      <w:r w:rsidRPr="00793C29">
        <w:t xml:space="preserve">Ensure stakeholders </w:t>
      </w:r>
      <w:r>
        <w:t>have</w:t>
      </w:r>
      <w:r w:rsidRPr="00793C29">
        <w:t xml:space="preserve"> sufficient spectrum resources that will make possible</w:t>
      </w:r>
      <w:r>
        <w:t xml:space="preserve"> for 5G to deliver</w:t>
      </w:r>
      <w:r w:rsidRPr="00793C29">
        <w:t xml:space="preserve"> new applications and business cases;</w:t>
      </w:r>
    </w:p>
    <w:p w14:paraId="15D49197" w14:textId="77777777" w:rsidR="00ED79F3" w:rsidRDefault="00ED79F3" w:rsidP="00ED79F3">
      <w:pPr>
        <w:pStyle w:val="ListParagraph"/>
        <w:numPr>
          <w:ilvl w:val="0"/>
          <w:numId w:val="10"/>
        </w:numPr>
        <w:spacing w:after="160" w:line="259" w:lineRule="auto"/>
        <w:jc w:val="both"/>
      </w:pPr>
      <w:r w:rsidRPr="00793C29">
        <w:t xml:space="preserve">Implement new broadband technologies and services </w:t>
      </w:r>
      <w:r>
        <w:t>that</w:t>
      </w:r>
      <w:r w:rsidRPr="00793C29">
        <w:t xml:space="preserve"> increas</w:t>
      </w:r>
      <w:r>
        <w:t>e</w:t>
      </w:r>
      <w:r w:rsidRPr="00793C29">
        <w:t xml:space="preserve"> the capacities of existing</w:t>
      </w:r>
      <w:r>
        <w:t xml:space="preserve"> </w:t>
      </w:r>
      <w:r w:rsidRPr="00793C29">
        <w:t>networks;</w:t>
      </w:r>
    </w:p>
    <w:p w14:paraId="16E219E9" w14:textId="77777777" w:rsidR="00ED79F3" w:rsidRDefault="00ED79F3" w:rsidP="00ED79F3">
      <w:pPr>
        <w:pStyle w:val="ListParagraph"/>
        <w:numPr>
          <w:ilvl w:val="0"/>
          <w:numId w:val="10"/>
        </w:numPr>
        <w:spacing w:after="160" w:line="259" w:lineRule="auto"/>
        <w:jc w:val="both"/>
      </w:pPr>
      <w:r>
        <w:t>A</w:t>
      </w:r>
      <w:r w:rsidRPr="00793C29">
        <w:t>ttract new investments in the information and communications technology sector of the economy;</w:t>
      </w:r>
    </w:p>
    <w:p w14:paraId="7B08C121" w14:textId="77777777" w:rsidR="00ED79F3" w:rsidRDefault="00ED79F3" w:rsidP="00ED79F3">
      <w:pPr>
        <w:pStyle w:val="ListParagraph"/>
        <w:numPr>
          <w:ilvl w:val="0"/>
          <w:numId w:val="10"/>
        </w:numPr>
        <w:spacing w:after="160" w:line="259" w:lineRule="auto"/>
        <w:jc w:val="both"/>
      </w:pPr>
      <w:r w:rsidRPr="00793C29">
        <w:t>Increase the turnover of companies in th</w:t>
      </w:r>
      <w:r>
        <w:t xml:space="preserve">e ICT </w:t>
      </w:r>
      <w:r w:rsidRPr="00793C29">
        <w:t>sector;</w:t>
      </w:r>
    </w:p>
    <w:p w14:paraId="19E605C1" w14:textId="77777777" w:rsidR="00ED79F3" w:rsidRDefault="00ED79F3" w:rsidP="00ED79F3">
      <w:pPr>
        <w:pStyle w:val="ListParagraph"/>
        <w:numPr>
          <w:ilvl w:val="0"/>
          <w:numId w:val="10"/>
        </w:numPr>
        <w:spacing w:after="160" w:line="259" w:lineRule="auto"/>
        <w:jc w:val="both"/>
      </w:pPr>
      <w:r w:rsidRPr="00793C29">
        <w:t xml:space="preserve">Increase </w:t>
      </w:r>
      <w:r>
        <w:t>income for</w:t>
      </w:r>
      <w:r w:rsidRPr="00793C29">
        <w:t xml:space="preserve"> the state budget </w:t>
      </w:r>
      <w:r>
        <w:t xml:space="preserve">from </w:t>
      </w:r>
      <w:r w:rsidRPr="00793C29">
        <w:t>capitaliz</w:t>
      </w:r>
      <w:r>
        <w:t>ing</w:t>
      </w:r>
      <w:r w:rsidRPr="00793C29">
        <w:t xml:space="preserve"> radio spectrum</w:t>
      </w:r>
      <w:r>
        <w:t xml:space="preserve"> allocations</w:t>
      </w:r>
      <w:r w:rsidRPr="00793C29">
        <w:t xml:space="preserve"> and </w:t>
      </w:r>
      <w:r>
        <w:t>new</w:t>
      </w:r>
      <w:r w:rsidRPr="00793C29">
        <w:t xml:space="preserve"> economic activities </w:t>
      </w:r>
      <w:r>
        <w:t>from</w:t>
      </w:r>
      <w:r w:rsidRPr="00793C29">
        <w:t xml:space="preserve"> mobile electronic communications</w:t>
      </w:r>
      <w:r>
        <w:t xml:space="preserve"> </w:t>
      </w:r>
      <w:r w:rsidRPr="00793C29">
        <w:t>services;</w:t>
      </w:r>
    </w:p>
    <w:p w14:paraId="28776CD8" w14:textId="03B57CDE" w:rsidR="00ED79F3" w:rsidRDefault="00ED79F3" w:rsidP="00ED79F3">
      <w:pPr>
        <w:pStyle w:val="ListParagraph"/>
        <w:numPr>
          <w:ilvl w:val="0"/>
          <w:numId w:val="10"/>
        </w:numPr>
        <w:spacing w:after="160" w:line="259" w:lineRule="auto"/>
        <w:jc w:val="both"/>
      </w:pPr>
      <w:r w:rsidRPr="00793C29">
        <w:t xml:space="preserve">Promote the development of other sectors of the economy as a result of </w:t>
      </w:r>
      <w:r w:rsidR="0010039D" w:rsidRPr="00793C29">
        <w:t>modernization</w:t>
      </w:r>
      <w:r w:rsidR="0010039D">
        <w:t>, continuous</w:t>
      </w:r>
      <w:r w:rsidRPr="00793C29">
        <w:t xml:space="preserve"> development of the radio communications infrastructure</w:t>
      </w:r>
      <w:r>
        <w:t>,</w:t>
      </w:r>
      <w:r w:rsidRPr="00793C29">
        <w:t xml:space="preserve"> and diversification</w:t>
      </w:r>
      <w:r>
        <w:t xml:space="preserve"> </w:t>
      </w:r>
      <w:r w:rsidRPr="00793C29">
        <w:t xml:space="preserve">of the offer </w:t>
      </w:r>
      <w:r>
        <w:t>for</w:t>
      </w:r>
      <w:r w:rsidRPr="00793C29">
        <w:t xml:space="preserve"> mobile electronic broadband communications services;</w:t>
      </w:r>
      <w:r>
        <w:t xml:space="preserve"> </w:t>
      </w:r>
    </w:p>
    <w:p w14:paraId="089768FF" w14:textId="77777777" w:rsidR="00ED79F3" w:rsidRDefault="00ED79F3" w:rsidP="00ED79F3">
      <w:pPr>
        <w:pStyle w:val="ListParagraph"/>
        <w:numPr>
          <w:ilvl w:val="0"/>
          <w:numId w:val="10"/>
        </w:numPr>
        <w:spacing w:after="160" w:line="259" w:lineRule="auto"/>
        <w:jc w:val="both"/>
      </w:pPr>
      <w:r w:rsidRPr="00793C29">
        <w:t>Increase the accessibility of broadband mobile electronic communications services as a result of establishing a fair and efficient competitive environment on the mobile</w:t>
      </w:r>
      <w:r>
        <w:t xml:space="preserve"> </w:t>
      </w:r>
      <w:r w:rsidRPr="00793C29">
        <w:t>electronic communications services market;</w:t>
      </w:r>
      <w:r>
        <w:t xml:space="preserve"> </w:t>
      </w:r>
    </w:p>
    <w:p w14:paraId="33A3BFE6" w14:textId="77777777" w:rsidR="00ED79F3" w:rsidRDefault="00ED79F3" w:rsidP="00ED79F3">
      <w:pPr>
        <w:pStyle w:val="ListParagraph"/>
        <w:numPr>
          <w:ilvl w:val="0"/>
          <w:numId w:val="10"/>
        </w:numPr>
        <w:spacing w:after="160" w:line="259" w:lineRule="auto"/>
        <w:jc w:val="both"/>
      </w:pPr>
      <w:r w:rsidRPr="00793C29">
        <w:t>Improve the quality of services provided; reducing the digital divide between rural and urban areas;</w:t>
      </w:r>
      <w:r>
        <w:t xml:space="preserve"> </w:t>
      </w:r>
    </w:p>
    <w:p w14:paraId="2C05BC6A" w14:textId="77777777" w:rsidR="00ED79F3" w:rsidRDefault="00ED79F3" w:rsidP="00ED79F3">
      <w:pPr>
        <w:pStyle w:val="ListParagraph"/>
        <w:numPr>
          <w:ilvl w:val="0"/>
          <w:numId w:val="10"/>
        </w:numPr>
        <w:spacing w:after="160" w:line="259" w:lineRule="auto"/>
        <w:jc w:val="both"/>
      </w:pPr>
      <w:r w:rsidRPr="00793C29">
        <w:t>Create new jobs and increas</w:t>
      </w:r>
      <w:r>
        <w:t>e</w:t>
      </w:r>
      <w:r w:rsidRPr="00793C29">
        <w:t xml:space="preserve"> the average wage in the ICT sector.</w:t>
      </w:r>
    </w:p>
    <w:p w14:paraId="361F7166" w14:textId="2B4BEED5" w:rsidR="008B68ED" w:rsidRDefault="00ED79F3" w:rsidP="000A5102">
      <w:pPr>
        <w:jc w:val="both"/>
      </w:pPr>
      <w:bookmarkStart w:id="203" w:name="_Hlk78287187"/>
      <w:r>
        <w:lastRenderedPageBreak/>
        <w:t>The implementation and rollout of 5G will be done in two stages</w:t>
      </w:r>
      <w:r w:rsidRPr="00793C29">
        <w:t xml:space="preserve">: I) </w:t>
      </w:r>
      <w:r>
        <w:t xml:space="preserve">From 2021 to 2022, the </w:t>
      </w:r>
      <w:r w:rsidRPr="00793C29">
        <w:t xml:space="preserve">consolidation of the current networks </w:t>
      </w:r>
      <w:r>
        <w:t xml:space="preserve">with </w:t>
      </w:r>
      <w:r w:rsidRPr="00793C29">
        <w:t>spectrum re-farming</w:t>
      </w:r>
      <w:r>
        <w:t xml:space="preserve"> and </w:t>
      </w:r>
      <w:r w:rsidRPr="00793C29">
        <w:t xml:space="preserve">consolidation </w:t>
      </w:r>
      <w:r>
        <w:t xml:space="preserve">of </w:t>
      </w:r>
      <w:r w:rsidRPr="00793C29">
        <w:t xml:space="preserve">activities on the current bands and technologies; and II) </w:t>
      </w:r>
      <w:r>
        <w:t xml:space="preserve">from </w:t>
      </w:r>
      <w:r w:rsidRPr="00793C29">
        <w:t>2022</w:t>
      </w:r>
      <w:r>
        <w:t xml:space="preserve"> to </w:t>
      </w:r>
      <w:r w:rsidRPr="00793C29">
        <w:t xml:space="preserve">2025, </w:t>
      </w:r>
      <w:r>
        <w:t xml:space="preserve">the </w:t>
      </w:r>
      <w:r w:rsidRPr="00793C29">
        <w:t xml:space="preserve">creation of </w:t>
      </w:r>
      <w:r>
        <w:t xml:space="preserve">an </w:t>
      </w:r>
      <w:r w:rsidRPr="00793C29">
        <w:t xml:space="preserve">enabling environment for implementation of 5G networks. </w:t>
      </w:r>
    </w:p>
    <w:p w14:paraId="4A9126BD" w14:textId="6E728FAA" w:rsidR="00ED79F3" w:rsidRPr="00793C29" w:rsidRDefault="00ED79F3" w:rsidP="00ED79F3">
      <w:pPr>
        <w:jc w:val="both"/>
      </w:pPr>
      <w:bookmarkStart w:id="204" w:name="_Toc74850932"/>
      <w:r>
        <w:t xml:space="preserve">This implementation plan is supported by </w:t>
      </w:r>
      <w:r w:rsidR="41C139E3">
        <w:t>mobile network operators (</w:t>
      </w:r>
      <w:r>
        <w:t>MNOs</w:t>
      </w:r>
      <w:r w:rsidR="2025610C">
        <w:t>)</w:t>
      </w:r>
      <w:r>
        <w:t xml:space="preserve"> and various test pilots have been initiated.  </w:t>
      </w:r>
      <w:bookmarkEnd w:id="203"/>
      <w:r>
        <w:t xml:space="preserve">In March 2019, Orange Moldova became the first operator to test 5G technology in the country. In April 2019, </w:t>
      </w:r>
      <w:proofErr w:type="spellStart"/>
      <w:r>
        <w:t>Moldtelecom</w:t>
      </w:r>
      <w:proofErr w:type="spellEnd"/>
      <w:r>
        <w:t xml:space="preserve"> displayed their preliminary work on 5G research and development to the public on a mobile truck lab at the Museum of Outdoor Technology of the Technical University of Moldova. </w:t>
      </w:r>
    </w:p>
    <w:p w14:paraId="0619F9C9" w14:textId="4304280B" w:rsidR="2B8A6ABE" w:rsidRPr="00CF67DA" w:rsidRDefault="008435C4" w:rsidP="00CF67DA">
      <w:pPr>
        <w:pStyle w:val="Heading3"/>
      </w:pPr>
      <w:r w:rsidRPr="00CF67DA">
        <w:t xml:space="preserve">2.1.6 </w:t>
      </w:r>
      <w:r w:rsidR="2B8A6ABE" w:rsidRPr="00CF67DA">
        <w:t xml:space="preserve">Increasing </w:t>
      </w:r>
      <w:r w:rsidR="680FBFE6" w:rsidRPr="00CF67DA">
        <w:t xml:space="preserve">Infrastructure </w:t>
      </w:r>
      <w:r w:rsidR="2B8A6ABE" w:rsidRPr="00CF67DA">
        <w:t>reliability through cybersecurity</w:t>
      </w:r>
      <w:bookmarkEnd w:id="204"/>
      <w:r w:rsidR="2B8A6ABE" w:rsidRPr="00CF67DA">
        <w:t xml:space="preserve"> </w:t>
      </w:r>
    </w:p>
    <w:p w14:paraId="375E144D" w14:textId="7702F39E" w:rsidR="00DD6B07" w:rsidRPr="00D6512C" w:rsidRDefault="00C905A8" w:rsidP="00CF67DA">
      <w:pPr>
        <w:jc w:val="both"/>
      </w:pPr>
      <w:bookmarkStart w:id="205" w:name="_Hlk78289204"/>
      <w:r w:rsidRPr="00AD65B1">
        <w:t>Ac</w:t>
      </w:r>
      <w:r w:rsidR="004E3EA2" w:rsidRPr="00AD65B1">
        <w:t>c</w:t>
      </w:r>
      <w:r w:rsidRPr="00AD65B1">
        <w:t xml:space="preserve">ording to the </w:t>
      </w:r>
      <w:r w:rsidR="004E3EA2" w:rsidRPr="00AD65B1">
        <w:t xml:space="preserve">2018 </w:t>
      </w:r>
      <w:r w:rsidR="00C93F5C" w:rsidRPr="00AD65B1">
        <w:t xml:space="preserve">ITU </w:t>
      </w:r>
      <w:r w:rsidR="004E3EA2" w:rsidRPr="00AD65B1">
        <w:t xml:space="preserve">Global Cybersecurity Index, </w:t>
      </w:r>
      <w:r w:rsidR="003B30BF">
        <w:t>Moldova</w:t>
      </w:r>
      <w:r w:rsidR="005559E5" w:rsidRPr="00AD65B1">
        <w:t xml:space="preserve"> ranks </w:t>
      </w:r>
      <w:r w:rsidR="003B37BE" w:rsidRPr="003B37BE">
        <w:t>33</w:t>
      </w:r>
      <w:r w:rsidR="005559E5" w:rsidRPr="00AD65B1">
        <w:t xml:space="preserve">st </w:t>
      </w:r>
      <w:r w:rsidR="004E3EA2" w:rsidRPr="00AD65B1">
        <w:t xml:space="preserve">in the Europe region and </w:t>
      </w:r>
      <w:r w:rsidR="003B37BE" w:rsidRPr="003B37BE">
        <w:t>63</w:t>
      </w:r>
      <w:r w:rsidR="007B4F8F" w:rsidRPr="00AD65B1">
        <w:t>rd</w:t>
      </w:r>
      <w:r w:rsidR="004E3EA2" w:rsidRPr="00AD65B1">
        <w:t xml:space="preserve"> global</w:t>
      </w:r>
      <w:r w:rsidR="61992B15" w:rsidRPr="00AD65B1">
        <w:t>ly</w:t>
      </w:r>
      <w:bookmarkEnd w:id="205"/>
      <w:r w:rsidR="004E3EA2" w:rsidRPr="00AD65B1">
        <w:t>.</w:t>
      </w:r>
      <w:r w:rsidR="009971A0" w:rsidRPr="00AD65B1">
        <w:rPr>
          <w:vertAlign w:val="superscript"/>
        </w:rPr>
        <w:footnoteReference w:id="24"/>
      </w:r>
      <w:r w:rsidR="00FF1AA0" w:rsidRPr="00AD65B1">
        <w:t xml:space="preserve"> </w:t>
      </w:r>
      <w:r w:rsidR="00DD6B07" w:rsidRPr="00AD65B1">
        <w:t>This index</w:t>
      </w:r>
      <w:r w:rsidR="00C93F5C" w:rsidRPr="00AD65B1">
        <w:t xml:space="preserve"> is a trusted reference that measures the commitment of countries to cybersecurity at a global level to raise </w:t>
      </w:r>
      <w:r w:rsidR="00C93F5C" w:rsidRPr="00D6512C">
        <w:t>awareness of the importance and different dimensions of the issue</w:t>
      </w:r>
      <w:r w:rsidR="00ED1978" w:rsidRPr="00D6512C">
        <w:t xml:space="preserve"> and assess countries’ ICT sector resilience and reliability. </w:t>
      </w:r>
    </w:p>
    <w:p w14:paraId="2463F295" w14:textId="2F508FCB" w:rsidR="001F0818" w:rsidRDefault="00ED79F3" w:rsidP="00CF67DA">
      <w:pPr>
        <w:jc w:val="both"/>
      </w:pPr>
      <w:r>
        <w:t xml:space="preserve">With a vision to develop provide a </w:t>
      </w:r>
      <w:r w:rsidR="001F0818" w:rsidRPr="00D6512C">
        <w:t>safe information society</w:t>
      </w:r>
      <w:r w:rsidR="0000067B" w:rsidRPr="00D6512C">
        <w:t>,</w:t>
      </w:r>
      <w:r w:rsidR="001F0818" w:rsidRPr="00D6512C">
        <w:t xml:space="preserve"> </w:t>
      </w:r>
      <w:bookmarkStart w:id="206" w:name="_Hlk78289476"/>
      <w:r w:rsidR="001F0818" w:rsidRPr="00D6512C">
        <w:t>the country</w:t>
      </w:r>
      <w:r w:rsidR="0000067B" w:rsidRPr="00D6512C">
        <w:t xml:space="preserve"> became a member of the Budapest Convention on cybercrime in 2009 and worked since then to address Internet safety and computer crime issues. As part of the efforts to create a comprehensive legal framework</w:t>
      </w:r>
      <w:bookmarkEnd w:id="206"/>
      <w:r w:rsidR="0000067B" w:rsidRPr="00D6512C">
        <w:t xml:space="preserve">, </w:t>
      </w:r>
      <w:r w:rsidR="001F0818" w:rsidRPr="00D6512C">
        <w:t xml:space="preserve">the Government of the Republic of Moldova approved the National Strategy for Information Society Development </w:t>
      </w:r>
      <w:bookmarkStart w:id="207" w:name="_Hlk78289633"/>
      <w:r w:rsidR="001F0818" w:rsidRPr="00D6512C">
        <w:t xml:space="preserve">“Digital Moldova 2020”. One of its main objectives was “Enabling the conditions for greater security and trust in digital space”. </w:t>
      </w:r>
      <w:bookmarkEnd w:id="207"/>
      <w:r w:rsidR="001F0818" w:rsidRPr="00D6512C">
        <w:t xml:space="preserve">In order to implement this objective, the </w:t>
      </w:r>
      <w:r w:rsidRPr="00D6512C">
        <w:t xml:space="preserve">2016-2020 </w:t>
      </w:r>
      <w:r w:rsidR="001F0818" w:rsidRPr="00D6512C">
        <w:t>National Cybersecurity Program was approved in 2015.</w:t>
      </w:r>
    </w:p>
    <w:p w14:paraId="295E0F6E" w14:textId="32213B63" w:rsidR="001F0818" w:rsidRDefault="001F0818" w:rsidP="00CF67DA">
      <w:pPr>
        <w:jc w:val="both"/>
      </w:pPr>
      <w:r>
        <w:t xml:space="preserve">The Program </w:t>
      </w:r>
      <w:r w:rsidR="008B68ED">
        <w:t>was</w:t>
      </w:r>
      <w:r>
        <w:t xml:space="preserve"> based on international </w:t>
      </w:r>
      <w:r w:rsidR="008B68ED">
        <w:t xml:space="preserve">best </w:t>
      </w:r>
      <w:r>
        <w:t xml:space="preserve">practices </w:t>
      </w:r>
      <w:r w:rsidR="008B68ED">
        <w:t xml:space="preserve">and implied </w:t>
      </w:r>
      <w:r>
        <w:t>harmonization with European legislation</w:t>
      </w:r>
      <w:r w:rsidR="00ED79F3">
        <w:t>s</w:t>
      </w:r>
      <w:r>
        <w:t xml:space="preserve">. </w:t>
      </w:r>
      <w:r w:rsidR="008B68ED">
        <w:t>It</w:t>
      </w:r>
      <w:r>
        <w:t xml:space="preserve"> included seven areas of intervention</w:t>
      </w:r>
      <w:r w:rsidR="008B68ED">
        <w:t xml:space="preserve"> as follows</w:t>
      </w:r>
      <w:r>
        <w:t>: safe processing, data storage and accessing</w:t>
      </w:r>
      <w:r w:rsidR="008B68ED">
        <w:t>,</w:t>
      </w:r>
      <w:r>
        <w:t xml:space="preserve"> security and integrity of electronic communication networks and services</w:t>
      </w:r>
      <w:r w:rsidR="008B68ED">
        <w:t>,</w:t>
      </w:r>
      <w:r>
        <w:t xml:space="preserve"> prevention capabilities and emergency response</w:t>
      </w:r>
      <w:r w:rsidR="008B68ED">
        <w:t>,</w:t>
      </w:r>
      <w:r>
        <w:t xml:space="preserve"> preventing and combating cybercrime</w:t>
      </w:r>
      <w:r w:rsidR="008B68ED">
        <w:t>,</w:t>
      </w:r>
      <w:r>
        <w:t xml:space="preserve"> strengthening cyber </w:t>
      </w:r>
      <w:r w:rsidR="008B68ED">
        <w:t>defense</w:t>
      </w:r>
      <w:r>
        <w:t xml:space="preserve"> capabilities</w:t>
      </w:r>
      <w:r w:rsidR="008B68ED">
        <w:t>,</w:t>
      </w:r>
      <w:r>
        <w:t xml:space="preserve"> education and </w:t>
      </w:r>
      <w:r w:rsidR="008B68ED">
        <w:t>awareness,</w:t>
      </w:r>
      <w:r>
        <w:t xml:space="preserve"> and international cooperation. </w:t>
      </w:r>
      <w:r w:rsidR="007E3AFF">
        <w:rPr>
          <w:rStyle w:val="FootnoteReference"/>
        </w:rPr>
        <w:footnoteReference w:id="25"/>
      </w:r>
      <w:r w:rsidR="008B68ED">
        <w:t xml:space="preserve"> </w:t>
      </w:r>
    </w:p>
    <w:p w14:paraId="1882A583" w14:textId="77777777" w:rsidR="001F0818" w:rsidRDefault="001F0818" w:rsidP="00CF67DA">
      <w:pPr>
        <w:jc w:val="both"/>
      </w:pPr>
      <w:r>
        <w:t>Among the Program implementation results are:</w:t>
      </w:r>
    </w:p>
    <w:p w14:paraId="67144F0E" w14:textId="7E22AD8B" w:rsidR="001F0818" w:rsidRDefault="00ED79F3" w:rsidP="00CF67DA">
      <w:pPr>
        <w:pStyle w:val="ListParagraph"/>
        <w:numPr>
          <w:ilvl w:val="0"/>
          <w:numId w:val="22"/>
        </w:numPr>
        <w:jc w:val="both"/>
      </w:pPr>
      <w:r>
        <w:t xml:space="preserve">Approval in 2017 of the </w:t>
      </w:r>
      <w:r w:rsidR="001F0818">
        <w:t>Mandatory Cyber Security Requirements for the public authorities;</w:t>
      </w:r>
    </w:p>
    <w:p w14:paraId="1129BC55" w14:textId="38BB470D" w:rsidR="001F0818" w:rsidRDefault="001F0818" w:rsidP="00CF67DA">
      <w:pPr>
        <w:pStyle w:val="ListParagraph"/>
        <w:numPr>
          <w:ilvl w:val="0"/>
          <w:numId w:val="22"/>
        </w:numPr>
        <w:jc w:val="both"/>
      </w:pPr>
      <w:r>
        <w:t xml:space="preserve">Creation in 2020 of the Governmental </w:t>
      </w:r>
      <w:proofErr w:type="gramStart"/>
      <w:r>
        <w:t>CERT ”CERT</w:t>
      </w:r>
      <w:proofErr w:type="gramEnd"/>
      <w:r>
        <w:t xml:space="preserve"> Gov” ;</w:t>
      </w:r>
    </w:p>
    <w:p w14:paraId="092AC01B" w14:textId="2F44FD3E" w:rsidR="001F0818" w:rsidRDefault="001F0818" w:rsidP="00CF67DA">
      <w:pPr>
        <w:pStyle w:val="ListParagraph"/>
        <w:numPr>
          <w:ilvl w:val="0"/>
          <w:numId w:val="22"/>
        </w:numPr>
        <w:jc w:val="both"/>
      </w:pPr>
      <w:r>
        <w:t>Creation in 2021 of the Military CERT.</w:t>
      </w:r>
    </w:p>
    <w:p w14:paraId="48187A44" w14:textId="5C2E8A67" w:rsidR="001F0818" w:rsidRDefault="001F0818" w:rsidP="00CF67DA">
      <w:pPr>
        <w:jc w:val="both"/>
      </w:pPr>
      <w:r>
        <w:lastRenderedPageBreak/>
        <w:t>However, after the program implementation</w:t>
      </w:r>
      <w:r w:rsidR="00ED79F3">
        <w:t xml:space="preserve">, </w:t>
      </w:r>
      <w:r>
        <w:t>with 70% of objectives accomplished</w:t>
      </w:r>
      <w:r w:rsidR="00ED79F3">
        <w:t>,</w:t>
      </w:r>
      <w:r>
        <w:t xml:space="preserve"> a number of issues remained unsolved including: the lack of</w:t>
      </w:r>
      <w:r w:rsidR="3962D5F5">
        <w:t xml:space="preserve"> a</w:t>
      </w:r>
      <w:r>
        <w:t xml:space="preserve"> national CERT, lack of qualified personnel and resources, and insufficient funds dedicated for cybersecurity.</w:t>
      </w:r>
      <w:r w:rsidR="007E3AFF">
        <w:rPr>
          <w:rStyle w:val="FootnoteReference"/>
        </w:rPr>
        <w:footnoteReference w:id="26"/>
      </w:r>
    </w:p>
    <w:p w14:paraId="5D17EF56" w14:textId="735EB32F" w:rsidR="001F0818" w:rsidRDefault="00ED79F3" w:rsidP="00CF67DA">
      <w:pPr>
        <w:jc w:val="both"/>
      </w:pPr>
      <w:r w:rsidRPr="00ED79F3">
        <w:t>To further advance infrastructure reliability and cybersecur</w:t>
      </w:r>
      <w:r w:rsidR="610FCEE6" w:rsidRPr="00ED79F3">
        <w:t>i</w:t>
      </w:r>
      <w:r w:rsidRPr="00ED79F3">
        <w:t>ty resilience, Moldova approved the 2019-2024 Information Security Strategy and Action Plan. It aimed to establish the National CERT, transpose the NIS directive, ensure control and monitoring of the application of minimum cybersecurity requirements, define the national critical infrastructure and the measures needed to protect the critical infrastructure assets, as well as set the framework for counteracting hybrid threats</w:t>
      </w:r>
      <w:r w:rsidR="001F0818">
        <w:t>.</w:t>
      </w:r>
      <w:r w:rsidR="007E3AFF">
        <w:rPr>
          <w:rStyle w:val="FootnoteReference"/>
        </w:rPr>
        <w:footnoteReference w:id="27"/>
      </w:r>
    </w:p>
    <w:p w14:paraId="1E367EB7" w14:textId="606CDE9A" w:rsidR="00FF1AA0" w:rsidRPr="00554C62" w:rsidRDefault="00ED79F3" w:rsidP="00CF67DA">
      <w:pPr>
        <w:jc w:val="both"/>
        <w:rPr>
          <w:rFonts w:ascii="Helvetica" w:hAnsi="Helvetica" w:cs="Helvetica"/>
          <w:color w:val="000000"/>
        </w:rPr>
      </w:pPr>
      <w:r w:rsidRPr="00CB1AFC">
        <w:t xml:space="preserve">The country is increasingly </w:t>
      </w:r>
      <w:r>
        <w:t>improving its capabilities through</w:t>
      </w:r>
      <w:r w:rsidRPr="00CB1AFC">
        <w:t xml:space="preserve"> collaborati</w:t>
      </w:r>
      <w:r>
        <w:t>on</w:t>
      </w:r>
      <w:r w:rsidRPr="00CB1AFC">
        <w:t xml:space="preserve"> with international organizations.</w:t>
      </w:r>
      <w:r>
        <w:t xml:space="preserve"> In this context, ITU has been a strong supporter of the national efforts through engaging on the yearly basis in “</w:t>
      </w:r>
      <w:r w:rsidRPr="005A6877">
        <w:t>The Moldova Cyber Week</w:t>
      </w:r>
      <w:r>
        <w:t xml:space="preserve">” events and capacity building initiatives. Among them was the first </w:t>
      </w:r>
      <w:r w:rsidRPr="005A6877">
        <w:t>ALERT Cyber Drill 2017 event, which gathered CIS and EU representatives in regional exercise to test, develop and strengthen their cyber-protection skills in Moldova</w:t>
      </w:r>
      <w:r w:rsidR="00572DD5">
        <w:rPr>
          <w:rStyle w:val="FootnoteReference"/>
        </w:rPr>
        <w:footnoteReference w:id="28"/>
      </w:r>
      <w:r w:rsidR="001149E0">
        <w:rPr>
          <w:rStyle w:val="normalchar"/>
          <w:rFonts w:ascii="inherit" w:hAnsi="inherit" w:cs="Helvetica"/>
          <w:color w:val="000000"/>
          <w:sz w:val="26"/>
          <w:szCs w:val="26"/>
          <w:bdr w:val="none" w:sz="0" w:space="0" w:color="auto" w:frame="1"/>
        </w:rPr>
        <w:t> </w:t>
      </w:r>
    </w:p>
    <w:p w14:paraId="408C2068" w14:textId="50848732" w:rsidR="00D276F1" w:rsidRPr="00CF67DA" w:rsidRDefault="008435C4" w:rsidP="00CF67DA">
      <w:pPr>
        <w:pStyle w:val="Heading2"/>
      </w:pPr>
      <w:bookmarkStart w:id="208" w:name="_Toc74850933"/>
      <w:r w:rsidRPr="00CF67DA">
        <w:t xml:space="preserve">2.2 </w:t>
      </w:r>
      <w:r w:rsidR="00266634" w:rsidRPr="00CF67DA">
        <w:tab/>
      </w:r>
      <w:r w:rsidR="684F0A7E" w:rsidRPr="00CF67DA">
        <w:t xml:space="preserve">Building Block 2 - </w:t>
      </w:r>
      <w:r w:rsidR="00AF54C3" w:rsidRPr="00CF67DA">
        <w:t>People</w:t>
      </w:r>
      <w:r w:rsidR="1246DF0B" w:rsidRPr="00CF67DA">
        <w:t>-</w:t>
      </w:r>
      <w:r w:rsidR="00AF54C3" w:rsidRPr="00CF67DA">
        <w:t>centric</w:t>
      </w:r>
      <w:r w:rsidR="00AB79B0" w:rsidRPr="00CF67DA">
        <w:t xml:space="preserve"> digital transformation</w:t>
      </w:r>
      <w:bookmarkEnd w:id="208"/>
    </w:p>
    <w:p w14:paraId="5A79CF07" w14:textId="1FC27965" w:rsidR="00E43D82" w:rsidRDefault="00C06944" w:rsidP="00CF67DA">
      <w:pPr>
        <w:jc w:val="both"/>
      </w:pPr>
      <w:r>
        <w:t xml:space="preserve">Addressing </w:t>
      </w:r>
      <w:r w:rsidR="204613E3">
        <w:t>more in</w:t>
      </w:r>
      <w:r w:rsidR="5967BDA8">
        <w:t>-</w:t>
      </w:r>
      <w:r w:rsidR="204613E3">
        <w:t xml:space="preserve">depth the usage </w:t>
      </w:r>
      <w:r w:rsidR="004D2318">
        <w:t>of ICTs by</w:t>
      </w:r>
      <w:r w:rsidR="204613E3">
        <w:t xml:space="preserve"> </w:t>
      </w:r>
      <w:r w:rsidR="00B77A5D">
        <w:t xml:space="preserve">people </w:t>
      </w:r>
      <w:r w:rsidR="004D2318">
        <w:t xml:space="preserve">and various groups of society </w:t>
      </w:r>
      <w:r w:rsidR="204613E3">
        <w:t xml:space="preserve">allows </w:t>
      </w:r>
      <w:r w:rsidR="0820AE7F">
        <w:t>a more comprehensive</w:t>
      </w:r>
      <w:r w:rsidR="204613E3">
        <w:t xml:space="preserve"> </w:t>
      </w:r>
      <w:r w:rsidR="00B77A5D">
        <w:t>fram</w:t>
      </w:r>
      <w:r w:rsidR="7182E7E4">
        <w:t>ing of</w:t>
      </w:r>
      <w:r w:rsidR="00B77A5D">
        <w:t xml:space="preserve"> the digital divide and </w:t>
      </w:r>
      <w:r w:rsidR="204613E3">
        <w:t>identif</w:t>
      </w:r>
      <w:r w:rsidR="789BA299">
        <w:t>ication of</w:t>
      </w:r>
      <w:r w:rsidR="204613E3">
        <w:t xml:space="preserve"> gaps </w:t>
      </w:r>
      <w:r w:rsidR="003D1FE1">
        <w:t xml:space="preserve">that </w:t>
      </w:r>
      <w:r w:rsidR="204613E3">
        <w:t>may require policy intervention</w:t>
      </w:r>
      <w:r w:rsidR="67AD6405">
        <w:t xml:space="preserve"> to</w:t>
      </w:r>
      <w:r w:rsidR="204613E3">
        <w:t xml:space="preserve"> </w:t>
      </w:r>
      <w:r w:rsidR="003D1FE1">
        <w:t xml:space="preserve">ensure </w:t>
      </w:r>
      <w:r w:rsidR="2CD04578">
        <w:t xml:space="preserve">that </w:t>
      </w:r>
      <w:r w:rsidR="003D1FE1">
        <w:t xml:space="preserve">access </w:t>
      </w:r>
      <w:r w:rsidR="004D2318">
        <w:t xml:space="preserve">to digital services </w:t>
      </w:r>
      <w:r w:rsidR="003D1FE1">
        <w:t>is truly for all</w:t>
      </w:r>
      <w:r w:rsidR="02AF4BA9">
        <w:t xml:space="preserve">. This requires </w:t>
      </w:r>
      <w:r w:rsidR="29C136B2">
        <w:t>examining</w:t>
      </w:r>
      <w:r w:rsidR="02AF4BA9">
        <w:t xml:space="preserve"> various dimension</w:t>
      </w:r>
      <w:r w:rsidR="52A5878C">
        <w:t>s</w:t>
      </w:r>
      <w:r w:rsidR="02AF4BA9">
        <w:t xml:space="preserve"> of</w:t>
      </w:r>
      <w:r w:rsidR="009B10DF">
        <w:t xml:space="preserve"> </w:t>
      </w:r>
      <w:r w:rsidR="02AF4BA9">
        <w:t>digital inclusion</w:t>
      </w:r>
      <w:r w:rsidR="789CEF52">
        <w:t>,</w:t>
      </w:r>
      <w:r w:rsidR="02AF4BA9">
        <w:t xml:space="preserve"> including </w:t>
      </w:r>
      <w:r w:rsidR="0071A6FB">
        <w:t>(</w:t>
      </w:r>
      <w:proofErr w:type="spellStart"/>
      <w:r w:rsidR="009B10DF">
        <w:t>i</w:t>
      </w:r>
      <w:proofErr w:type="spellEnd"/>
      <w:r w:rsidR="009B10DF">
        <w:t xml:space="preserve">) </w:t>
      </w:r>
      <w:r w:rsidR="003E1193">
        <w:t xml:space="preserve">digital skills development, (ii) </w:t>
      </w:r>
      <w:r w:rsidR="02AF4BA9">
        <w:t xml:space="preserve">gender issues, </w:t>
      </w:r>
      <w:r w:rsidR="7AFCFBFA">
        <w:t>(</w:t>
      </w:r>
      <w:r w:rsidR="009B10DF">
        <w:t>i</w:t>
      </w:r>
      <w:r w:rsidR="003E1193">
        <w:t>i</w:t>
      </w:r>
      <w:r w:rsidR="009B10DF">
        <w:t xml:space="preserve">i) </w:t>
      </w:r>
      <w:r w:rsidR="02AF4BA9">
        <w:t xml:space="preserve">ICT accessibility for </w:t>
      </w:r>
      <w:r w:rsidR="4FEBC8D1">
        <w:t>persons with disabilities</w:t>
      </w:r>
      <w:r w:rsidR="02AF4BA9">
        <w:t>,</w:t>
      </w:r>
      <w:r w:rsidR="50899959">
        <w:t xml:space="preserve"> </w:t>
      </w:r>
      <w:r w:rsidR="003E1193">
        <w:t xml:space="preserve">and </w:t>
      </w:r>
      <w:r w:rsidR="709E7BBC">
        <w:t>(</w:t>
      </w:r>
      <w:r w:rsidR="009B10DF">
        <w:t>i</w:t>
      </w:r>
      <w:r w:rsidR="003E1193">
        <w:t>v</w:t>
      </w:r>
      <w:r w:rsidR="009B10DF">
        <w:t xml:space="preserve">) </w:t>
      </w:r>
      <w:r w:rsidR="003E1193">
        <w:t xml:space="preserve">child online </w:t>
      </w:r>
      <w:r w:rsidR="00F26564">
        <w:t>protection.</w:t>
      </w:r>
    </w:p>
    <w:p w14:paraId="306A6BB4" w14:textId="4E2FA34B" w:rsidR="003E1193" w:rsidRPr="00CF67DA" w:rsidRDefault="003E1193" w:rsidP="00CF67DA">
      <w:pPr>
        <w:pStyle w:val="Heading3"/>
      </w:pPr>
      <w:bookmarkStart w:id="209" w:name="_Toc74850934"/>
      <w:r>
        <w:t>2.2.1 Digital skills development</w:t>
      </w:r>
      <w:bookmarkEnd w:id="209"/>
      <w:r>
        <w:t xml:space="preserve"> </w:t>
      </w:r>
    </w:p>
    <w:p w14:paraId="0702B2EB" w14:textId="5DCF922A" w:rsidR="00EE10BD" w:rsidRPr="00EE10BD" w:rsidRDefault="7416682C" w:rsidP="00CF67DA">
      <w:pPr>
        <w:jc w:val="both"/>
      </w:pPr>
      <w:bookmarkStart w:id="210" w:name="_Hlk78292362"/>
      <w:r w:rsidRPr="02567566">
        <w:rPr>
          <w:rFonts w:ascii="Calibri" w:eastAsia="Calibri" w:hAnsi="Calibri" w:cs="Calibri"/>
          <w:sz w:val="21"/>
          <w:szCs w:val="21"/>
        </w:rPr>
        <w:t>ICT</w:t>
      </w:r>
      <w:r w:rsidRPr="02567566">
        <w:rPr>
          <w:rFonts w:ascii="Calibri" w:eastAsia="Calibri" w:hAnsi="Calibri" w:cs="Calibri"/>
          <w:b/>
          <w:bCs/>
          <w:sz w:val="21"/>
          <w:szCs w:val="21"/>
        </w:rPr>
        <w:t xml:space="preserve"> </w:t>
      </w:r>
      <w:r w:rsidRPr="02567566">
        <w:rPr>
          <w:rFonts w:ascii="Calibri" w:eastAsia="Calibri" w:hAnsi="Calibri" w:cs="Calibri"/>
          <w:sz w:val="21"/>
          <w:szCs w:val="21"/>
        </w:rPr>
        <w:t>is a digital tool that seeks to be integrated into all levels of learning across Moldova.</w:t>
      </w:r>
      <w:bookmarkEnd w:id="210"/>
      <w:r w:rsidRPr="02567566">
        <w:rPr>
          <w:rFonts w:ascii="Calibri" w:eastAsia="Calibri" w:hAnsi="Calibri" w:cs="Calibri"/>
          <w:sz w:val="21"/>
          <w:szCs w:val="21"/>
        </w:rPr>
        <w:t xml:space="preserve"> This is one of the strategies towards improving the learners in three different ways including literacy, skills development, and comprehension. Notably, learners will use ICT as a resource to access important information that enriches their understanding hence enabling them to perform better like other OECD countries. It is important to mention that ICT will ensure that there are fewer dropouts from schools since information and classes can be available with convenience by the tutors. </w:t>
      </w:r>
      <w:bookmarkStart w:id="211" w:name="_Hlk78292414"/>
      <w:r w:rsidRPr="02567566">
        <w:rPr>
          <w:rFonts w:ascii="Calibri" w:eastAsia="Calibri" w:hAnsi="Calibri" w:cs="Calibri"/>
          <w:sz w:val="21"/>
          <w:szCs w:val="21"/>
        </w:rPr>
        <w:t>The educators are also expected to use ICT to enrich their teaching skills translating to better academic outcomes within these schools</w:t>
      </w:r>
      <w:bookmarkEnd w:id="211"/>
      <w:r w:rsidRPr="02567566">
        <w:rPr>
          <w:rFonts w:ascii="Calibri" w:eastAsia="Calibri" w:hAnsi="Calibri" w:cs="Calibri"/>
          <w:sz w:val="21"/>
          <w:szCs w:val="21"/>
        </w:rPr>
        <w:t>.</w:t>
      </w:r>
      <w:r w:rsidR="00EE10BD">
        <w:rPr>
          <w:rStyle w:val="FootnoteReference"/>
        </w:rPr>
        <w:footnoteReference w:id="29"/>
      </w:r>
      <w:bookmarkStart w:id="212" w:name="_Hlk78292437"/>
      <w:r w:rsidR="00EE10BD">
        <w:t xml:space="preserve">The country has 18 higher educational institutions that offer IT-related studies or services. Nonetheless, the teaching methods are often </w:t>
      </w:r>
      <w:r w:rsidR="696D6FD7">
        <w:t>focused on theory rather than practical implementation</w:t>
      </w:r>
      <w:r w:rsidR="00EE10BD">
        <w:t>.</w:t>
      </w:r>
      <w:bookmarkEnd w:id="212"/>
      <w:r w:rsidR="00EE10BD">
        <w:t xml:space="preserve">  According to a study by the World Bank, “ICT </w:t>
      </w:r>
      <w:r w:rsidR="00EE10BD">
        <w:lastRenderedPageBreak/>
        <w:t>professionals complained that teaching materials were too theoretical during the first two years of university. They criticized the curriculum and courses as not being related to the ICT profession, that there was a lack of optional courses, that the laboratories were usually outdated, poorly equipped and with bad Internet connections, and that teachers lacked practical experience and were usually not well trained.”.</w:t>
      </w:r>
    </w:p>
    <w:p w14:paraId="0D968E1B" w14:textId="7F273696" w:rsidR="00EE10BD" w:rsidRPr="00EE10BD" w:rsidRDefault="00EE10BD" w:rsidP="00CF67DA">
      <w:pPr>
        <w:jc w:val="both"/>
      </w:pPr>
      <w:bookmarkStart w:id="213" w:name="_Hlk78292513"/>
      <w:r w:rsidRPr="00EE10BD">
        <w:t>Among the drawbacks is the fact that Moldova’s policy restrictions limit the potential for improved industry-academia collaboration. For example, IT industry professionals are not formally allowed to teach at universities (even part</w:t>
      </w:r>
      <w:r w:rsidR="3AC1E613" w:rsidRPr="00EE10BD">
        <w:t>-</w:t>
      </w:r>
      <w:r w:rsidRPr="00EE10BD">
        <w:t>time) unless they have advanced degrees and pedagogical certification</w:t>
      </w:r>
      <w:bookmarkEnd w:id="213"/>
      <w:r w:rsidRPr="00EE10BD">
        <w:t>.</w:t>
      </w:r>
      <w:r>
        <w:rPr>
          <w:rStyle w:val="FootnoteReference"/>
        </w:rPr>
        <w:footnoteReference w:id="30"/>
      </w:r>
    </w:p>
    <w:p w14:paraId="63D66624" w14:textId="5FBD69D7" w:rsidR="00EE10BD" w:rsidRPr="00EE10BD" w:rsidRDefault="00EE10BD" w:rsidP="00CF67DA">
      <w:pPr>
        <w:jc w:val="both"/>
      </w:pPr>
      <w:bookmarkStart w:id="214" w:name="_Hlk78292498"/>
      <w:r>
        <w:t xml:space="preserve">The fact that traditional curricula </w:t>
      </w:r>
      <w:r w:rsidR="00ED1FBC">
        <w:t>lack</w:t>
      </w:r>
      <w:r>
        <w:t xml:space="preserve"> an emphasis on information technology often results in </w:t>
      </w:r>
      <w:r w:rsidR="1A1458AC">
        <w:t xml:space="preserve">a </w:t>
      </w:r>
      <w:r>
        <w:t xml:space="preserve">decline in popularity of STEM courses in schools and fewer students studying STEM at university. </w:t>
      </w:r>
      <w:bookmarkStart w:id="215" w:name="_Hlk78292533"/>
      <w:bookmarkEnd w:id="214"/>
      <w:r>
        <w:t>T</w:t>
      </w:r>
      <w:r w:rsidR="00077252">
        <w:t>o improve this situation,</w:t>
      </w:r>
      <w:r>
        <w:t xml:space="preserve"> legislative reforms were undertaken in line with two strategies</w:t>
      </w:r>
      <w:bookmarkEnd w:id="215"/>
      <w:r>
        <w:t xml:space="preserve">: </w:t>
      </w:r>
    </w:p>
    <w:p w14:paraId="33196618" w14:textId="64EA52A6" w:rsidR="00EE10BD" w:rsidRPr="00EE10BD" w:rsidRDefault="00EE10BD" w:rsidP="00CF67DA">
      <w:pPr>
        <w:pStyle w:val="ListParagraph"/>
        <w:numPr>
          <w:ilvl w:val="0"/>
          <w:numId w:val="24"/>
        </w:numPr>
        <w:jc w:val="both"/>
      </w:pPr>
      <w:bookmarkStart w:id="216" w:name="_Hlk78292553"/>
      <w:r w:rsidRPr="00EE10BD">
        <w:t>“Education Development Strategy 2014-2020” (Education 2020)</w:t>
      </w:r>
      <w:bookmarkEnd w:id="216"/>
      <w:r w:rsidRPr="00EE10BD">
        <w:t>, which was the main policy guiding education in the country and ha</w:t>
      </w:r>
      <w:r w:rsidR="00077252">
        <w:t>d a</w:t>
      </w:r>
      <w:r w:rsidRPr="00EE10BD">
        <w:t xml:space="preserve"> strong alignment with other relevant documents. One of the strategy objectives aimed to “Ensure the effective integration of ICT in education through providing educational institutions with modern equipment, developing digital literacy, and increasing the efficiency of school management through information technology.”</w:t>
      </w:r>
    </w:p>
    <w:p w14:paraId="307224EE" w14:textId="58AB862E" w:rsidR="00EE10BD" w:rsidRDefault="57D0C285" w:rsidP="02567566">
      <w:pPr>
        <w:pStyle w:val="ListParagraph"/>
        <w:numPr>
          <w:ilvl w:val="0"/>
          <w:numId w:val="24"/>
        </w:numPr>
        <w:jc w:val="both"/>
      </w:pPr>
      <w:r w:rsidRPr="02567566">
        <w:rPr>
          <w:rFonts w:ascii="Calibri" w:eastAsia="Calibri" w:hAnsi="Calibri" w:cs="Calibri"/>
          <w:color w:val="000000" w:themeColor="text1"/>
          <w:sz w:val="21"/>
          <w:szCs w:val="21"/>
        </w:rPr>
        <w:t xml:space="preserve"> </w:t>
      </w:r>
      <w:bookmarkStart w:id="217" w:name="_Hlk78292591"/>
      <w:r w:rsidRPr="02567566">
        <w:rPr>
          <w:rFonts w:ascii="Calibri" w:eastAsia="Calibri" w:hAnsi="Calibri" w:cs="Calibri"/>
          <w:color w:val="000000" w:themeColor="text1"/>
          <w:sz w:val="21"/>
          <w:szCs w:val="21"/>
        </w:rPr>
        <w:t>National Strategy for the Development of the Information Society "Digital Moldova 2020"</w:t>
      </w:r>
      <w:bookmarkEnd w:id="217"/>
      <w:r w:rsidRPr="02567566">
        <w:rPr>
          <w:rFonts w:ascii="Calibri" w:eastAsia="Calibri" w:hAnsi="Calibri" w:cs="Calibri"/>
          <w:color w:val="000000" w:themeColor="text1"/>
          <w:sz w:val="21"/>
          <w:szCs w:val="21"/>
        </w:rPr>
        <w:t>, in accordance with the Action Plan, provides for “Strengthening ICT capacity- a high degree of use of benefits offered by them to all members of society”</w:t>
      </w:r>
      <w:r w:rsidR="00EE10BD">
        <w:t xml:space="preserve"> with a third pillar dedicated to capacities and usage. Its objective was to Increase the digital literacy, develop digital skills and ensure digital inclusion. It addressed two education-related strategic directions such as the Digital education </w:t>
      </w:r>
      <w:proofErr w:type="spellStart"/>
      <w:r w:rsidR="00EE10BD">
        <w:t>programme</w:t>
      </w:r>
      <w:proofErr w:type="spellEnd"/>
      <w:r w:rsidR="00EE10BD">
        <w:t xml:space="preserve"> in compulsory general education and "Digital skills for all" lifelong learning and digital inclusion </w:t>
      </w:r>
      <w:proofErr w:type="spellStart"/>
      <w:r w:rsidR="00EE10BD">
        <w:t>programme</w:t>
      </w:r>
      <w:proofErr w:type="spellEnd"/>
      <w:r w:rsidR="00EE10BD">
        <w:t>.</w:t>
      </w:r>
      <w:r w:rsidR="6E6E891F" w:rsidRPr="02567566">
        <w:rPr>
          <w:rFonts w:ascii="Calibri" w:eastAsia="Calibri" w:hAnsi="Calibri" w:cs="Calibri"/>
          <w:color w:val="000000" w:themeColor="text1"/>
          <w:sz w:val="21"/>
          <w:szCs w:val="21"/>
        </w:rPr>
        <w:t xml:space="preserve"> It includes strategic directions with reference to education, such as the Program Digital Education in Compulsory General Education and the Digital Continuing Education and Inclusion Program “Digital Skills for all”, which represents the orientation of the education system towards the formation and development of digital skills and leads to the large-scale integration of technologies information in the educational system.</w:t>
      </w:r>
    </w:p>
    <w:p w14:paraId="3D2C854F" w14:textId="22DD4622" w:rsidR="4A5A47DE" w:rsidRDefault="4A5A47DE" w:rsidP="009B2C9C">
      <w:pPr>
        <w:jc w:val="both"/>
      </w:pPr>
      <w:r w:rsidRPr="02567566">
        <w:rPr>
          <w:rFonts w:ascii="Calibri" w:eastAsia="Calibri" w:hAnsi="Calibri" w:cs="Calibri"/>
          <w:sz w:val="21"/>
          <w:szCs w:val="21"/>
        </w:rPr>
        <w:t xml:space="preserve">There are other framework documents and single support </w:t>
      </w:r>
      <w:proofErr w:type="spellStart"/>
      <w:r w:rsidRPr="02567566">
        <w:rPr>
          <w:rFonts w:ascii="Calibri" w:eastAsia="Calibri" w:hAnsi="Calibri" w:cs="Calibri"/>
          <w:sz w:val="21"/>
          <w:szCs w:val="21"/>
        </w:rPr>
        <w:t>program</w:t>
      </w:r>
      <w:r w:rsidR="01E05433" w:rsidRPr="02567566">
        <w:rPr>
          <w:rFonts w:ascii="Calibri" w:eastAsia="Calibri" w:hAnsi="Calibri" w:cs="Calibri"/>
          <w:sz w:val="21"/>
          <w:szCs w:val="21"/>
        </w:rPr>
        <w:t>mes</w:t>
      </w:r>
      <w:proofErr w:type="spellEnd"/>
      <w:r w:rsidRPr="02567566">
        <w:rPr>
          <w:rFonts w:ascii="Calibri" w:eastAsia="Calibri" w:hAnsi="Calibri" w:cs="Calibri"/>
          <w:sz w:val="21"/>
          <w:szCs w:val="21"/>
        </w:rPr>
        <w:t xml:space="preserve"> such as Digital Education for K12 (introduced in primary education). </w:t>
      </w:r>
      <w:r w:rsidRPr="02567566">
        <w:rPr>
          <w:rFonts w:ascii="Calibri" w:eastAsia="Calibri" w:hAnsi="Calibri" w:cs="Calibri"/>
          <w:color w:val="000000" w:themeColor="text1"/>
          <w:sz w:val="21"/>
          <w:szCs w:val="21"/>
        </w:rPr>
        <w:t xml:space="preserve">During that period, the MECC made public 42 manuals in digital format, intended 10th and 12th grades. Towards the end of the year 2017 were equipped with ICT means and provided with sets of robotics 112 institutions education, over 500 teachers were trained in teaching robotics in schools. </w:t>
      </w:r>
      <w:r w:rsidR="60708CC2" w:rsidRPr="02567566">
        <w:rPr>
          <w:rFonts w:ascii="Calibri" w:eastAsia="Calibri" w:hAnsi="Calibri" w:cs="Calibri"/>
          <w:color w:val="000000" w:themeColor="text1"/>
          <w:sz w:val="21"/>
          <w:szCs w:val="21"/>
        </w:rPr>
        <w:t>T</w:t>
      </w:r>
      <w:r w:rsidRPr="02567566">
        <w:rPr>
          <w:rFonts w:ascii="Calibri" w:eastAsia="Calibri" w:hAnsi="Calibri" w:cs="Calibri"/>
          <w:color w:val="000000" w:themeColor="text1"/>
          <w:sz w:val="21"/>
          <w:szCs w:val="21"/>
        </w:rPr>
        <w:t>he Curriculum for the discipline “Informatics” on educational levels including for grades 2-4, grades 5-6, grades 7-9, grades 10-12, optional ICT curriculum, as well and the optional subject “Robotics”</w:t>
      </w:r>
      <w:r w:rsidR="44F4A9DD" w:rsidRPr="02567566">
        <w:rPr>
          <w:rFonts w:ascii="Calibri" w:eastAsia="Calibri" w:hAnsi="Calibri" w:cs="Calibri"/>
          <w:color w:val="000000" w:themeColor="text1"/>
          <w:sz w:val="21"/>
          <w:szCs w:val="21"/>
        </w:rPr>
        <w:t xml:space="preserve"> was elaborated</w:t>
      </w:r>
      <w:r w:rsidRPr="02567566">
        <w:rPr>
          <w:rFonts w:ascii="Calibri" w:eastAsia="Calibri" w:hAnsi="Calibri" w:cs="Calibri"/>
          <w:color w:val="000000" w:themeColor="text1"/>
          <w:sz w:val="21"/>
          <w:szCs w:val="21"/>
        </w:rPr>
        <w:t>.</w:t>
      </w:r>
    </w:p>
    <w:p w14:paraId="4E6C9D0E" w14:textId="60CFC59F" w:rsidR="50ED2A5D" w:rsidRDefault="50ED2A5D" w:rsidP="02567566">
      <w:pPr>
        <w:jc w:val="both"/>
        <w:rPr>
          <w:rFonts w:ascii="Calibri" w:eastAsia="Calibri" w:hAnsi="Calibri" w:cs="Calibri"/>
          <w:sz w:val="21"/>
          <w:szCs w:val="21"/>
        </w:rPr>
      </w:pPr>
      <w:r>
        <w:t xml:space="preserve">In 2017, the </w:t>
      </w:r>
      <w:proofErr w:type="spellStart"/>
      <w:r>
        <w:t>programme</w:t>
      </w:r>
      <w:proofErr w:type="spellEnd"/>
      <w:r>
        <w:t xml:space="preserve"> of the </w:t>
      </w:r>
      <w:bookmarkStart w:id="218" w:name="_Hlk78293649"/>
      <w:r>
        <w:t>ICT Centre of Excellence "</w:t>
      </w:r>
      <w:proofErr w:type="spellStart"/>
      <w:r>
        <w:t>Tekwill</w:t>
      </w:r>
      <w:bookmarkEnd w:id="218"/>
      <w:proofErr w:type="spellEnd"/>
      <w:r>
        <w:t xml:space="preserve">" was launched. </w:t>
      </w:r>
      <w:bookmarkStart w:id="219" w:name="_Hlk78293669"/>
      <w:r w:rsidR="4A5A47DE" w:rsidRPr="02567566">
        <w:rPr>
          <w:rFonts w:ascii="Calibri" w:eastAsia="Calibri" w:hAnsi="Calibri" w:cs="Calibri"/>
          <w:sz w:val="21"/>
          <w:szCs w:val="21"/>
        </w:rPr>
        <w:t>“</w:t>
      </w:r>
      <w:proofErr w:type="spellStart"/>
      <w:r w:rsidR="4A5A47DE" w:rsidRPr="02567566">
        <w:rPr>
          <w:rFonts w:ascii="Calibri" w:eastAsia="Calibri" w:hAnsi="Calibri" w:cs="Calibri"/>
          <w:sz w:val="21"/>
          <w:szCs w:val="21"/>
        </w:rPr>
        <w:t>Tekwill</w:t>
      </w:r>
      <w:proofErr w:type="spellEnd"/>
      <w:r w:rsidR="4A5A47DE" w:rsidRPr="02567566">
        <w:rPr>
          <w:rFonts w:ascii="Calibri" w:eastAsia="Calibri" w:hAnsi="Calibri" w:cs="Calibri"/>
          <w:sz w:val="21"/>
          <w:szCs w:val="21"/>
        </w:rPr>
        <w:t xml:space="preserve"> in Every School” </w:t>
      </w:r>
      <w:bookmarkEnd w:id="219"/>
      <w:r w:rsidR="40A090AF" w:rsidRPr="02567566">
        <w:rPr>
          <w:rFonts w:ascii="Calibri" w:eastAsia="Calibri" w:hAnsi="Calibri" w:cs="Calibri"/>
          <w:sz w:val="21"/>
          <w:szCs w:val="21"/>
        </w:rPr>
        <w:t xml:space="preserve">is </w:t>
      </w:r>
      <w:r w:rsidR="4A5A47DE" w:rsidRPr="02567566">
        <w:rPr>
          <w:rFonts w:ascii="Calibri" w:eastAsia="Calibri" w:hAnsi="Calibri" w:cs="Calibri"/>
          <w:sz w:val="21"/>
          <w:szCs w:val="21"/>
        </w:rPr>
        <w:t xml:space="preserve">complementing the </w:t>
      </w:r>
      <w:r w:rsidR="208D59C0" w:rsidRPr="02567566">
        <w:rPr>
          <w:rFonts w:ascii="Calibri" w:eastAsia="Calibri" w:hAnsi="Calibri" w:cs="Calibri"/>
          <w:sz w:val="21"/>
          <w:szCs w:val="21"/>
        </w:rPr>
        <w:t xml:space="preserve">school </w:t>
      </w:r>
      <w:proofErr w:type="spellStart"/>
      <w:r w:rsidR="4A5A47DE" w:rsidRPr="02567566">
        <w:rPr>
          <w:rFonts w:ascii="Calibri" w:eastAsia="Calibri" w:hAnsi="Calibri" w:cs="Calibri"/>
          <w:sz w:val="21"/>
          <w:szCs w:val="21"/>
        </w:rPr>
        <w:t>program</w:t>
      </w:r>
      <w:r w:rsidR="23A842EB" w:rsidRPr="02567566">
        <w:rPr>
          <w:rFonts w:ascii="Calibri" w:eastAsia="Calibri" w:hAnsi="Calibri" w:cs="Calibri"/>
          <w:sz w:val="21"/>
          <w:szCs w:val="21"/>
        </w:rPr>
        <w:t>me</w:t>
      </w:r>
      <w:proofErr w:type="spellEnd"/>
      <w:r w:rsidR="4A5A47DE" w:rsidRPr="02567566">
        <w:rPr>
          <w:rFonts w:ascii="Calibri" w:eastAsia="Calibri" w:hAnsi="Calibri" w:cs="Calibri"/>
          <w:sz w:val="21"/>
          <w:szCs w:val="21"/>
        </w:rPr>
        <w:t xml:space="preserve"> and providing extracurricular ICT related classes piloted from 2020 in </w:t>
      </w:r>
      <w:r w:rsidR="4A5A47DE" w:rsidRPr="02567566">
        <w:rPr>
          <w:rFonts w:ascii="Calibri" w:eastAsia="Calibri" w:hAnsi="Calibri" w:cs="Calibri"/>
          <w:sz w:val="21"/>
          <w:szCs w:val="21"/>
        </w:rPr>
        <w:lastRenderedPageBreak/>
        <w:t>77 schools.</w:t>
      </w:r>
      <w:r w:rsidR="09E77F94" w:rsidRPr="02567566">
        <w:rPr>
          <w:rFonts w:ascii="Calibri" w:eastAsia="Calibri" w:hAnsi="Calibri" w:cs="Calibri"/>
          <w:sz w:val="21"/>
          <w:szCs w:val="21"/>
        </w:rPr>
        <w:t xml:space="preserve"> </w:t>
      </w:r>
      <w:r w:rsidR="09E77F94" w:rsidRPr="02567566">
        <w:rPr>
          <w:rFonts w:ascii="Calibri" w:eastAsia="Calibri" w:hAnsi="Calibri" w:cs="Calibri"/>
          <w:color w:val="000000" w:themeColor="text1"/>
          <w:sz w:val="21"/>
          <w:szCs w:val="21"/>
        </w:rPr>
        <w:t>This is a</w:t>
      </w:r>
      <w:r w:rsidR="4A5A47DE" w:rsidRPr="02567566">
        <w:rPr>
          <w:rFonts w:ascii="Calibri" w:eastAsia="Calibri" w:hAnsi="Calibri" w:cs="Calibri"/>
          <w:color w:val="000000" w:themeColor="text1"/>
          <w:sz w:val="21"/>
          <w:szCs w:val="21"/>
        </w:rPr>
        <w:t xml:space="preserve"> complex program of online extra-curricular courses (initially covering only IT subjects), which aims to develop children's skills to be better prepared for tomorrow's professions. The initiative provides for the development of more free content on priority areas accessible to all general secondary education institutions in the Republic of Moldova.</w:t>
      </w:r>
      <w:r w:rsidR="1DB9CF6F" w:rsidRPr="02567566">
        <w:rPr>
          <w:rFonts w:ascii="Calibri" w:eastAsia="Calibri" w:hAnsi="Calibri" w:cs="Calibri"/>
          <w:color w:val="000000" w:themeColor="text1"/>
          <w:sz w:val="21"/>
          <w:szCs w:val="21"/>
        </w:rPr>
        <w:t xml:space="preserve"> </w:t>
      </w:r>
      <w:r w:rsidR="4A5A47DE" w:rsidRPr="02567566">
        <w:rPr>
          <w:rFonts w:ascii="Calibri" w:eastAsia="Calibri" w:hAnsi="Calibri" w:cs="Calibri"/>
          <w:sz w:val="21"/>
          <w:szCs w:val="21"/>
        </w:rPr>
        <w:t xml:space="preserve">It </w:t>
      </w:r>
      <w:r w:rsidR="4A5A47DE" w:rsidRPr="02567566">
        <w:rPr>
          <w:rFonts w:ascii="Calibri" w:eastAsia="Calibri" w:hAnsi="Calibri" w:cs="Calibri"/>
          <w:color w:val="000000" w:themeColor="text1"/>
          <w:sz w:val="21"/>
          <w:szCs w:val="21"/>
        </w:rPr>
        <w:t>includes several digital and innovative educational courses and resources, dedicated to students aged 13-19 and teachers. Thus, "</w:t>
      </w:r>
      <w:proofErr w:type="spellStart"/>
      <w:r w:rsidR="4A5A47DE" w:rsidRPr="02567566">
        <w:rPr>
          <w:rFonts w:ascii="Calibri" w:eastAsia="Calibri" w:hAnsi="Calibri" w:cs="Calibri"/>
          <w:color w:val="000000" w:themeColor="text1"/>
          <w:sz w:val="21"/>
          <w:szCs w:val="21"/>
        </w:rPr>
        <w:t>Tekwill</w:t>
      </w:r>
      <w:proofErr w:type="spellEnd"/>
      <w:r w:rsidR="4A5A47DE" w:rsidRPr="02567566">
        <w:rPr>
          <w:rFonts w:ascii="Calibri" w:eastAsia="Calibri" w:hAnsi="Calibri" w:cs="Calibri"/>
          <w:color w:val="000000" w:themeColor="text1"/>
          <w:sz w:val="21"/>
          <w:szCs w:val="21"/>
        </w:rPr>
        <w:t xml:space="preserve"> in every school" aims to transform education in the Republic of Moldova, both by developing interactive digital content and by introducing new methodologies in the teaching and learning process of educational institutions: blended learning and the flipped classroom.</w:t>
      </w:r>
      <w:r w:rsidR="54195902" w:rsidRPr="02567566">
        <w:rPr>
          <w:rFonts w:ascii="Calibri" w:eastAsia="Calibri" w:hAnsi="Calibri" w:cs="Calibri"/>
          <w:color w:val="000000" w:themeColor="text1"/>
          <w:sz w:val="21"/>
          <w:szCs w:val="21"/>
        </w:rPr>
        <w:t xml:space="preserve"> </w:t>
      </w:r>
      <w:r w:rsidR="4A5A47DE" w:rsidRPr="02567566">
        <w:rPr>
          <w:rFonts w:ascii="Calibri" w:eastAsia="Calibri" w:hAnsi="Calibri" w:cs="Calibri"/>
          <w:color w:val="000000" w:themeColor="text1"/>
          <w:sz w:val="21"/>
          <w:szCs w:val="21"/>
        </w:rPr>
        <w:t xml:space="preserve">The courses will be available to be studied both independently and guided by a teacher in the classroom, by introducing them in educational institutions as optional subjects. With the help of the courses offered, students will have the opportunity to cultivate critical thinking, develop their creativity and improve their interpersonal communication skills. The creation of the courses was made possible by mobilizing the financial efforts of the private sector and citizens of the country and diaspora (within the crowdfunding campaign </w:t>
      </w:r>
      <w:proofErr w:type="spellStart"/>
      <w:r w:rsidR="4A5A47DE" w:rsidRPr="02567566">
        <w:rPr>
          <w:rFonts w:ascii="Calibri" w:eastAsia="Calibri" w:hAnsi="Calibri" w:cs="Calibri"/>
          <w:color w:val="000000" w:themeColor="text1"/>
          <w:sz w:val="21"/>
          <w:szCs w:val="21"/>
        </w:rPr>
        <w:t>TwentyTu</w:t>
      </w:r>
      <w:proofErr w:type="spellEnd"/>
      <w:r w:rsidR="4A5A47DE" w:rsidRPr="02567566">
        <w:rPr>
          <w:rFonts w:ascii="Calibri" w:eastAsia="Calibri" w:hAnsi="Calibri" w:cs="Calibri"/>
          <w:color w:val="000000" w:themeColor="text1"/>
          <w:sz w:val="21"/>
          <w:szCs w:val="21"/>
        </w:rPr>
        <w:t>, conducted in 2018), as well as external development partners - UNDP Moldova, USAID, Sweden. The project also enjoys the support of the Ministry of Education, Culture and Research, based on the partnership being the Memorandum of Understanding signed on June 14, 2018.</w:t>
      </w:r>
      <w:r w:rsidR="2DADB25B" w:rsidRPr="02567566">
        <w:rPr>
          <w:rFonts w:ascii="Calibri" w:eastAsia="Calibri" w:hAnsi="Calibri" w:cs="Calibri"/>
          <w:color w:val="000000" w:themeColor="text1"/>
          <w:sz w:val="21"/>
          <w:szCs w:val="21"/>
        </w:rPr>
        <w:t xml:space="preserve"> </w:t>
      </w:r>
      <w:r w:rsidR="4A5A47DE" w:rsidRPr="02567566">
        <w:rPr>
          <w:rFonts w:ascii="Calibri" w:eastAsia="Calibri" w:hAnsi="Calibri" w:cs="Calibri"/>
          <w:sz w:val="21"/>
          <w:szCs w:val="21"/>
        </w:rPr>
        <w:t xml:space="preserve">On July 1, 2020, </w:t>
      </w:r>
      <w:bookmarkStart w:id="220" w:name="_Hlk78293755"/>
      <w:r w:rsidR="4A5A47DE" w:rsidRPr="02567566">
        <w:rPr>
          <w:rFonts w:ascii="Calibri" w:eastAsia="Calibri" w:hAnsi="Calibri" w:cs="Calibri"/>
          <w:sz w:val="21"/>
          <w:szCs w:val="21"/>
        </w:rPr>
        <w:t xml:space="preserve">the National Digital Literacy Program for Teachers </w:t>
      </w:r>
      <w:bookmarkEnd w:id="220"/>
      <w:r w:rsidR="4A5A47DE" w:rsidRPr="02567566">
        <w:rPr>
          <w:rFonts w:ascii="Calibri" w:eastAsia="Calibri" w:hAnsi="Calibri" w:cs="Calibri"/>
          <w:sz w:val="21"/>
          <w:szCs w:val="21"/>
        </w:rPr>
        <w:t>was launched.</w:t>
      </w:r>
    </w:p>
    <w:p w14:paraId="18F0C5BF" w14:textId="39442942" w:rsidR="00751B7F" w:rsidRDefault="00751B7F" w:rsidP="00751B7F">
      <w:bookmarkStart w:id="221" w:name="_Hlk78293816"/>
      <w:r>
        <w:t>The</w:t>
      </w:r>
      <w:r w:rsidR="00ED79F3">
        <w:t xml:space="preserve"> digital educational content management systems or platforms </w:t>
      </w:r>
      <w:r>
        <w:t xml:space="preserve">were integrated </w:t>
      </w:r>
      <w:r w:rsidR="00ED79F3">
        <w:t xml:space="preserve">in most of the </w:t>
      </w:r>
      <w:r w:rsidR="009B2C9C" w:rsidRPr="009B2C9C">
        <w:t>higher education institutions</w:t>
      </w:r>
      <w:r w:rsidR="009B2C9C" w:rsidRPr="009B2C9C" w:rsidDel="009B2C9C">
        <w:t xml:space="preserve"> </w:t>
      </w:r>
      <w:r w:rsidR="00ED79F3">
        <w:t xml:space="preserve">in order to diversify and facilitate learning processes. </w:t>
      </w:r>
      <w:bookmarkEnd w:id="221"/>
      <w:r w:rsidR="00ED79F3">
        <w:t>Moodle platform is the most popular one being used by 79% of local institutions</w:t>
      </w:r>
      <w:r w:rsidR="009B2C9C">
        <w:t xml:space="preserve"> (19 out of 24)</w:t>
      </w:r>
      <w:r>
        <w:t xml:space="preserve">. </w:t>
      </w:r>
      <w:r w:rsidRPr="00751B7F">
        <w:t>About 720 academics were involved in the development and implementation of course units with digital education contents including full</w:t>
      </w:r>
      <w:r>
        <w:t>y</w:t>
      </w:r>
      <w:r w:rsidRPr="00751B7F">
        <w:t xml:space="preserve"> or partial</w:t>
      </w:r>
      <w:r>
        <w:t>ly</w:t>
      </w:r>
      <w:r w:rsidRPr="00751B7F">
        <w:t xml:space="preserve"> online courses, seminars, webinars, teleconferences, quizzes and tests, individual work, computer-based self-assessment, etc., conducted in a traditional or virtual learning environment</w:t>
      </w:r>
      <w:r w:rsidR="007B3D16" w:rsidRPr="007B3D16">
        <w:rPr>
          <w:vertAlign w:val="superscript"/>
        </w:rPr>
        <w:t xml:space="preserve"> </w:t>
      </w:r>
      <w:r w:rsidR="007B3D16" w:rsidRPr="00EE10BD">
        <w:rPr>
          <w:vertAlign w:val="superscript"/>
        </w:rPr>
        <w:footnoteReference w:id="31"/>
      </w:r>
    </w:p>
    <w:p w14:paraId="138DA34B" w14:textId="02E4A710" w:rsidR="000E4FAF" w:rsidRPr="008C1A39" w:rsidRDefault="00751B7F" w:rsidP="00ED0C09">
      <w:r>
        <w:t>Also</w:t>
      </w:r>
      <w:r w:rsidR="008D6D7C">
        <w:t>,</w:t>
      </w:r>
      <w:r>
        <w:t xml:space="preserve"> </w:t>
      </w:r>
      <w:r w:rsidR="00ED79F3">
        <w:t>in 2019</w:t>
      </w:r>
      <w:r>
        <w:t>,</w:t>
      </w:r>
      <w:r w:rsidR="00ED79F3">
        <w:t xml:space="preserve"> the </w:t>
      </w:r>
      <w:bookmarkStart w:id="222" w:name="_Hlk78293775"/>
      <w:r w:rsidR="00ED79F3" w:rsidRPr="00EE10BD">
        <w:t xml:space="preserve">“Future Classroom Lab” </w:t>
      </w:r>
      <w:bookmarkEnd w:id="222"/>
      <w:r>
        <w:t xml:space="preserve">was launched. It </w:t>
      </w:r>
      <w:r w:rsidR="00ED79F3">
        <w:t xml:space="preserve">offers </w:t>
      </w:r>
      <w:r w:rsidR="00ED79F3" w:rsidRPr="00EE10BD">
        <w:t>an open and flexible training space, where teachers can experiment with teaching-learning scenarios, using both digital technologies with transformative impact (programming, robotics, Internet of Things) and state-of-the-art equipment.</w:t>
      </w:r>
      <w:r w:rsidR="00ED79F3" w:rsidRPr="00EE10BD">
        <w:rPr>
          <w:vertAlign w:val="superscript"/>
        </w:rPr>
        <w:footnoteReference w:id="32"/>
      </w:r>
      <w:r w:rsidR="00ED79F3" w:rsidRPr="008C1A39">
        <w:rPr>
          <w:vertAlign w:val="superscript"/>
        </w:rPr>
        <w:t xml:space="preserve">  </w:t>
      </w:r>
      <w:r w:rsidR="00ED79F3" w:rsidRPr="003E4391">
        <w:t xml:space="preserve">Within this Center, the National Digital Literacy </w:t>
      </w:r>
      <w:proofErr w:type="spellStart"/>
      <w:r w:rsidR="00ED79F3" w:rsidRPr="003E4391">
        <w:t>Program</w:t>
      </w:r>
      <w:r w:rsidR="0EAFC9A1" w:rsidRPr="003E4391">
        <w:t>me</w:t>
      </w:r>
      <w:proofErr w:type="spellEnd"/>
      <w:r w:rsidR="00ED79F3" w:rsidRPr="003E4391">
        <w:t xml:space="preserve"> for teachers was held between July-September 2020. The training was held on three levels of complexity of digital literacy. As a result of it, over 20000 teachers were trained, and 1200 educational institutions were connected to </w:t>
      </w:r>
      <w:proofErr w:type="spellStart"/>
      <w:r w:rsidR="00ED79F3" w:rsidRPr="003E4391">
        <w:t>GSuite</w:t>
      </w:r>
      <w:proofErr w:type="spellEnd"/>
      <w:r w:rsidR="00ED79F3" w:rsidRPr="003E4391">
        <w:t xml:space="preserve"> for education</w:t>
      </w:r>
      <w:r w:rsidR="003E4391" w:rsidRPr="003E4391">
        <w:t>.</w:t>
      </w:r>
      <w:r w:rsidR="003E4391">
        <w:rPr>
          <w:rStyle w:val="FootnoteReference"/>
        </w:rPr>
        <w:footnoteReference w:id="33"/>
      </w:r>
    </w:p>
    <w:p w14:paraId="16002829" w14:textId="490527B9" w:rsidR="00ED79F3" w:rsidRDefault="00ED79F3" w:rsidP="00ED79F3">
      <w:pPr>
        <w:jc w:val="both"/>
      </w:pPr>
      <w:bookmarkStart w:id="223" w:name="_Hlk78293836"/>
      <w:bookmarkStart w:id="224" w:name="_Toc74850935"/>
      <w:r>
        <w:t xml:space="preserve">These positive developments were possible due to the active engagement of ecosystem stakeholders whose commitment was reinforced during the </w:t>
      </w:r>
      <w:r w:rsidR="1157C624">
        <w:t>COVID</w:t>
      </w:r>
      <w:r>
        <w:t xml:space="preserve">-19 crisis. As a result, conditions were created to </w:t>
      </w:r>
      <w:r>
        <w:lastRenderedPageBreak/>
        <w:t>overcome the pandemic by launching several resources such as “Studii.md”, “Education Online” and “</w:t>
      </w:r>
      <w:proofErr w:type="spellStart"/>
      <w:r>
        <w:t>Învat.Online</w:t>
      </w:r>
      <w:proofErr w:type="spellEnd"/>
      <w:r>
        <w:t>”. These online or hybrid platforms are expected to continue bringing value long after the COVID-19 recovery.</w:t>
      </w:r>
    </w:p>
    <w:bookmarkEnd w:id="223"/>
    <w:p w14:paraId="0528BACD" w14:textId="62273F73" w:rsidR="00E43D82" w:rsidRPr="00CF67DA" w:rsidRDefault="008435C4" w:rsidP="00CF67DA">
      <w:pPr>
        <w:pStyle w:val="Heading3"/>
      </w:pPr>
      <w:r w:rsidRPr="00CF67DA">
        <w:t>2.2</w:t>
      </w:r>
      <w:r w:rsidR="00483F67" w:rsidRPr="00CF67DA">
        <w:t>.</w:t>
      </w:r>
      <w:r w:rsidR="003E1193" w:rsidRPr="00CF67DA">
        <w:t>2</w:t>
      </w:r>
      <w:r w:rsidR="00483F67" w:rsidRPr="00CF67DA">
        <w:t xml:space="preserve"> </w:t>
      </w:r>
      <w:r w:rsidR="02AF4BA9" w:rsidRPr="00CF67DA">
        <w:t>Bridging the gendered digital divide – Women and girls in the ICT and STEAM sectors</w:t>
      </w:r>
      <w:bookmarkEnd w:id="224"/>
      <w:r w:rsidR="02AF4BA9" w:rsidRPr="00CF67DA">
        <w:t xml:space="preserve"> </w:t>
      </w:r>
    </w:p>
    <w:p w14:paraId="026C1F63" w14:textId="50B9096C" w:rsidR="487F4D13" w:rsidRPr="00B92F8F" w:rsidRDefault="487F4D13" w:rsidP="00CF67DA">
      <w:pPr>
        <w:jc w:val="both"/>
        <w:rPr>
          <w:b/>
          <w:bCs/>
        </w:rPr>
      </w:pPr>
      <w:r w:rsidRPr="00B92F8F">
        <w:rPr>
          <w:b/>
          <w:bCs/>
        </w:rPr>
        <w:t xml:space="preserve">Women’s access to ICT </w:t>
      </w:r>
    </w:p>
    <w:p w14:paraId="3665C2E9" w14:textId="00265522" w:rsidR="00ED79F3" w:rsidRDefault="7FBEEC73" w:rsidP="00ED79F3">
      <w:pPr>
        <w:jc w:val="both"/>
      </w:pPr>
      <w:bookmarkStart w:id="225" w:name="_Hlk78296494"/>
      <w:r>
        <w:t>In Moldova, w</w:t>
      </w:r>
      <w:r w:rsidR="00ED79F3">
        <w:t>omen and girls account for 31% of jobs in the ICT sector but only 19% of digital professions. Only 4.6% of girls studying in higher education choose STEM (Science, Technologies, Engineering and Mathematics). As a result, women get jobs with lower level of qualification and remuneration in the information and communication technologies sector (ICT). Their salaries in this sector are 33% lower than salaries of men.</w:t>
      </w:r>
    </w:p>
    <w:bookmarkEnd w:id="225"/>
    <w:p w14:paraId="519EB586" w14:textId="78F32741" w:rsidR="487F4D13" w:rsidRDefault="00ED79F3" w:rsidP="00ED79F3">
      <w:pPr>
        <w:jc w:val="both"/>
      </w:pPr>
      <w:r>
        <w:t>Additionally, access to ICT and Internet is also not equal. The share of households led by women who have a computer and Internet access is by 11.7% lower than households led by men. With time, the access to computers and Internet of households led by men grows faster than of households led by women</w:t>
      </w:r>
      <w:r w:rsidR="001C201D">
        <w:t>.</w:t>
      </w:r>
      <w:r w:rsidR="487F4D13" w:rsidRPr="006242B5">
        <w:t xml:space="preserve"> </w:t>
      </w:r>
      <w:r w:rsidR="005D5F54">
        <w:rPr>
          <w:rStyle w:val="FootnoteReference"/>
        </w:rPr>
        <w:footnoteReference w:id="34"/>
      </w:r>
      <w:r w:rsidR="00266634">
        <w:t xml:space="preserve"> </w:t>
      </w:r>
    </w:p>
    <w:p w14:paraId="18EA82F7" w14:textId="2D21269C" w:rsidR="53C713D3" w:rsidRPr="00B92F8F" w:rsidRDefault="53C713D3" w:rsidP="00CF67DA">
      <w:pPr>
        <w:jc w:val="both"/>
        <w:rPr>
          <w:rFonts w:ascii="Calibri" w:eastAsia="Calibri" w:hAnsi="Calibri" w:cs="Calibri"/>
          <w:b/>
          <w:bCs/>
        </w:rPr>
      </w:pPr>
      <w:r w:rsidRPr="00B92F8F">
        <w:rPr>
          <w:rFonts w:ascii="Calibri" w:eastAsia="Calibri" w:hAnsi="Calibri" w:cs="Calibri"/>
          <w:b/>
          <w:bCs/>
        </w:rPr>
        <w:t xml:space="preserve">Women’s participation and leadership in ICT </w:t>
      </w:r>
    </w:p>
    <w:p w14:paraId="33EEA577" w14:textId="77777777" w:rsidR="00ED79F3" w:rsidRDefault="00ED79F3" w:rsidP="00ED79F3">
      <w:pPr>
        <w:jc w:val="both"/>
        <w:rPr>
          <w:noProof/>
        </w:rPr>
      </w:pPr>
      <w:r>
        <w:rPr>
          <w:noProof/>
        </w:rPr>
        <w:drawing>
          <wp:anchor distT="0" distB="0" distL="114300" distR="114300" simplePos="0" relativeHeight="251669504" behindDoc="1" locked="0" layoutInCell="1" allowOverlap="1" wp14:anchorId="263FB707" wp14:editId="755D4AC0">
            <wp:simplePos x="0" y="0"/>
            <wp:positionH relativeFrom="margin">
              <wp:posOffset>2961805</wp:posOffset>
            </wp:positionH>
            <wp:positionV relativeFrom="paragraph">
              <wp:posOffset>78718</wp:posOffset>
            </wp:positionV>
            <wp:extent cx="2978150" cy="1458595"/>
            <wp:effectExtent l="0" t="0" r="0" b="8255"/>
            <wp:wrapTight wrapText="bothSides">
              <wp:wrapPolygon edited="0">
                <wp:start x="0" y="0"/>
                <wp:lineTo x="0" y="21440"/>
                <wp:lineTo x="21416" y="21440"/>
                <wp:lineTo x="214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2978150" cy="145859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In the economy, women entrepreneurs represent about 34% of the labor market,  31% of them are entrepreneurs. In the ICT sector, only 19% are women, 20% of them are digital professionals. </w:t>
      </w:r>
    </w:p>
    <w:p w14:paraId="654EA58A" w14:textId="68EBDAF6" w:rsidR="00ED79F3" w:rsidRDefault="00ED79F3" w:rsidP="00ED79F3">
      <w:pPr>
        <w:jc w:val="both"/>
        <w:rPr>
          <w:rFonts w:ascii="Calibri" w:eastAsia="Calibri" w:hAnsi="Calibri" w:cs="Calibri"/>
        </w:rPr>
      </w:pPr>
      <w:bookmarkStart w:id="226" w:name="_Hlk78296568"/>
      <w:r>
        <w:rPr>
          <w:noProof/>
        </w:rPr>
        <w:t>Out of the total number of women entrepreneurs</w:t>
      </w:r>
      <w:r w:rsidR="008B0860">
        <w:rPr>
          <w:noProof/>
        </w:rPr>
        <w:t xml:space="preserve"> in Moldova</w:t>
      </w:r>
      <w:r>
        <w:rPr>
          <w:noProof/>
        </w:rPr>
        <w:t>, 67% run companies in the field of Information Technology. This is more than men entrepeneurs where the share is 56%.</w:t>
      </w:r>
      <w:r>
        <w:rPr>
          <w:rFonts w:ascii="Calibri" w:eastAsia="Calibri" w:hAnsi="Calibri" w:cs="Calibri"/>
        </w:rPr>
        <w:t xml:space="preserve"> However, at the management levels, women are significantly lacking for SMEs, MEs, and large firms. </w:t>
      </w:r>
    </w:p>
    <w:p w14:paraId="53327BC6" w14:textId="3A203343" w:rsidR="00430D15" w:rsidRPr="00824C81" w:rsidRDefault="00ED79F3" w:rsidP="00ED79F3">
      <w:pPr>
        <w:jc w:val="both"/>
        <w:rPr>
          <w:rFonts w:ascii="Calibri" w:eastAsia="Calibri" w:hAnsi="Calibri" w:cs="Calibri"/>
        </w:rPr>
      </w:pPr>
      <w:bookmarkStart w:id="227" w:name="_Hlk78296575"/>
      <w:bookmarkEnd w:id="226"/>
      <w:r w:rsidRPr="001C201D">
        <w:rPr>
          <w:rFonts w:ascii="Calibri" w:eastAsia="Calibri" w:hAnsi="Calibri" w:cs="Calibri"/>
        </w:rPr>
        <w:t xml:space="preserve">In recent years, in the ICT sector, the number of women-owned businesses is growing faster than those of men, which contributes to the reduction of gender disparities. </w:t>
      </w:r>
      <w:bookmarkEnd w:id="227"/>
      <w:r>
        <w:rPr>
          <w:rFonts w:ascii="Calibri" w:eastAsia="Calibri" w:hAnsi="Calibri" w:cs="Calibri"/>
        </w:rPr>
        <w:t>Between</w:t>
      </w:r>
      <w:r w:rsidRPr="001C201D">
        <w:rPr>
          <w:rFonts w:ascii="Calibri" w:eastAsia="Calibri" w:hAnsi="Calibri" w:cs="Calibri"/>
        </w:rPr>
        <w:t xml:space="preserve"> 2015</w:t>
      </w:r>
      <w:r>
        <w:rPr>
          <w:rFonts w:ascii="Calibri" w:eastAsia="Calibri" w:hAnsi="Calibri" w:cs="Calibri"/>
        </w:rPr>
        <w:t xml:space="preserve"> and </w:t>
      </w:r>
      <w:r w:rsidRPr="001C201D">
        <w:rPr>
          <w:rFonts w:ascii="Calibri" w:eastAsia="Calibri" w:hAnsi="Calibri" w:cs="Calibri"/>
        </w:rPr>
        <w:t xml:space="preserve">2017 the number of enterprises in the ICT sector run by women increased by 28%, while those run by men increased by about 24%. </w:t>
      </w:r>
      <w:r>
        <w:rPr>
          <w:rFonts w:ascii="Calibri" w:eastAsia="Calibri" w:hAnsi="Calibri" w:cs="Calibri"/>
        </w:rPr>
        <w:t>This is a positive</w:t>
      </w:r>
      <w:r w:rsidRPr="001C201D">
        <w:rPr>
          <w:rFonts w:ascii="Calibri" w:eastAsia="Calibri" w:hAnsi="Calibri" w:cs="Calibri"/>
        </w:rPr>
        <w:t xml:space="preserve"> trend </w:t>
      </w:r>
      <w:r>
        <w:rPr>
          <w:rFonts w:ascii="Calibri" w:eastAsia="Calibri" w:hAnsi="Calibri" w:cs="Calibri"/>
        </w:rPr>
        <w:t>which can contribute to reducing the</w:t>
      </w:r>
      <w:r w:rsidRPr="001C201D">
        <w:rPr>
          <w:rFonts w:ascii="Calibri" w:eastAsia="Calibri" w:hAnsi="Calibri" w:cs="Calibri"/>
        </w:rPr>
        <w:t xml:space="preserve"> gender inequalities</w:t>
      </w:r>
      <w:r w:rsidR="00430D15">
        <w:rPr>
          <w:rFonts w:ascii="Calibri" w:eastAsia="Calibri" w:hAnsi="Calibri" w:cs="Calibri"/>
        </w:rPr>
        <w:t>.</w:t>
      </w:r>
      <w:r w:rsidR="00430D15">
        <w:rPr>
          <w:rStyle w:val="FootnoteReference"/>
          <w:rFonts w:ascii="Calibri" w:eastAsia="Calibri" w:hAnsi="Calibri" w:cs="Calibri"/>
        </w:rPr>
        <w:footnoteReference w:id="35"/>
      </w:r>
    </w:p>
    <w:p w14:paraId="38A35270" w14:textId="24B2AF36" w:rsidR="3BB950A9" w:rsidRPr="00B92F8F" w:rsidRDefault="3BB950A9" w:rsidP="00CF67DA">
      <w:pPr>
        <w:jc w:val="both"/>
        <w:rPr>
          <w:rFonts w:ascii="Calibri" w:eastAsia="Calibri" w:hAnsi="Calibri" w:cs="Calibri"/>
          <w:b/>
          <w:bCs/>
        </w:rPr>
      </w:pPr>
      <w:r w:rsidRPr="00B92F8F">
        <w:rPr>
          <w:rFonts w:ascii="Calibri" w:eastAsia="Calibri" w:hAnsi="Calibri" w:cs="Calibri"/>
          <w:b/>
          <w:bCs/>
        </w:rPr>
        <w:t xml:space="preserve">Women in ICT education </w:t>
      </w:r>
    </w:p>
    <w:p w14:paraId="0AE2A51C" w14:textId="02D67070" w:rsidR="00ED79F3" w:rsidRDefault="00ED79F3" w:rsidP="00ED79F3">
      <w:pPr>
        <w:jc w:val="both"/>
        <w:rPr>
          <w:rFonts w:ascii="Cambria" w:hAnsi="Cambria"/>
          <w:noProof/>
        </w:rPr>
      </w:pPr>
      <w:r w:rsidRPr="02567566">
        <w:rPr>
          <w:noProof/>
        </w:rPr>
        <w:lastRenderedPageBreak/>
        <w:t>Moldova has strong university program</w:t>
      </w:r>
      <w:r w:rsidR="5107A559" w:rsidRPr="02567566">
        <w:rPr>
          <w:noProof/>
        </w:rPr>
        <w:t>mes</w:t>
      </w:r>
      <w:r w:rsidRPr="02567566">
        <w:rPr>
          <w:noProof/>
        </w:rPr>
        <w:t xml:space="preserve"> with specializations in IT and related sciences and almost 18 educational institutions offer studies in IT related </w:t>
      </w:r>
      <w:r w:rsidR="5064EA03" w:rsidRPr="02567566">
        <w:rPr>
          <w:noProof/>
        </w:rPr>
        <w:t>fields</w:t>
      </w:r>
      <w:r w:rsidRPr="02567566">
        <w:rPr>
          <w:noProof/>
        </w:rPr>
        <w:t xml:space="preserve">.  </w:t>
      </w:r>
      <w:bookmarkStart w:id="228" w:name="_Hlk78296629"/>
      <w:r w:rsidRPr="02567566">
        <w:rPr>
          <w:noProof/>
        </w:rPr>
        <w:t xml:space="preserve">The </w:t>
      </w:r>
      <w:r w:rsidR="045E3331" w:rsidRPr="02567566">
        <w:rPr>
          <w:noProof/>
        </w:rPr>
        <w:t>ministry of education</w:t>
      </w:r>
      <w:r w:rsidRPr="02567566">
        <w:rPr>
          <w:noProof/>
        </w:rPr>
        <w:t xml:space="preserve"> is working to upgrade the ICT curricula and infrastructure in schools, and seeks to develop human capital. The</w:t>
      </w:r>
      <w:r w:rsidR="00A63642">
        <w:rPr>
          <w:noProof/>
        </w:rPr>
        <w:t xml:space="preserve"> total</w:t>
      </w:r>
      <w:r w:rsidRPr="02567566">
        <w:rPr>
          <w:noProof/>
        </w:rPr>
        <w:t xml:space="preserve"> number of graduates in ICT related fields</w:t>
      </w:r>
      <w:bookmarkEnd w:id="228"/>
      <w:r w:rsidRPr="02567566">
        <w:rPr>
          <w:noProof/>
        </w:rPr>
        <w:t xml:space="preserve"> (about 6,500 annually), are also higher as a share of graduates compared with regional peers, such as Bulgaria, Hungary, or Romania.</w:t>
      </w:r>
      <w:r w:rsidRPr="02567566">
        <w:rPr>
          <w:rFonts w:ascii="Cambria" w:hAnsi="Cambria"/>
          <w:noProof/>
        </w:rPr>
        <w:t xml:space="preserve"> </w:t>
      </w:r>
    </w:p>
    <w:p w14:paraId="33E4CF3B" w14:textId="5FAD991A" w:rsidR="00ED79F3" w:rsidRDefault="00ED79F3" w:rsidP="00ED79F3">
      <w:pPr>
        <w:jc w:val="both"/>
      </w:pPr>
      <w:bookmarkStart w:id="229" w:name="_Hlk78296724"/>
      <w:r w:rsidRPr="55F26A43">
        <w:rPr>
          <w:noProof/>
        </w:rPr>
        <w:t>However, w</w:t>
      </w:r>
      <w:r>
        <w:t xml:space="preserve">omen are significantly underrepresented in ICT </w:t>
      </w:r>
      <w:r w:rsidR="00A63642">
        <w:t xml:space="preserve">education </w:t>
      </w:r>
      <w:r>
        <w:t xml:space="preserve">and </w:t>
      </w:r>
      <w:r w:rsidR="00A63642" w:rsidRPr="00A63642">
        <w:t xml:space="preserve">vocational education and training </w:t>
      </w:r>
      <w:r w:rsidR="00A63642">
        <w:t>(</w:t>
      </w:r>
      <w:proofErr w:type="gramStart"/>
      <w:r>
        <w:t>VET</w:t>
      </w:r>
      <w:r w:rsidR="00A63642">
        <w:t>)</w:t>
      </w:r>
      <w:r>
        <w:t xml:space="preserve">  as</w:t>
      </w:r>
      <w:proofErr w:type="gramEnd"/>
      <w:r>
        <w:t xml:space="preserve"> well as at the tertiary education. In 2018, they represented only 15.5% of total graduate students compared to 84.4% for men. Traditionally, women tend to engage more with studies in education or biological sciences.</w:t>
      </w:r>
      <w:r w:rsidRPr="00BA5C10">
        <w:rPr>
          <w:vertAlign w:val="superscript"/>
        </w:rPr>
        <w:footnoteReference w:id="36"/>
      </w:r>
    </w:p>
    <w:bookmarkEnd w:id="229"/>
    <w:p w14:paraId="6BEEDCC7" w14:textId="507F9FDC" w:rsidR="00ED79F3" w:rsidRDefault="00ED79F3" w:rsidP="00ED79F3">
      <w:pPr>
        <w:jc w:val="both"/>
      </w:pPr>
      <w:r>
        <w:t>Often the reasons given are perceived cultural biases.  Al</w:t>
      </w:r>
      <w:r w:rsidRPr="00432806">
        <w:t xml:space="preserve">most one third of female secondary school students who reported liking computer science in school believed that programming is “not an appropriate domain for girls”. </w:t>
      </w:r>
      <w:r>
        <w:t>I</w:t>
      </w:r>
      <w:r w:rsidRPr="00432806">
        <w:t>n rural</w:t>
      </w:r>
      <w:r>
        <w:t xml:space="preserve"> </w:t>
      </w:r>
      <w:r w:rsidRPr="00432806">
        <w:t xml:space="preserve">areas, that </w:t>
      </w:r>
      <w:r>
        <w:t>perception</w:t>
      </w:r>
      <w:r w:rsidRPr="00432806">
        <w:t xml:space="preserve"> </w:t>
      </w:r>
      <w:r>
        <w:t>is</w:t>
      </w:r>
      <w:r w:rsidRPr="00432806">
        <w:t xml:space="preserve"> even higher, </w:t>
      </w:r>
      <w:r>
        <w:t>with</w:t>
      </w:r>
      <w:r w:rsidRPr="00432806">
        <w:t xml:space="preserve"> 39</w:t>
      </w:r>
      <w:r>
        <w:t>%</w:t>
      </w:r>
      <w:r w:rsidRPr="00432806">
        <w:t>.</w:t>
      </w:r>
      <w:r>
        <w:rPr>
          <w:rStyle w:val="FootnoteReference"/>
        </w:rPr>
        <w:footnoteReference w:id="37"/>
      </w:r>
    </w:p>
    <w:p w14:paraId="5034F3F7" w14:textId="5BBB38B6" w:rsidR="00C4653D" w:rsidRDefault="00ED79F3" w:rsidP="00CF67DA">
      <w:pPr>
        <w:jc w:val="both"/>
      </w:pPr>
      <w:bookmarkStart w:id="230" w:name="_Hlk78296751"/>
      <w:r w:rsidRPr="00BA5C10">
        <w:t>ITU’s Girls in ICT initiative has been tackling these issues for</w:t>
      </w:r>
      <w:r>
        <w:t xml:space="preserve"> more than a decade now</w:t>
      </w:r>
      <w:r w:rsidRPr="00BA5C10">
        <w:t>.</w:t>
      </w:r>
      <w:r w:rsidRPr="00BA5C10">
        <w:rPr>
          <w:vertAlign w:val="superscript"/>
        </w:rPr>
        <w:footnoteReference w:id="38"/>
      </w:r>
      <w:r w:rsidRPr="00BA5C10">
        <w:rPr>
          <w:vertAlign w:val="superscript"/>
        </w:rPr>
        <w:t xml:space="preserve"> </w:t>
      </w:r>
      <w:r>
        <w:rPr>
          <w:vertAlign w:val="superscript"/>
        </w:rPr>
        <w:t xml:space="preserve"> </w:t>
      </w:r>
      <w:r>
        <w:t>T</w:t>
      </w:r>
      <w:r w:rsidRPr="00BA5C10">
        <w:t xml:space="preserve">his initiative </w:t>
      </w:r>
      <w:r>
        <w:t xml:space="preserve">is actively </w:t>
      </w:r>
      <w:r w:rsidRPr="00BA5C10">
        <w:t>promote</w:t>
      </w:r>
      <w:r>
        <w:t>d every year</w:t>
      </w:r>
      <w:r w:rsidRPr="00BA5C10">
        <w:t xml:space="preserve"> </w:t>
      </w:r>
      <w:r>
        <w:t>by the</w:t>
      </w:r>
      <w:r w:rsidRPr="00BA5C10">
        <w:t xml:space="preserve"> </w:t>
      </w:r>
      <w:r>
        <w:t>various stakeholders including g</w:t>
      </w:r>
      <w:r w:rsidRPr="00BA5C10">
        <w:t xml:space="preserve">overnment, academia, </w:t>
      </w:r>
      <w:r>
        <w:t xml:space="preserve">and ICT </w:t>
      </w:r>
      <w:r w:rsidRPr="00BA5C10">
        <w:t>associations</w:t>
      </w:r>
      <w:r>
        <w:t>. Other initiatives</w:t>
      </w:r>
      <w:r w:rsidRPr="00BA5C10">
        <w:t xml:space="preserve"> like </w:t>
      </w:r>
      <w:proofErr w:type="spellStart"/>
      <w:r w:rsidRPr="00BA5C10">
        <w:t>GirlsGoIT</w:t>
      </w:r>
      <w:proofErr w:type="spellEnd"/>
      <w:r>
        <w:t xml:space="preserve"> are also championed by local stakeholders</w:t>
      </w:r>
      <w:r w:rsidR="00C4653D" w:rsidRPr="00432806">
        <w:t>.</w:t>
      </w:r>
      <w:r w:rsidR="00C4653D">
        <w:rPr>
          <w:rStyle w:val="FootnoteReference"/>
        </w:rPr>
        <w:footnoteReference w:id="39"/>
      </w:r>
    </w:p>
    <w:bookmarkEnd w:id="230"/>
    <w:p w14:paraId="1AD1B752" w14:textId="77777777" w:rsidR="00B40928" w:rsidRPr="0053164F" w:rsidRDefault="00B40928" w:rsidP="00B40928">
      <w:pPr>
        <w:jc w:val="both"/>
        <w:rPr>
          <w:rFonts w:ascii="Calibri" w:eastAsia="Calibri" w:hAnsi="Calibri" w:cs="Calibri"/>
          <w:b/>
          <w:bCs/>
        </w:rPr>
      </w:pPr>
      <w:r w:rsidRPr="0053164F">
        <w:rPr>
          <w:rFonts w:ascii="Calibri" w:eastAsia="Calibri" w:hAnsi="Calibri" w:cs="Calibri"/>
          <w:b/>
          <w:bCs/>
        </w:rPr>
        <w:t>Dark Side of ICT &amp; Cyber Violence</w:t>
      </w:r>
    </w:p>
    <w:p w14:paraId="7A7296D5" w14:textId="77777777" w:rsidR="00B40928" w:rsidRPr="00B40928" w:rsidRDefault="00B40928" w:rsidP="00B40928">
      <w:pPr>
        <w:jc w:val="both"/>
        <w:rPr>
          <w:lang w:val="en-GB"/>
        </w:rPr>
      </w:pPr>
      <w:r>
        <w:rPr>
          <w:lang w:val="en-GB"/>
        </w:rPr>
        <w:t>M</w:t>
      </w:r>
      <w:r w:rsidRPr="00B40928">
        <w:rPr>
          <w:lang w:val="en-GB"/>
        </w:rPr>
        <w:t>oldova has made a commitment to ensure gender equality. The national</w:t>
      </w:r>
      <w:r>
        <w:rPr>
          <w:lang w:val="en-GB"/>
        </w:rPr>
        <w:t xml:space="preserve"> </w:t>
      </w:r>
      <w:r w:rsidRPr="00B40928">
        <w:rPr>
          <w:lang w:val="en-GB"/>
        </w:rPr>
        <w:t>authorities have taken a series of actions to that end, including ratifying international conventions and adopting national plans and strategies.</w:t>
      </w:r>
    </w:p>
    <w:p w14:paraId="387B7F9A" w14:textId="14621782" w:rsidR="00B40928" w:rsidRPr="008B0860" w:rsidRDefault="00B40928" w:rsidP="00CF67DA">
      <w:pPr>
        <w:jc w:val="both"/>
        <w:rPr>
          <w:lang w:val="en-GB"/>
        </w:rPr>
      </w:pPr>
      <w:r w:rsidRPr="00B40928">
        <w:rPr>
          <w:lang w:val="en-GB"/>
        </w:rPr>
        <w:t>Patriarchal attitudes and deeply rooted stereotypes persist regarding the roles</w:t>
      </w:r>
      <w:r>
        <w:rPr>
          <w:lang w:val="en-GB"/>
        </w:rPr>
        <w:t xml:space="preserve"> </w:t>
      </w:r>
      <w:r w:rsidRPr="00B40928">
        <w:rPr>
          <w:lang w:val="en-GB"/>
        </w:rPr>
        <w:t>and responsibilities of men and women in family and society. Such attitudes and</w:t>
      </w:r>
      <w:r>
        <w:rPr>
          <w:lang w:val="en-GB"/>
        </w:rPr>
        <w:t xml:space="preserve"> </w:t>
      </w:r>
      <w:r w:rsidRPr="00B40928">
        <w:rPr>
          <w:lang w:val="en-GB"/>
        </w:rPr>
        <w:t>stereotypes are the core drivers behind women’s disadvantage in political and</w:t>
      </w:r>
      <w:r>
        <w:rPr>
          <w:lang w:val="en-GB"/>
        </w:rPr>
        <w:t xml:space="preserve"> </w:t>
      </w:r>
      <w:r w:rsidRPr="00B40928">
        <w:rPr>
          <w:lang w:val="en-GB"/>
        </w:rPr>
        <w:t>public life, violence against women and gender segregation, as reflected in the</w:t>
      </w:r>
      <w:r>
        <w:rPr>
          <w:lang w:val="en-GB"/>
        </w:rPr>
        <w:t xml:space="preserve"> </w:t>
      </w:r>
      <w:r w:rsidRPr="00B40928">
        <w:rPr>
          <w:lang w:val="en-GB"/>
        </w:rPr>
        <w:t>educational and employment choices of women and girls.</w:t>
      </w:r>
      <w:r>
        <w:rPr>
          <w:rStyle w:val="FootnoteReference"/>
          <w:lang w:val="en-GB"/>
        </w:rPr>
        <w:footnoteReference w:id="40"/>
      </w:r>
    </w:p>
    <w:p w14:paraId="1F2FA2B7" w14:textId="4B8FB654" w:rsidR="748B33D1" w:rsidRPr="00B92F8F" w:rsidRDefault="748B33D1" w:rsidP="00CF67DA">
      <w:pPr>
        <w:jc w:val="both"/>
        <w:rPr>
          <w:rFonts w:ascii="Calibri" w:eastAsia="Calibri" w:hAnsi="Calibri" w:cs="Calibri"/>
          <w:b/>
          <w:bCs/>
        </w:rPr>
      </w:pPr>
      <w:r w:rsidRPr="02567566">
        <w:rPr>
          <w:rFonts w:ascii="Calibri" w:eastAsia="Calibri" w:hAnsi="Calibri" w:cs="Calibri"/>
          <w:b/>
          <w:bCs/>
        </w:rPr>
        <w:t xml:space="preserve">Good practices in informal ICT education </w:t>
      </w:r>
    </w:p>
    <w:p w14:paraId="15A3A30A" w14:textId="21D76EF6" w:rsidR="005946EC" w:rsidRDefault="00ED79F3" w:rsidP="00ED79F3">
      <w:pPr>
        <w:jc w:val="both"/>
      </w:pPr>
      <w:bookmarkStart w:id="231" w:name="_Hlk78296765"/>
      <w:bookmarkStart w:id="232" w:name="_Toc74850936"/>
      <w:proofErr w:type="spellStart"/>
      <w:r w:rsidRPr="001C201D">
        <w:t>GirlsGoIT</w:t>
      </w:r>
      <w:proofErr w:type="spellEnd"/>
      <w:r w:rsidRPr="001C201D">
        <w:t xml:space="preserve"> Program was established in March 2015. </w:t>
      </w:r>
      <w:r w:rsidR="005946EC" w:rsidRPr="008B0860">
        <w:t>Over five years, 543 girls have received training</w:t>
      </w:r>
      <w:r w:rsidR="005946EC" w:rsidRPr="008B0860">
        <w:br/>
        <w:t>in software development, engineering and electronics through boot camps, summer camps</w:t>
      </w:r>
      <w:r w:rsidR="005946EC" w:rsidRPr="008B0860">
        <w:br/>
      </w:r>
      <w:r w:rsidR="005946EC" w:rsidRPr="008B0860">
        <w:lastRenderedPageBreak/>
        <w:t xml:space="preserve">and other educational activities, including internships in IT companies. </w:t>
      </w:r>
      <w:r w:rsidRPr="001C201D">
        <w:t xml:space="preserve">This led to the establishment of girls-led local clubs in 13 regions in Moldova and </w:t>
      </w:r>
      <w:proofErr w:type="spellStart"/>
      <w:r w:rsidRPr="001C201D">
        <w:t>GirlsGoIT</w:t>
      </w:r>
      <w:proofErr w:type="spellEnd"/>
      <w:r w:rsidRPr="001C201D">
        <w:t xml:space="preserve"> Chisinau is one of them. Their mission is to prepare girls for STEM studies and ICT labor market through internships with ICT companies. TEKEDU is the founding partner of </w:t>
      </w:r>
      <w:proofErr w:type="spellStart"/>
      <w:r w:rsidRPr="001C201D">
        <w:t>GirlsGoIT</w:t>
      </w:r>
      <w:proofErr w:type="spellEnd"/>
      <w:r w:rsidRPr="001C201D">
        <w:t xml:space="preserve"> program, implemented jointly to support Moldova’s National Agenda on Gender Equality, Quality Education and support Decent Jobs and Employment for Women and Girls to lead </w:t>
      </w:r>
      <w:r>
        <w:t xml:space="preserve">in </w:t>
      </w:r>
      <w:r w:rsidRPr="001C201D">
        <w:t xml:space="preserve">Moldova ICT labor Market. </w:t>
      </w:r>
      <w:r w:rsidR="00B40928">
        <w:rPr>
          <w:rStyle w:val="FootnoteReference"/>
        </w:rPr>
        <w:footnoteReference w:id="41"/>
      </w:r>
    </w:p>
    <w:p w14:paraId="576D26F3" w14:textId="60C89826" w:rsidR="00134866" w:rsidRDefault="00ED79F3" w:rsidP="00134866">
      <w:pPr>
        <w:jc w:val="both"/>
      </w:pPr>
      <w:r w:rsidRPr="001C201D">
        <w:t>Another initiative to get more girls and women to STEM education i</w:t>
      </w:r>
      <w:r>
        <w:t>s</w:t>
      </w:r>
      <w:r w:rsidRPr="001C201D">
        <w:t xml:space="preserve"> the “Empowering Women in ICT Skills”</w:t>
      </w:r>
      <w:r>
        <w:t>. I</w:t>
      </w:r>
      <w:r w:rsidRPr="001C201D">
        <w:t>mplemented by the National Association of ICT Companies, with the support of UN Women Moldova and financial support of the Swedish Government</w:t>
      </w:r>
      <w:r>
        <w:t>, it aims</w:t>
      </w:r>
      <w:r w:rsidRPr="001C201D">
        <w:t xml:space="preserve"> to encourage Moldovan girls and women to join IT courses.</w:t>
      </w:r>
      <w:r w:rsidR="00B40928">
        <w:rPr>
          <w:rStyle w:val="FootnoteReference"/>
        </w:rPr>
        <w:footnoteReference w:id="42"/>
      </w:r>
      <w:r w:rsidRPr="001C201D">
        <w:t xml:space="preserve">  </w:t>
      </w:r>
      <w:r w:rsidR="00F56598">
        <w:t xml:space="preserve">In </w:t>
      </w:r>
      <w:r w:rsidR="00134866">
        <w:t>2019</w:t>
      </w:r>
      <w:r w:rsidR="00F56598">
        <w:t>,</w:t>
      </w:r>
      <w:r w:rsidR="00134866">
        <w:t xml:space="preserve"> </w:t>
      </w:r>
      <w:r w:rsidR="00F56598">
        <w:t>this initiative reached the following milestones</w:t>
      </w:r>
      <w:r w:rsidR="00134866">
        <w:t>:</w:t>
      </w:r>
    </w:p>
    <w:p w14:paraId="1C78DF2A" w14:textId="7BF7465C" w:rsidR="00134866" w:rsidRDefault="00134866" w:rsidP="00134866">
      <w:pPr>
        <w:pStyle w:val="ListParagraph"/>
        <w:numPr>
          <w:ilvl w:val="0"/>
          <w:numId w:val="25"/>
        </w:numPr>
        <w:jc w:val="both"/>
      </w:pPr>
      <w:r>
        <w:t xml:space="preserve">500 women finalized the course on </w:t>
      </w:r>
      <w:proofErr w:type="spellStart"/>
      <w:r>
        <w:t>FrontEnd</w:t>
      </w:r>
      <w:proofErr w:type="spellEnd"/>
      <w:r>
        <w:t xml:space="preserve"> Development, 200 participated in bootcamps, 20 women have been employed in IT companies (Edition 1);</w:t>
      </w:r>
    </w:p>
    <w:p w14:paraId="28429916" w14:textId="0DF79206" w:rsidR="00134866" w:rsidRDefault="00134866" w:rsidP="00134866">
      <w:pPr>
        <w:pStyle w:val="ListParagraph"/>
        <w:numPr>
          <w:ilvl w:val="0"/>
          <w:numId w:val="25"/>
        </w:numPr>
        <w:jc w:val="both"/>
      </w:pPr>
      <w:r>
        <w:t>8 Orientation sessions for girls from all around the country</w:t>
      </w:r>
      <w:r w:rsidR="00B40928">
        <w:t>, with</w:t>
      </w:r>
      <w:r>
        <w:t xml:space="preserve"> 600 girls informed about IT professions and opportunities to study IT;</w:t>
      </w:r>
    </w:p>
    <w:p w14:paraId="2E1FEB47" w14:textId="2276848C" w:rsidR="00134866" w:rsidRDefault="00134866" w:rsidP="00134866">
      <w:pPr>
        <w:pStyle w:val="ListParagraph"/>
        <w:numPr>
          <w:ilvl w:val="0"/>
          <w:numId w:val="25"/>
        </w:numPr>
        <w:jc w:val="both"/>
      </w:pPr>
      <w:r>
        <w:t>Promo-campaign about successful women in IT</w:t>
      </w:r>
      <w:r w:rsidR="00B40928">
        <w:t xml:space="preserve"> with </w:t>
      </w:r>
      <w:r>
        <w:t>5 success stories distributed in media;</w:t>
      </w:r>
    </w:p>
    <w:p w14:paraId="1D195BA7" w14:textId="48514081" w:rsidR="00134866" w:rsidRDefault="00134866" w:rsidP="00134866">
      <w:pPr>
        <w:pStyle w:val="ListParagraph"/>
        <w:numPr>
          <w:ilvl w:val="0"/>
          <w:numId w:val="25"/>
        </w:numPr>
        <w:jc w:val="both"/>
      </w:pPr>
      <w:r>
        <w:t>Tech Women Summit with participation of over 300 girls and women</w:t>
      </w:r>
      <w:r w:rsidR="00B40928">
        <w:t>;</w:t>
      </w:r>
    </w:p>
    <w:p w14:paraId="0FC14917" w14:textId="5A46D8F9" w:rsidR="00134866" w:rsidRDefault="00134866" w:rsidP="00134866">
      <w:pPr>
        <w:pStyle w:val="ListParagraph"/>
        <w:numPr>
          <w:ilvl w:val="0"/>
          <w:numId w:val="25"/>
        </w:numPr>
        <w:jc w:val="both"/>
      </w:pPr>
      <w:r>
        <w:t>Over 1000 women registered for 2nd edition of National IT Program for girls and women (Front End Development, Software Tester, Digital Skills);</w:t>
      </w:r>
    </w:p>
    <w:p w14:paraId="54274DFF" w14:textId="019796D5" w:rsidR="00ED79F3" w:rsidRDefault="00134866" w:rsidP="008B0860">
      <w:pPr>
        <w:pStyle w:val="ListParagraph"/>
        <w:numPr>
          <w:ilvl w:val="0"/>
          <w:numId w:val="25"/>
        </w:numPr>
        <w:jc w:val="both"/>
      </w:pPr>
      <w:r>
        <w:t>Over 30 (out of 50) girls and women, who got IT scholarships (Java, SQL, Cisco) followed an internship program, found a job in IT or have been promoted due to improved skills.</w:t>
      </w:r>
      <w:r>
        <w:rPr>
          <w:rStyle w:val="FootnoteReference"/>
        </w:rPr>
        <w:footnoteReference w:id="43"/>
      </w:r>
    </w:p>
    <w:p w14:paraId="424D5ABE" w14:textId="77777777" w:rsidR="006C7025" w:rsidRDefault="00ED79F3" w:rsidP="00ED79F3">
      <w:pPr>
        <w:jc w:val="both"/>
      </w:pPr>
      <w:proofErr w:type="spellStart"/>
      <w:r>
        <w:t>Tekwill</w:t>
      </w:r>
      <w:proofErr w:type="spellEnd"/>
      <w:r>
        <w:t xml:space="preserve"> ICT Excellence center also recognized the need to address the role of women in ICT and to encourage t</w:t>
      </w:r>
      <w:r w:rsidR="005946EC">
        <w:t xml:space="preserve">hem to engage more actively, as they represent </w:t>
      </w:r>
      <w:r w:rsidR="005946EC" w:rsidRPr="005946EC">
        <w:t>under-exploited source of vital talent for the sector</w:t>
      </w:r>
      <w:r>
        <w:t xml:space="preserve">. </w:t>
      </w:r>
    </w:p>
    <w:p w14:paraId="02E80E80" w14:textId="17E8EBF0" w:rsidR="00ED79F3" w:rsidRDefault="00ED79F3" w:rsidP="00ED79F3">
      <w:pPr>
        <w:jc w:val="both"/>
      </w:pPr>
      <w:r>
        <w:t xml:space="preserve">Apart from </w:t>
      </w:r>
      <w:r w:rsidR="6CAB880B">
        <w:t xml:space="preserve">the </w:t>
      </w:r>
      <w:r>
        <w:t xml:space="preserve">gender specific informal training </w:t>
      </w:r>
      <w:proofErr w:type="spellStart"/>
      <w:r>
        <w:t>program</w:t>
      </w:r>
      <w:r w:rsidR="35E8B2CC">
        <w:t>me</w:t>
      </w:r>
      <w:r>
        <w:t>s</w:t>
      </w:r>
      <w:proofErr w:type="spellEnd"/>
      <w:r>
        <w:t xml:space="preserve">, there are several other </w:t>
      </w:r>
      <w:proofErr w:type="spellStart"/>
      <w:r>
        <w:t>program</w:t>
      </w:r>
      <w:r w:rsidR="6D52D677">
        <w:t>me</w:t>
      </w:r>
      <w:r>
        <w:t>s</w:t>
      </w:r>
      <w:proofErr w:type="spellEnd"/>
      <w:r>
        <w:t xml:space="preserve"> championing women in tech such as Step IT Academy and Academy+ Moldova</w:t>
      </w:r>
      <w:r w:rsidR="00CD0091">
        <w:t xml:space="preserve">, </w:t>
      </w:r>
      <w:r w:rsidR="009E016A">
        <w:t>and</w:t>
      </w:r>
      <w:r w:rsidR="009E016A" w:rsidRPr="006C7025">
        <w:rPr>
          <w:rFonts w:ascii="Calibri" w:hAnsi="Calibri" w:cs="Calibri"/>
          <w:shd w:val="clear" w:color="auto" w:fill="FFFFFF"/>
        </w:rPr>
        <w:t xml:space="preserve"> </w:t>
      </w:r>
      <w:proofErr w:type="spellStart"/>
      <w:r w:rsidR="00CD0091" w:rsidRPr="006C7025">
        <w:rPr>
          <w:rFonts w:ascii="Calibri" w:hAnsi="Calibri" w:cs="Calibri"/>
          <w:shd w:val="clear" w:color="auto" w:fill="FFFFFF"/>
        </w:rPr>
        <w:t>ArtCOR</w:t>
      </w:r>
      <w:proofErr w:type="spellEnd"/>
      <w:r w:rsidR="00D42994">
        <w:rPr>
          <w:rFonts w:ascii="Calibri" w:hAnsi="Calibri" w:cs="Calibri"/>
          <w:shd w:val="clear" w:color="auto" w:fill="FFFFFF"/>
        </w:rPr>
        <w:t>.</w:t>
      </w:r>
      <w:r w:rsidR="00CD0091">
        <w:rPr>
          <w:rStyle w:val="FootnoteReference"/>
        </w:rPr>
        <w:t xml:space="preserve"> </w:t>
      </w:r>
      <w:r w:rsidR="00B40928">
        <w:rPr>
          <w:rStyle w:val="FootnoteReference"/>
        </w:rPr>
        <w:footnoteReference w:id="44"/>
      </w:r>
    </w:p>
    <w:bookmarkEnd w:id="231"/>
    <w:p w14:paraId="71E0646A" w14:textId="4D37123D" w:rsidR="147885A2" w:rsidRPr="00CF67DA" w:rsidRDefault="00483F67" w:rsidP="00CF67DA">
      <w:pPr>
        <w:pStyle w:val="Heading3"/>
      </w:pPr>
      <w:r w:rsidRPr="00CF67DA">
        <w:t>2.2.</w:t>
      </w:r>
      <w:r w:rsidR="003E1193" w:rsidRPr="00CF67DA">
        <w:t>3</w:t>
      </w:r>
      <w:r w:rsidRPr="00CF67DA">
        <w:t xml:space="preserve"> </w:t>
      </w:r>
      <w:r w:rsidR="5FAF0F67" w:rsidRPr="00CF67DA">
        <w:t xml:space="preserve">Digital inclusion and ICT </w:t>
      </w:r>
      <w:r w:rsidR="00DD29FD" w:rsidRPr="00CF67DA">
        <w:t>a</w:t>
      </w:r>
      <w:r w:rsidR="5FAF0F67" w:rsidRPr="00CF67DA">
        <w:t xml:space="preserve">ccessibility for </w:t>
      </w:r>
      <w:r w:rsidR="00DD29FD" w:rsidRPr="00CF67DA">
        <w:t>p</w:t>
      </w:r>
      <w:r w:rsidR="5FAF0F67" w:rsidRPr="00CF67DA">
        <w:t xml:space="preserve">ersons with </w:t>
      </w:r>
      <w:r w:rsidR="00DD29FD" w:rsidRPr="00CF67DA">
        <w:t>d</w:t>
      </w:r>
      <w:r w:rsidR="5FAF0F67" w:rsidRPr="00CF67DA">
        <w:t>isabilities</w:t>
      </w:r>
      <w:bookmarkEnd w:id="232"/>
    </w:p>
    <w:p w14:paraId="22C6A3CC" w14:textId="7E9901B6" w:rsidR="00C4653D" w:rsidRDefault="00C4653D" w:rsidP="00CF67DA">
      <w:pPr>
        <w:jc w:val="both"/>
        <w:rPr>
          <w:rFonts w:eastAsia="Calibri"/>
          <w:color w:val="000000" w:themeColor="text1"/>
        </w:rPr>
      </w:pPr>
      <w:bookmarkStart w:id="233" w:name="_Hlk78299378"/>
      <w:r>
        <w:rPr>
          <w:rFonts w:eastAsia="Calibri"/>
          <w:color w:val="000000" w:themeColor="text1"/>
        </w:rPr>
        <w:t>Moldova</w:t>
      </w:r>
      <w:r w:rsidRPr="7E8FD016">
        <w:rPr>
          <w:rFonts w:eastAsia="Calibri"/>
          <w:color w:val="000000" w:themeColor="text1"/>
        </w:rPr>
        <w:t xml:space="preserve"> ratified </w:t>
      </w:r>
      <w:hyperlink r:id="rId13">
        <w:r w:rsidRPr="7E8FD016">
          <w:rPr>
            <w:rStyle w:val="Hyperlink"/>
            <w:rFonts w:ascii="Calibri" w:eastAsia="Calibri" w:hAnsi="Calibri" w:cs="Calibri"/>
          </w:rPr>
          <w:t>the Convention on the Rights of Persons with Disabilities (UN CRPD)</w:t>
        </w:r>
      </w:hyperlink>
      <w:r w:rsidRPr="7E8FD016">
        <w:rPr>
          <w:rFonts w:eastAsia="Calibri"/>
          <w:color w:val="000000" w:themeColor="text1"/>
        </w:rPr>
        <w:t xml:space="preserve"> </w:t>
      </w:r>
      <w:r>
        <w:rPr>
          <w:rFonts w:eastAsia="Calibri"/>
          <w:color w:val="000000" w:themeColor="text1"/>
        </w:rPr>
        <w:t>in</w:t>
      </w:r>
      <w:r w:rsidRPr="7E8FD016">
        <w:rPr>
          <w:rFonts w:eastAsia="Calibri"/>
          <w:color w:val="000000" w:themeColor="text1"/>
        </w:rPr>
        <w:t xml:space="preserve"> </w:t>
      </w:r>
      <w:r>
        <w:rPr>
          <w:rFonts w:eastAsia="Calibri"/>
          <w:color w:val="000000" w:themeColor="text1"/>
        </w:rPr>
        <w:t xml:space="preserve">September </w:t>
      </w:r>
      <w:r w:rsidRPr="7E8FD016">
        <w:rPr>
          <w:rFonts w:eastAsia="Calibri"/>
          <w:color w:val="000000" w:themeColor="text1"/>
        </w:rPr>
        <w:t>201</w:t>
      </w:r>
      <w:r>
        <w:rPr>
          <w:rFonts w:eastAsia="Calibri"/>
          <w:color w:val="000000" w:themeColor="text1"/>
        </w:rPr>
        <w:t xml:space="preserve">0, however, it has not ratified or </w:t>
      </w:r>
      <w:r w:rsidRPr="00F87A0F">
        <w:rPr>
          <w:rFonts w:eastAsia="Calibri"/>
          <w:color w:val="000000" w:themeColor="text1"/>
        </w:rPr>
        <w:t>acceded to the Optional Protocol to the</w:t>
      </w:r>
      <w:r>
        <w:rPr>
          <w:rFonts w:eastAsia="Calibri"/>
          <w:color w:val="000000" w:themeColor="text1"/>
        </w:rPr>
        <w:t xml:space="preserve"> </w:t>
      </w:r>
      <w:r w:rsidRPr="00F87A0F">
        <w:rPr>
          <w:rFonts w:eastAsia="Calibri"/>
          <w:color w:val="000000" w:themeColor="text1"/>
        </w:rPr>
        <w:t>UNCRPD</w:t>
      </w:r>
      <w:r w:rsidRPr="7E8FD016">
        <w:rPr>
          <w:rFonts w:eastAsia="Calibri"/>
          <w:color w:val="000000" w:themeColor="text1"/>
        </w:rPr>
        <w:t>.</w:t>
      </w:r>
      <w:r w:rsidRPr="00872F4B">
        <w:rPr>
          <w:rFonts w:eastAsia="Calibri"/>
          <w:color w:val="000000" w:themeColor="text1"/>
          <w:vertAlign w:val="superscript"/>
        </w:rPr>
        <w:footnoteReference w:id="45"/>
      </w:r>
      <w:r w:rsidRPr="00872F4B">
        <w:rPr>
          <w:rFonts w:eastAsia="Calibri"/>
          <w:color w:val="000000" w:themeColor="text1"/>
          <w:vertAlign w:val="superscript"/>
        </w:rPr>
        <w:t xml:space="preserve"> </w:t>
      </w:r>
      <w:r>
        <w:rPr>
          <w:rFonts w:eastAsia="Calibri"/>
          <w:color w:val="000000" w:themeColor="text1"/>
          <w:vertAlign w:val="superscript"/>
        </w:rPr>
        <w:t xml:space="preserve"> </w:t>
      </w:r>
      <w:bookmarkEnd w:id="233"/>
      <w:r w:rsidRPr="7E8FD016">
        <w:rPr>
          <w:rFonts w:eastAsia="Calibri"/>
          <w:color w:val="000000" w:themeColor="text1"/>
        </w:rPr>
        <w:t xml:space="preserve">The UNCRPD stipulates </w:t>
      </w:r>
      <w:r w:rsidRPr="7E8FD016">
        <w:rPr>
          <w:rFonts w:eastAsia="Calibri"/>
          <w:color w:val="000000" w:themeColor="text1"/>
        </w:rPr>
        <w:lastRenderedPageBreak/>
        <w:t xml:space="preserve">(Article 9 - Accessibility) that countries should ensure equal access of persons with disabilities to the physical environment, transportation, information and communications (ICTs), including information and communications technologies and systems. </w:t>
      </w:r>
      <w:bookmarkStart w:id="234" w:name="_Hlk78299424"/>
      <w:r w:rsidRPr="7E8FD016">
        <w:rPr>
          <w:rFonts w:eastAsia="Calibri"/>
          <w:color w:val="000000" w:themeColor="text1"/>
        </w:rPr>
        <w:t xml:space="preserve">In </w:t>
      </w:r>
      <w:r>
        <w:rPr>
          <w:rFonts w:eastAsia="Calibri"/>
          <w:color w:val="000000" w:themeColor="text1"/>
        </w:rPr>
        <w:t>May</w:t>
      </w:r>
      <w:r w:rsidRPr="7E8FD016">
        <w:rPr>
          <w:rFonts w:eastAsia="Calibri"/>
          <w:color w:val="000000" w:themeColor="text1"/>
        </w:rPr>
        <w:t xml:space="preserve"> 201</w:t>
      </w:r>
      <w:r>
        <w:rPr>
          <w:rFonts w:eastAsia="Calibri"/>
          <w:color w:val="000000" w:themeColor="text1"/>
        </w:rPr>
        <w:t>7</w:t>
      </w:r>
      <w:r w:rsidRPr="7E8FD016">
        <w:rPr>
          <w:rFonts w:eastAsia="Calibri"/>
          <w:color w:val="000000" w:themeColor="text1"/>
        </w:rPr>
        <w:t xml:space="preserve">, the </w:t>
      </w:r>
      <w:r>
        <w:rPr>
          <w:rFonts w:eastAsia="Calibri"/>
          <w:color w:val="000000" w:themeColor="text1"/>
        </w:rPr>
        <w:t>Committee</w:t>
      </w:r>
      <w:r w:rsidRPr="7E8FD016">
        <w:rPr>
          <w:rFonts w:eastAsia="Calibri"/>
          <w:color w:val="000000" w:themeColor="text1"/>
        </w:rPr>
        <w:t xml:space="preserve"> on the Rights of Persons with Disabilities provided its concluding observations of the situation in </w:t>
      </w:r>
      <w:r>
        <w:rPr>
          <w:rFonts w:eastAsia="Calibri"/>
          <w:color w:val="000000" w:themeColor="text1"/>
        </w:rPr>
        <w:t>Moldova</w:t>
      </w:r>
      <w:r w:rsidRPr="7E8FD016">
        <w:rPr>
          <w:rFonts w:eastAsia="Calibri"/>
          <w:color w:val="000000" w:themeColor="text1"/>
        </w:rPr>
        <w:t xml:space="preserve">, based on </w:t>
      </w:r>
      <w:hyperlink r:id="rId14">
        <w:r>
          <w:rPr>
            <w:rStyle w:val="Hyperlink"/>
            <w:rFonts w:ascii="Calibri" w:eastAsia="Calibri" w:hAnsi="Calibri" w:cs="Calibri"/>
          </w:rPr>
          <w:t>the Initial State Report</w:t>
        </w:r>
      </w:hyperlink>
      <w:r w:rsidRPr="7E8FD016">
        <w:rPr>
          <w:rFonts w:eastAsia="Calibri"/>
          <w:color w:val="000000" w:themeColor="text1"/>
        </w:rPr>
        <w:t xml:space="preserve"> submitted by the Government of </w:t>
      </w:r>
      <w:r>
        <w:rPr>
          <w:rFonts w:eastAsia="Calibri"/>
          <w:color w:val="000000" w:themeColor="text1"/>
        </w:rPr>
        <w:t>Moldova</w:t>
      </w:r>
      <w:r w:rsidRPr="7E8FD016">
        <w:rPr>
          <w:rFonts w:eastAsia="Calibri"/>
          <w:color w:val="000000" w:themeColor="text1"/>
        </w:rPr>
        <w:t xml:space="preserve">. While the </w:t>
      </w:r>
      <w:r>
        <w:rPr>
          <w:rFonts w:eastAsia="Calibri"/>
          <w:color w:val="000000" w:themeColor="text1"/>
        </w:rPr>
        <w:t>Committee</w:t>
      </w:r>
      <w:r w:rsidRPr="7E8FD016">
        <w:rPr>
          <w:rFonts w:eastAsia="Calibri"/>
          <w:color w:val="000000" w:themeColor="text1"/>
        </w:rPr>
        <w:t xml:space="preserve"> </w:t>
      </w:r>
      <w:r>
        <w:rPr>
          <w:rFonts w:eastAsia="Calibri"/>
          <w:color w:val="000000" w:themeColor="text1"/>
        </w:rPr>
        <w:t>commended</w:t>
      </w:r>
      <w:r w:rsidRPr="7E8FD016">
        <w:rPr>
          <w:rFonts w:eastAsia="Calibri"/>
          <w:color w:val="000000" w:themeColor="text1"/>
        </w:rPr>
        <w:t xml:space="preserve"> the </w:t>
      </w:r>
      <w:r>
        <w:rPr>
          <w:rFonts w:eastAsia="Calibri"/>
          <w:color w:val="000000" w:themeColor="text1"/>
        </w:rPr>
        <w:t>country's</w:t>
      </w:r>
      <w:r w:rsidRPr="7E8FD016">
        <w:rPr>
          <w:rFonts w:eastAsia="Calibri"/>
          <w:color w:val="000000" w:themeColor="text1"/>
        </w:rPr>
        <w:t xml:space="preserve"> </w:t>
      </w:r>
      <w:r>
        <w:rPr>
          <w:rFonts w:eastAsia="Calibri"/>
          <w:color w:val="000000" w:themeColor="text1"/>
        </w:rPr>
        <w:t>adoption of legislation on equality and social inclusion of persons with disabilities</w:t>
      </w:r>
      <w:r w:rsidRPr="7E8FD016">
        <w:rPr>
          <w:rFonts w:eastAsia="Calibri"/>
          <w:color w:val="000000" w:themeColor="text1"/>
        </w:rPr>
        <w:t>,</w:t>
      </w:r>
      <w:r>
        <w:rPr>
          <w:rFonts w:eastAsia="Calibri"/>
          <w:color w:val="000000" w:themeColor="text1"/>
        </w:rPr>
        <w:t xml:space="preserve"> t</w:t>
      </w:r>
      <w:r w:rsidRPr="00F87A0F">
        <w:rPr>
          <w:rFonts w:eastAsia="Calibri"/>
          <w:color w:val="000000" w:themeColor="text1"/>
        </w:rPr>
        <w:t xml:space="preserve">he </w:t>
      </w:r>
      <w:r>
        <w:rPr>
          <w:rFonts w:eastAsia="Calibri"/>
          <w:color w:val="000000" w:themeColor="text1"/>
        </w:rPr>
        <w:t>Committee</w:t>
      </w:r>
      <w:r w:rsidRPr="00F87A0F">
        <w:rPr>
          <w:rFonts w:eastAsia="Calibri"/>
          <w:color w:val="000000" w:themeColor="text1"/>
        </w:rPr>
        <w:t xml:space="preserve"> is concerned by the overall lack of accessibility for persons with</w:t>
      </w:r>
      <w:r>
        <w:rPr>
          <w:rFonts w:eastAsia="Calibri"/>
          <w:color w:val="000000" w:themeColor="text1"/>
        </w:rPr>
        <w:t xml:space="preserve"> </w:t>
      </w:r>
      <w:r w:rsidRPr="00F87A0F">
        <w:rPr>
          <w:rFonts w:eastAsia="Calibri"/>
          <w:color w:val="000000" w:themeColor="text1"/>
        </w:rPr>
        <w:t>disabilities</w:t>
      </w:r>
      <w:r w:rsidRPr="7E8FD016">
        <w:rPr>
          <w:rFonts w:eastAsia="Calibri"/>
          <w:color w:val="000000" w:themeColor="text1"/>
        </w:rPr>
        <w:t>.</w:t>
      </w:r>
      <w:r>
        <w:rPr>
          <w:rFonts w:eastAsia="Calibri"/>
          <w:color w:val="000000" w:themeColor="text1"/>
        </w:rPr>
        <w:t xml:space="preserve"> </w:t>
      </w:r>
      <w:r w:rsidRPr="7E8FD016">
        <w:rPr>
          <w:rFonts w:eastAsia="Calibri"/>
          <w:color w:val="000000" w:themeColor="text1"/>
        </w:rPr>
        <w:t xml:space="preserve">Hence, the </w:t>
      </w:r>
      <w:r>
        <w:rPr>
          <w:rFonts w:eastAsia="Calibri"/>
          <w:color w:val="000000" w:themeColor="text1"/>
        </w:rPr>
        <w:t>Committee</w:t>
      </w:r>
      <w:r w:rsidRPr="7E8FD016">
        <w:rPr>
          <w:rFonts w:eastAsia="Calibri"/>
          <w:color w:val="000000" w:themeColor="text1"/>
        </w:rPr>
        <w:t xml:space="preserve"> included the following recommendations:</w:t>
      </w:r>
    </w:p>
    <w:p w14:paraId="39869DB4" w14:textId="77777777" w:rsidR="00C4653D" w:rsidRPr="00CF67DA" w:rsidRDefault="00C4653D" w:rsidP="00CF67DA">
      <w:pPr>
        <w:pStyle w:val="ListParagraph"/>
        <w:numPr>
          <w:ilvl w:val="0"/>
          <w:numId w:val="26"/>
        </w:numPr>
        <w:jc w:val="both"/>
        <w:rPr>
          <w:rFonts w:eastAsia="Calibri"/>
        </w:rPr>
      </w:pPr>
      <w:r w:rsidRPr="00CF67DA">
        <w:rPr>
          <w:rFonts w:eastAsia="Calibri"/>
        </w:rPr>
        <w:t>Take all measures to ensure the implementation of legal guarantees to accessibility in all areas, including urbanism, construction and public services;</w:t>
      </w:r>
    </w:p>
    <w:p w14:paraId="7C5CDF00" w14:textId="77777777" w:rsidR="00C4653D" w:rsidRPr="00CF67DA" w:rsidRDefault="00C4653D" w:rsidP="00CF67DA">
      <w:pPr>
        <w:pStyle w:val="ListParagraph"/>
        <w:numPr>
          <w:ilvl w:val="0"/>
          <w:numId w:val="26"/>
        </w:numPr>
        <w:jc w:val="both"/>
        <w:rPr>
          <w:rFonts w:eastAsia="Calibri"/>
        </w:rPr>
      </w:pPr>
      <w:r w:rsidRPr="00CF67DA">
        <w:rPr>
          <w:rFonts w:eastAsia="Calibri"/>
        </w:rPr>
        <w:t>Ensure that the sanctions for non-compliance are developed and enforced for all areas of accessibility;</w:t>
      </w:r>
    </w:p>
    <w:p w14:paraId="11E3F053" w14:textId="77777777" w:rsidR="00C4653D" w:rsidRPr="00CF67DA" w:rsidRDefault="00C4653D" w:rsidP="00CF67DA">
      <w:pPr>
        <w:pStyle w:val="ListParagraph"/>
        <w:numPr>
          <w:ilvl w:val="0"/>
          <w:numId w:val="26"/>
        </w:numPr>
        <w:jc w:val="both"/>
        <w:rPr>
          <w:rFonts w:eastAsia="Calibri"/>
        </w:rPr>
      </w:pPr>
      <w:r w:rsidRPr="00CF67DA">
        <w:rPr>
          <w:rFonts w:eastAsia="Calibri"/>
        </w:rPr>
        <w:t>Adopt a time-bound accessibility plan of action and ensure its implementation and monitoring, in close consultation with persons with disabilities through their representative organizations;</w:t>
      </w:r>
    </w:p>
    <w:p w14:paraId="7087543A" w14:textId="77777777" w:rsidR="00C4653D" w:rsidRPr="00CF67DA" w:rsidRDefault="00C4653D" w:rsidP="00CF67DA">
      <w:pPr>
        <w:pStyle w:val="ListParagraph"/>
        <w:numPr>
          <w:ilvl w:val="0"/>
          <w:numId w:val="26"/>
        </w:numPr>
        <w:jc w:val="both"/>
        <w:rPr>
          <w:rFonts w:eastAsia="Calibri"/>
        </w:rPr>
      </w:pPr>
      <w:r w:rsidRPr="00CF67DA">
        <w:rPr>
          <w:rFonts w:eastAsia="Calibri"/>
        </w:rPr>
        <w:t>Pay attention to the link between article 9 of the Convention and Goal 9 and targets 11.2 and 11.7 of the Sustainable Development Goals.</w:t>
      </w:r>
    </w:p>
    <w:p w14:paraId="12B71821" w14:textId="1E4BFFE0" w:rsidR="00C4653D" w:rsidRDefault="00C4653D" w:rsidP="00CF67DA">
      <w:pPr>
        <w:jc w:val="both"/>
        <w:rPr>
          <w:rFonts w:eastAsia="Calibri"/>
          <w:vertAlign w:val="superscript"/>
        </w:rPr>
      </w:pPr>
      <w:r>
        <w:rPr>
          <w:rFonts w:eastAsia="Calibri"/>
        </w:rPr>
        <w:t>Moldova</w:t>
      </w:r>
      <w:r w:rsidRPr="7E8FD016">
        <w:rPr>
          <w:rFonts w:eastAsia="Calibri"/>
        </w:rPr>
        <w:t xml:space="preserve"> has achieved several key milestones in building a legislative framework for digital inclusion and ICT accessibility.</w:t>
      </w:r>
      <w:r>
        <w:rPr>
          <w:rFonts w:eastAsia="Calibri"/>
        </w:rPr>
        <w:t xml:space="preserve"> </w:t>
      </w:r>
      <w:hyperlink r:id="rId15" w:history="1">
        <w:r>
          <w:rPr>
            <w:rStyle w:val="Hyperlink"/>
            <w:rFonts w:ascii="Calibri" w:eastAsia="Calibri" w:hAnsi="Calibri" w:cs="Calibri"/>
          </w:rPr>
          <w:t>The Law on Social Inclusion no. 60/2012</w:t>
        </w:r>
      </w:hyperlink>
      <w:r w:rsidRPr="00473741">
        <w:rPr>
          <w:rFonts w:eastAsia="Calibri"/>
        </w:rPr>
        <w:t xml:space="preserve"> establishes general provisions on accessibility for persons with disabilities, including </w:t>
      </w:r>
      <w:r>
        <w:rPr>
          <w:rFonts w:eastAsia="Calibri"/>
        </w:rPr>
        <w:t>access to information</w:t>
      </w:r>
      <w:r w:rsidRPr="00473741">
        <w:rPr>
          <w:rFonts w:eastAsia="Calibri"/>
        </w:rPr>
        <w:t>.</w:t>
      </w:r>
      <w:r>
        <w:rPr>
          <w:rStyle w:val="FootnoteReference"/>
          <w:rFonts w:ascii="Calibri" w:eastAsia="Calibri" w:hAnsi="Calibri" w:cs="Calibri"/>
          <w:color w:val="000000" w:themeColor="text1"/>
        </w:rPr>
        <w:footnoteReference w:id="46"/>
      </w:r>
      <w:r>
        <w:rPr>
          <w:rFonts w:eastAsia="Calibri"/>
        </w:rPr>
        <w:t xml:space="preserve"> </w:t>
      </w:r>
      <w:r w:rsidRPr="7E8FD016">
        <w:rPr>
          <w:rFonts w:eastAsia="Calibri"/>
        </w:rPr>
        <w:t xml:space="preserve">The country has </w:t>
      </w:r>
      <w:r>
        <w:rPr>
          <w:rFonts w:eastAsia="Calibri"/>
        </w:rPr>
        <w:t xml:space="preserve">also </w:t>
      </w:r>
      <w:r w:rsidRPr="7E8FD016">
        <w:rPr>
          <w:rFonts w:eastAsia="Calibri"/>
        </w:rPr>
        <w:t xml:space="preserve">adopted </w:t>
      </w:r>
      <w:r w:rsidRPr="00042098">
        <w:rPr>
          <w:rFonts w:eastAsia="Calibri"/>
        </w:rPr>
        <w:t>the National Program for Social Inclusion of Persons with Disabilities for the years 2017-2022</w:t>
      </w:r>
      <w:r w:rsidR="00ED79F3">
        <w:rPr>
          <w:rFonts w:eastAsia="Calibri"/>
        </w:rPr>
        <w:t>.</w:t>
      </w:r>
      <w:r w:rsidRPr="7E8FD016">
        <w:rPr>
          <w:rFonts w:eastAsia="Calibri"/>
        </w:rPr>
        <w:t xml:space="preserve"> </w:t>
      </w:r>
      <w:r w:rsidR="00ED79F3">
        <w:rPr>
          <w:rFonts w:eastAsia="Calibri"/>
        </w:rPr>
        <w:t>O</w:t>
      </w:r>
      <w:r>
        <w:rPr>
          <w:rFonts w:eastAsia="Calibri"/>
        </w:rPr>
        <w:t xml:space="preserve">ne of </w:t>
      </w:r>
      <w:r w:rsidR="00ED79F3">
        <w:rPr>
          <w:rFonts w:eastAsia="Calibri"/>
        </w:rPr>
        <w:t>its</w:t>
      </w:r>
      <w:r>
        <w:rPr>
          <w:rFonts w:eastAsia="Calibri"/>
        </w:rPr>
        <w:t xml:space="preserve"> objectives is  "</w:t>
      </w:r>
      <w:r w:rsidR="003A711C">
        <w:rPr>
          <w:rFonts w:eastAsia="Calibri"/>
        </w:rPr>
        <w:t>e</w:t>
      </w:r>
      <w:r w:rsidRPr="00E5195D">
        <w:rPr>
          <w:rFonts w:eastAsia="Calibri"/>
        </w:rPr>
        <w:t>nsuring accessibility to infrastructure, transport, information and communications for people with disabilities</w:t>
      </w:r>
      <w:r>
        <w:rPr>
          <w:rFonts w:eastAsia="Calibri"/>
        </w:rPr>
        <w:t>"</w:t>
      </w:r>
      <w:r w:rsidRPr="00E5195D">
        <w:rPr>
          <w:rFonts w:eastAsia="Calibri"/>
        </w:rPr>
        <w:t>.</w:t>
      </w:r>
      <w:r w:rsidRPr="00B05764">
        <w:rPr>
          <w:rFonts w:eastAsia="Calibri"/>
          <w:vertAlign w:val="superscript"/>
        </w:rPr>
        <w:footnoteReference w:id="47"/>
      </w:r>
      <w:r w:rsidRPr="7E8FD016">
        <w:rPr>
          <w:rFonts w:eastAsia="Calibri"/>
        </w:rPr>
        <w:t xml:space="preserve"> </w:t>
      </w:r>
      <w:r>
        <w:rPr>
          <w:rFonts w:eastAsia="Calibri"/>
        </w:rPr>
        <w:t xml:space="preserve">The legislations also establish the country's adherence to European and International standards such as </w:t>
      </w:r>
      <w:hyperlink r:id="rId16" w:history="1">
        <w:r w:rsidRPr="00F6719A">
          <w:rPr>
            <w:rStyle w:val="Hyperlink"/>
            <w:rFonts w:ascii="Calibri" w:eastAsia="Calibri" w:hAnsi="Calibri" w:cs="Calibri"/>
          </w:rPr>
          <w:t>The Code on Audio-visual Media Services no. 174/2018</w:t>
        </w:r>
      </w:hyperlink>
      <w:r>
        <w:rPr>
          <w:rFonts w:eastAsia="Calibri"/>
        </w:rPr>
        <w:t xml:space="preserve">, which conform to the European Union </w:t>
      </w:r>
      <w:r w:rsidRPr="009C5008">
        <w:rPr>
          <w:rFonts w:eastAsia="Calibri"/>
        </w:rPr>
        <w:t>Directive on Audio</w:t>
      </w:r>
      <w:r>
        <w:rPr>
          <w:rFonts w:eastAsia="Calibri"/>
        </w:rPr>
        <w:t>-</w:t>
      </w:r>
      <w:r w:rsidRPr="009C5008">
        <w:rPr>
          <w:rFonts w:eastAsia="Calibri"/>
        </w:rPr>
        <w:t>visual Media Services</w:t>
      </w:r>
      <w:r w:rsidR="003A711C">
        <w:rPr>
          <w:rFonts w:eastAsia="Calibri"/>
        </w:rPr>
        <w:t>. Additionally,</w:t>
      </w:r>
      <w:r>
        <w:rPr>
          <w:rFonts w:eastAsia="Calibri"/>
        </w:rPr>
        <w:t xml:space="preserve"> </w:t>
      </w:r>
      <w:hyperlink r:id="rId17" w:history="1">
        <w:r w:rsidR="003A711C">
          <w:rPr>
            <w:rStyle w:val="Hyperlink"/>
            <w:rFonts w:ascii="Calibri" w:eastAsia="Calibri" w:hAnsi="Calibri" w:cs="Calibri"/>
          </w:rPr>
          <w:t>t</w:t>
        </w:r>
        <w:r w:rsidRPr="006C298C">
          <w:rPr>
            <w:rStyle w:val="Hyperlink"/>
            <w:rFonts w:ascii="Calibri" w:eastAsia="Calibri" w:hAnsi="Calibri" w:cs="Calibri"/>
          </w:rPr>
          <w:t>he Government Decision on the official pages of public administration authorities on the Internet no. 188/2012</w:t>
        </w:r>
      </w:hyperlink>
      <w:r>
        <w:rPr>
          <w:rFonts w:eastAsia="Calibri"/>
        </w:rPr>
        <w:t xml:space="preserve"> (in force from 2018), which specifies compatibility requirements to public </w:t>
      </w:r>
      <w:proofErr w:type="gramStart"/>
      <w:r>
        <w:rPr>
          <w:rFonts w:eastAsia="Calibri"/>
        </w:rPr>
        <w:t>authorities</w:t>
      </w:r>
      <w:proofErr w:type="gramEnd"/>
      <w:r>
        <w:rPr>
          <w:rFonts w:eastAsia="Calibri"/>
        </w:rPr>
        <w:t xml:space="preserve"> websites should be built in accordance with </w:t>
      </w:r>
      <w:r w:rsidRPr="00581A6F">
        <w:rPr>
          <w:rFonts w:eastAsia="Calibri"/>
        </w:rPr>
        <w:t>the Web Accessibility Initiative (WAI) guidelines</w:t>
      </w:r>
      <w:r>
        <w:rPr>
          <w:rFonts w:eastAsia="Calibri"/>
        </w:rPr>
        <w:t>.</w:t>
      </w:r>
    </w:p>
    <w:p w14:paraId="15256290" w14:textId="77777777" w:rsidR="00C4653D" w:rsidRDefault="00C4653D" w:rsidP="00CF67DA">
      <w:pPr>
        <w:jc w:val="both"/>
        <w:rPr>
          <w:rFonts w:eastAsia="Calibri"/>
        </w:rPr>
      </w:pPr>
      <w:r w:rsidRPr="7E8FD016">
        <w:rPr>
          <w:rFonts w:eastAsia="Calibri"/>
        </w:rPr>
        <w:t xml:space="preserve">While </w:t>
      </w:r>
      <w:bookmarkStart w:id="235" w:name="_Hlk78298774"/>
      <w:r w:rsidRPr="7E8FD016">
        <w:rPr>
          <w:rFonts w:eastAsia="Calibri"/>
        </w:rPr>
        <w:t xml:space="preserve">the government </w:t>
      </w:r>
      <w:r>
        <w:rPr>
          <w:rFonts w:eastAsia="Calibri"/>
        </w:rPr>
        <w:t>has established a robust regulatory framework on the provision of accessible information and communication, implementation framework in the following aspects could benefit from further improvement</w:t>
      </w:r>
      <w:bookmarkEnd w:id="235"/>
      <w:r>
        <w:rPr>
          <w:rFonts w:eastAsia="Calibri"/>
        </w:rPr>
        <w:t xml:space="preserve"> in Moldova: p</w:t>
      </w:r>
      <w:r w:rsidRPr="00D770EF">
        <w:rPr>
          <w:rFonts w:eastAsia="Calibri"/>
        </w:rPr>
        <w:t>romote the design, development, production and distribution of accessible ICTs and ICT systems at an early stage</w:t>
      </w:r>
      <w:r>
        <w:rPr>
          <w:rFonts w:eastAsia="Calibri"/>
        </w:rPr>
        <w:t>; p</w:t>
      </w:r>
      <w:r w:rsidRPr="00C479EA">
        <w:rPr>
          <w:rFonts w:eastAsia="Calibri"/>
        </w:rPr>
        <w:t xml:space="preserve">romote </w:t>
      </w:r>
      <w:r>
        <w:rPr>
          <w:rFonts w:eastAsia="Calibri"/>
        </w:rPr>
        <w:t xml:space="preserve">the </w:t>
      </w:r>
      <w:r w:rsidRPr="00C479EA">
        <w:rPr>
          <w:rFonts w:eastAsia="Calibri"/>
        </w:rPr>
        <w:t xml:space="preserve">universal design of ICT products and </w:t>
      </w:r>
      <w:r w:rsidRPr="00C479EA">
        <w:rPr>
          <w:rFonts w:eastAsia="Calibri"/>
        </w:rPr>
        <w:lastRenderedPageBreak/>
        <w:t>services to be usable by all people</w:t>
      </w:r>
      <w:r>
        <w:rPr>
          <w:rFonts w:eastAsia="Calibri"/>
        </w:rPr>
        <w:t>; f</w:t>
      </w:r>
      <w:r w:rsidRPr="00F31FDF">
        <w:rPr>
          <w:rFonts w:eastAsia="Calibri"/>
        </w:rPr>
        <w:t>acilitate and promote the engagement and participation of persons with disabilities</w:t>
      </w:r>
      <w:r>
        <w:rPr>
          <w:rFonts w:eastAsia="Calibri"/>
        </w:rPr>
        <w:t>; p</w:t>
      </w:r>
      <w:r w:rsidRPr="007A6962">
        <w:rPr>
          <w:rFonts w:eastAsia="Calibri"/>
        </w:rPr>
        <w:t>romote the adoption of ICT accessibility in education, including role-based ICT accessibility training courses for education institutio</w:t>
      </w:r>
      <w:r>
        <w:rPr>
          <w:rFonts w:eastAsia="Calibri"/>
        </w:rPr>
        <w:t>n staffs; and establish f</w:t>
      </w:r>
      <w:r w:rsidRPr="00400633">
        <w:rPr>
          <w:rFonts w:eastAsia="Calibri"/>
        </w:rPr>
        <w:t>inancial schemes to support the provision of accessible information and communications, as well as of ICT products and services, for persons with disabilities</w:t>
      </w:r>
      <w:r>
        <w:rPr>
          <w:rFonts w:eastAsia="Calibri"/>
        </w:rPr>
        <w:t>.</w:t>
      </w:r>
      <w:r>
        <w:rPr>
          <w:rStyle w:val="FootnoteReference"/>
          <w:rFonts w:ascii="Calibri" w:eastAsia="Calibri" w:hAnsi="Calibri" w:cs="Calibri"/>
          <w:color w:val="000000" w:themeColor="text1"/>
        </w:rPr>
        <w:footnoteReference w:id="48"/>
      </w:r>
    </w:p>
    <w:bookmarkEnd w:id="234"/>
    <w:p w14:paraId="5642E71B" w14:textId="77777777" w:rsidR="00C4653D" w:rsidRDefault="00C4653D" w:rsidP="00CF67DA">
      <w:pPr>
        <w:jc w:val="both"/>
        <w:rPr>
          <w:rFonts w:eastAsia="Calibri"/>
        </w:rPr>
      </w:pPr>
      <w:r w:rsidRPr="7E8FD016">
        <w:rPr>
          <w:rFonts w:eastAsia="Calibri"/>
        </w:rPr>
        <w:t xml:space="preserve">ITU is committed to advancing digital accessibility. Accessibility is not only embedded in the </w:t>
      </w:r>
      <w:r>
        <w:rPr>
          <w:rFonts w:eastAsia="Calibri"/>
        </w:rPr>
        <w:t>Union's</w:t>
      </w:r>
      <w:r w:rsidRPr="7E8FD016">
        <w:rPr>
          <w:rFonts w:eastAsia="Calibri"/>
        </w:rPr>
        <w:t xml:space="preserve"> strategic goals and targets but</w:t>
      </w:r>
      <w:r>
        <w:rPr>
          <w:rFonts w:eastAsia="Calibri"/>
        </w:rPr>
        <w:t xml:space="preserve"> also</w:t>
      </w:r>
      <w:r w:rsidRPr="7E8FD016">
        <w:rPr>
          <w:rFonts w:eastAsia="Calibri"/>
        </w:rPr>
        <w:t>, in 2018, ITU Member States affirmed that enabling environments ensuring accessible ICTs for persons with disabilities should be established in all countries by 2023.</w:t>
      </w:r>
      <w:r w:rsidRPr="7E8FD016">
        <w:rPr>
          <w:rFonts w:eastAsia="Calibri"/>
          <w:vertAlign w:val="superscript"/>
        </w:rPr>
        <w:footnoteReference w:id="49"/>
      </w:r>
      <w:r w:rsidRPr="7E8FD016">
        <w:rPr>
          <w:rFonts w:eastAsia="Calibri"/>
          <w:vertAlign w:val="superscript"/>
        </w:rPr>
        <w:t xml:space="preserve"> </w:t>
      </w:r>
      <w:r w:rsidRPr="7E8FD016">
        <w:rPr>
          <w:rFonts w:eastAsia="Calibri"/>
        </w:rPr>
        <w:t xml:space="preserve">The ITU Office for Europe actively collaborates with partner organizations to foster enabling environments, ensuring accessible ICTs for persons with disabilities and inclusive digital society in the region. The efforts to promote ICTs accessibility consist of the following tracks: </w:t>
      </w:r>
    </w:p>
    <w:p w14:paraId="5FA8EADF" w14:textId="77777777" w:rsidR="00C4653D" w:rsidRPr="00CF67DA" w:rsidRDefault="0020682B" w:rsidP="00CF67DA">
      <w:pPr>
        <w:pStyle w:val="ListParagraph"/>
        <w:numPr>
          <w:ilvl w:val="0"/>
          <w:numId w:val="27"/>
        </w:numPr>
        <w:jc w:val="both"/>
        <w:rPr>
          <w:color w:val="0563C1"/>
        </w:rPr>
      </w:pPr>
      <w:hyperlink r:id="rId18">
        <w:r w:rsidR="00C4653D" w:rsidRPr="00CF67DA">
          <w:rPr>
            <w:rStyle w:val="Hyperlink"/>
            <w:rFonts w:ascii="Calibri" w:eastAsia="Calibri" w:hAnsi="Calibri" w:cs="Calibri"/>
          </w:rPr>
          <w:t>Annual ITU-EC Forum on Accessible Europe: ICT for All</w:t>
        </w:r>
      </w:hyperlink>
      <w:r w:rsidR="00C4653D" w:rsidRPr="00CF67DA">
        <w:rPr>
          <w:rFonts w:ascii="Calibri" w:eastAsia="Calibri" w:hAnsi="Calibri" w:cs="Calibri"/>
          <w:color w:val="000000" w:themeColor="text1"/>
        </w:rPr>
        <w:t>;</w:t>
      </w:r>
    </w:p>
    <w:p w14:paraId="6E4754B6" w14:textId="77777777" w:rsidR="00C4653D" w:rsidRPr="00CF67DA" w:rsidRDefault="0020682B" w:rsidP="00CF67DA">
      <w:pPr>
        <w:pStyle w:val="ListParagraph"/>
        <w:numPr>
          <w:ilvl w:val="0"/>
          <w:numId w:val="27"/>
        </w:numPr>
        <w:jc w:val="both"/>
        <w:rPr>
          <w:color w:val="0563C1"/>
        </w:rPr>
      </w:pPr>
      <w:hyperlink r:id="rId19">
        <w:r w:rsidR="00C4653D" w:rsidRPr="00CF67DA">
          <w:rPr>
            <w:rStyle w:val="Hyperlink"/>
            <w:rFonts w:ascii="Calibri" w:eastAsia="Calibri" w:hAnsi="Calibri" w:cs="Calibri"/>
          </w:rPr>
          <w:t>Regional Competition: Innovative Digital Solutions for Accessible Europe</w:t>
        </w:r>
      </w:hyperlink>
      <w:r w:rsidR="00C4653D" w:rsidRPr="00CF67DA">
        <w:rPr>
          <w:rFonts w:ascii="Calibri" w:eastAsia="Calibri" w:hAnsi="Calibri" w:cs="Calibri"/>
          <w:color w:val="000000" w:themeColor="text1"/>
        </w:rPr>
        <w:t>;</w:t>
      </w:r>
    </w:p>
    <w:p w14:paraId="4189B2F1" w14:textId="77777777" w:rsidR="00C4653D" w:rsidRPr="00CF67DA" w:rsidRDefault="0020682B" w:rsidP="00CF67DA">
      <w:pPr>
        <w:pStyle w:val="ListParagraph"/>
        <w:numPr>
          <w:ilvl w:val="0"/>
          <w:numId w:val="27"/>
        </w:numPr>
        <w:jc w:val="both"/>
        <w:rPr>
          <w:color w:val="0563C1"/>
        </w:rPr>
      </w:pPr>
      <w:hyperlink r:id="rId20">
        <w:r w:rsidR="00C4653D" w:rsidRPr="00CF67DA">
          <w:rPr>
            <w:rStyle w:val="Hyperlink"/>
            <w:rFonts w:ascii="Calibri" w:eastAsia="Calibri" w:hAnsi="Calibri" w:cs="Calibri"/>
          </w:rPr>
          <w:t>ICT Accessibility Assessment for Europe Region</w:t>
        </w:r>
      </w:hyperlink>
      <w:r w:rsidR="00C4653D" w:rsidRPr="00CF67DA">
        <w:rPr>
          <w:rFonts w:ascii="Calibri" w:eastAsia="Calibri" w:hAnsi="Calibri" w:cs="Calibri"/>
          <w:color w:val="000000" w:themeColor="text1"/>
        </w:rPr>
        <w:t>;</w:t>
      </w:r>
    </w:p>
    <w:p w14:paraId="5AA2A5E2" w14:textId="77777777" w:rsidR="00C4653D" w:rsidRPr="00CF67DA" w:rsidRDefault="0020682B" w:rsidP="00CF67DA">
      <w:pPr>
        <w:pStyle w:val="ListParagraph"/>
        <w:numPr>
          <w:ilvl w:val="0"/>
          <w:numId w:val="27"/>
        </w:numPr>
        <w:jc w:val="both"/>
        <w:rPr>
          <w:color w:val="0563C1"/>
        </w:rPr>
      </w:pPr>
      <w:hyperlink r:id="rId21">
        <w:r w:rsidR="00C4653D" w:rsidRPr="00CF67DA">
          <w:rPr>
            <w:rStyle w:val="Hyperlink"/>
            <w:rFonts w:ascii="Calibri" w:eastAsia="Calibri" w:hAnsi="Calibri" w:cs="Calibri"/>
          </w:rPr>
          <w:t>Technical Assessment in Enhancing ICTs Accessibility at a country level</w:t>
        </w:r>
      </w:hyperlink>
      <w:r w:rsidR="00C4653D" w:rsidRPr="00CF67DA">
        <w:rPr>
          <w:rFonts w:ascii="Calibri" w:eastAsia="Calibri" w:hAnsi="Calibri" w:cs="Calibri"/>
          <w:color w:val="000000" w:themeColor="text1"/>
        </w:rPr>
        <w:t>;</w:t>
      </w:r>
    </w:p>
    <w:p w14:paraId="2F002BFA" w14:textId="38786A76" w:rsidR="76A03D3F" w:rsidRPr="00CF67DA" w:rsidRDefault="0020682B" w:rsidP="00CF67DA">
      <w:pPr>
        <w:pStyle w:val="ListParagraph"/>
        <w:numPr>
          <w:ilvl w:val="0"/>
          <w:numId w:val="27"/>
        </w:numPr>
        <w:jc w:val="both"/>
        <w:rPr>
          <w:color w:val="0563C1"/>
        </w:rPr>
      </w:pPr>
      <w:hyperlink r:id="rId22">
        <w:r w:rsidR="00C4653D" w:rsidRPr="00CF67DA">
          <w:rPr>
            <w:rStyle w:val="Hyperlink"/>
            <w:rFonts w:ascii="Calibri" w:eastAsia="Calibri" w:hAnsi="Calibri" w:cs="Calibri"/>
          </w:rPr>
          <w:t>Capacity building in ICT Accessibility</w:t>
        </w:r>
      </w:hyperlink>
      <w:r w:rsidR="00C4653D" w:rsidRPr="00CF67DA">
        <w:rPr>
          <w:rFonts w:ascii="Calibri" w:eastAsia="Calibri" w:hAnsi="Calibri" w:cs="Calibri"/>
          <w:color w:val="000000" w:themeColor="text1"/>
        </w:rPr>
        <w:t>.</w:t>
      </w:r>
      <w:r w:rsidR="76A03D3F" w:rsidRPr="00CF67DA">
        <w:rPr>
          <w:rFonts w:ascii="Calibri" w:eastAsia="Calibri" w:hAnsi="Calibri" w:cs="Calibri"/>
          <w:color w:val="000000" w:themeColor="text1"/>
        </w:rPr>
        <w:t xml:space="preserve"> </w:t>
      </w:r>
    </w:p>
    <w:p w14:paraId="2545E56C" w14:textId="54C38A2C" w:rsidR="6B503BAE" w:rsidRPr="00CF67DA" w:rsidRDefault="00483F67" w:rsidP="00CF67DA">
      <w:pPr>
        <w:pStyle w:val="Heading3"/>
      </w:pPr>
      <w:bookmarkStart w:id="236" w:name="_Toc74850937"/>
      <w:r>
        <w:t>2.2.</w:t>
      </w:r>
      <w:r w:rsidR="003E1193">
        <w:t>4</w:t>
      </w:r>
      <w:r>
        <w:t xml:space="preserve"> </w:t>
      </w:r>
      <w:r w:rsidR="6B503BAE">
        <w:t>Building trust and confidence in the use of ICTs for children and youth</w:t>
      </w:r>
      <w:bookmarkEnd w:id="236"/>
      <w:r w:rsidR="6B503BAE">
        <w:t xml:space="preserve"> </w:t>
      </w:r>
    </w:p>
    <w:p w14:paraId="4496F903" w14:textId="00093942" w:rsidR="00273318" w:rsidRDefault="00B56013" w:rsidP="00CF67DA">
      <w:pPr>
        <w:jc w:val="both"/>
      </w:pPr>
      <w:bookmarkStart w:id="237" w:name="_Hlk78301339"/>
      <w:r>
        <w:rPr>
          <w:rFonts w:ascii="Calibri" w:eastAsia="Calibri" w:hAnsi="Calibri" w:cs="Calibri"/>
          <w:color w:val="000000" w:themeColor="text1"/>
        </w:rPr>
        <w:t>Moldova</w:t>
      </w:r>
      <w:r w:rsidRPr="7E8FD016">
        <w:rPr>
          <w:rFonts w:ascii="Calibri" w:eastAsia="Calibri" w:hAnsi="Calibri" w:cs="Calibri"/>
          <w:color w:val="000000" w:themeColor="text1"/>
        </w:rPr>
        <w:t xml:space="preserve"> ratified </w:t>
      </w:r>
      <w:r>
        <w:t xml:space="preserve">the </w:t>
      </w:r>
      <w:hyperlink r:id="rId23" w:history="1">
        <w:r w:rsidRPr="00FD3F27">
          <w:rPr>
            <w:rStyle w:val="Hyperlink"/>
          </w:rPr>
          <w:t>Lanzarote Convention on the Protection of Children against Sexual Exploitation and Sexual Abuse</w:t>
        </w:r>
      </w:hyperlink>
      <w:r w:rsidRPr="00B56013">
        <w:t xml:space="preserve"> </w:t>
      </w:r>
      <w:r>
        <w:t xml:space="preserve">in </w:t>
      </w:r>
      <w:r w:rsidR="00273318">
        <w:t xml:space="preserve">March </w:t>
      </w:r>
      <w:r>
        <w:t>2012</w:t>
      </w:r>
      <w:r w:rsidR="002A0361">
        <w:t>, but</w:t>
      </w:r>
      <w:r>
        <w:t xml:space="preserve"> t</w:t>
      </w:r>
      <w:r w:rsidRPr="00F26863">
        <w:rPr>
          <w:rFonts w:ascii="Calibri" w:hAnsi="Calibri" w:cs="Calibri"/>
          <w:iCs/>
        </w:rPr>
        <w:t xml:space="preserve">he </w:t>
      </w:r>
      <w:r w:rsidR="00273318">
        <w:rPr>
          <w:rFonts w:ascii="Calibri" w:hAnsi="Calibri" w:cs="Calibri"/>
          <w:iCs/>
        </w:rPr>
        <w:t>national</w:t>
      </w:r>
      <w:r w:rsidR="00273318" w:rsidRPr="00F26863">
        <w:rPr>
          <w:rFonts w:ascii="Calibri" w:hAnsi="Calibri" w:cs="Calibri"/>
          <w:iCs/>
        </w:rPr>
        <w:t xml:space="preserve"> </w:t>
      </w:r>
      <w:r w:rsidRPr="00F26863">
        <w:rPr>
          <w:rFonts w:ascii="Calibri" w:hAnsi="Calibri" w:cs="Calibri"/>
          <w:iCs/>
        </w:rPr>
        <w:t>legal framework has not</w:t>
      </w:r>
      <w:r>
        <w:rPr>
          <w:rFonts w:ascii="Calibri" w:hAnsi="Calibri" w:cs="Calibri"/>
          <w:iCs/>
        </w:rPr>
        <w:t xml:space="preserve"> yet</w:t>
      </w:r>
      <w:r w:rsidRPr="00F26863">
        <w:rPr>
          <w:rFonts w:ascii="Calibri" w:hAnsi="Calibri" w:cs="Calibri"/>
          <w:iCs/>
        </w:rPr>
        <w:t xml:space="preserve"> been</w:t>
      </w:r>
      <w:r>
        <w:rPr>
          <w:rFonts w:ascii="Calibri" w:hAnsi="Calibri" w:cs="Calibri"/>
          <w:iCs/>
        </w:rPr>
        <w:t xml:space="preserve"> fully</w:t>
      </w:r>
      <w:r w:rsidRPr="00F26863">
        <w:rPr>
          <w:rFonts w:ascii="Calibri" w:hAnsi="Calibri" w:cs="Calibri"/>
          <w:iCs/>
        </w:rPr>
        <w:t xml:space="preserve"> updated to</w:t>
      </w:r>
      <w:r w:rsidR="003A711C" w:rsidRPr="003A711C">
        <w:rPr>
          <w:rFonts w:ascii="Calibri" w:hAnsi="Calibri" w:cs="Calibri"/>
          <w:iCs/>
        </w:rPr>
        <w:t xml:space="preserve"> </w:t>
      </w:r>
      <w:r w:rsidR="003A711C">
        <w:rPr>
          <w:rFonts w:ascii="Calibri" w:hAnsi="Calibri" w:cs="Calibri"/>
          <w:iCs/>
        </w:rPr>
        <w:t>reflect</w:t>
      </w:r>
      <w:r w:rsidRPr="00F26863">
        <w:rPr>
          <w:rFonts w:ascii="Calibri" w:hAnsi="Calibri" w:cs="Calibri"/>
          <w:iCs/>
        </w:rPr>
        <w:t xml:space="preserve"> </w:t>
      </w:r>
      <w:r w:rsidR="002A0361">
        <w:rPr>
          <w:rFonts w:ascii="Calibri" w:hAnsi="Calibri" w:cs="Calibri"/>
          <w:iCs/>
        </w:rPr>
        <w:t>its</w:t>
      </w:r>
      <w:r w:rsidRPr="00F26863">
        <w:rPr>
          <w:rFonts w:ascii="Calibri" w:hAnsi="Calibri" w:cs="Calibri"/>
          <w:iCs/>
        </w:rPr>
        <w:t xml:space="preserve"> provisions</w:t>
      </w:r>
      <w:r>
        <w:t xml:space="preserve">. </w:t>
      </w:r>
      <w:bookmarkStart w:id="238" w:name="_Hlk78301367"/>
      <w:bookmarkEnd w:id="237"/>
      <w:r w:rsidR="002A0361">
        <w:t xml:space="preserve">However, </w:t>
      </w:r>
      <w:r w:rsidR="00273318">
        <w:t xml:space="preserve">the country </w:t>
      </w:r>
      <w:r w:rsidR="002A0361">
        <w:t>interventions are based on</w:t>
      </w:r>
      <w:r w:rsidR="00273318">
        <w:t xml:space="preserve"> a </w:t>
      </w:r>
      <w:r w:rsidR="00273318" w:rsidRPr="00273318">
        <w:t>comprehensive approach to child protection derived from the standards set out in the Lanzarote Convention</w:t>
      </w:r>
      <w:r w:rsidR="002A0361">
        <w:t xml:space="preserve">. They focus on </w:t>
      </w:r>
      <w:r w:rsidR="00273318" w:rsidRPr="00273318">
        <w:t>two main pillars</w:t>
      </w:r>
      <w:r w:rsidR="002A0361">
        <w:t>:</w:t>
      </w:r>
      <w:r w:rsidR="00273318" w:rsidRPr="00273318">
        <w:t xml:space="preserve"> online risk prevention and child protection</w:t>
      </w:r>
      <w:r w:rsidR="002A0361">
        <w:t>.</w:t>
      </w:r>
    </w:p>
    <w:bookmarkEnd w:id="238"/>
    <w:p w14:paraId="47886D2C" w14:textId="4A20BCBC" w:rsidR="0013159A" w:rsidRDefault="6DA6D156" w:rsidP="00CF67DA">
      <w:pPr>
        <w:jc w:val="both"/>
      </w:pPr>
      <w:r>
        <w:t xml:space="preserve">Following the same trend, </w:t>
      </w:r>
      <w:r w:rsidR="002A0361">
        <w:t>Moldova</w:t>
      </w:r>
      <w:r w:rsidR="00625361">
        <w:t xml:space="preserve"> is </w:t>
      </w:r>
      <w:r w:rsidR="002A0361">
        <w:t>advanc</w:t>
      </w:r>
      <w:r w:rsidR="00625361">
        <w:t>ing</w:t>
      </w:r>
      <w:r w:rsidR="00FD3F27">
        <w:t xml:space="preserve"> </w:t>
      </w:r>
      <w:r w:rsidR="002A0361">
        <w:t xml:space="preserve">on </w:t>
      </w:r>
      <w:r w:rsidR="00625361">
        <w:t xml:space="preserve">tackling </w:t>
      </w:r>
      <w:r w:rsidR="002A0361">
        <w:t>the issue of child protection in the online environment but the coordinated approach is still missing.</w:t>
      </w:r>
    </w:p>
    <w:p w14:paraId="3FCB00DD" w14:textId="64F56036" w:rsidR="008A41B8" w:rsidRPr="00DF4AF5" w:rsidRDefault="0013159A" w:rsidP="02567566">
      <w:pPr>
        <w:jc w:val="both"/>
        <w:rPr>
          <w:rFonts w:ascii="Calibri" w:eastAsia="Calibri" w:hAnsi="Calibri" w:cs="Calibri"/>
          <w:b/>
          <w:bCs/>
          <w:i/>
          <w:iCs/>
        </w:rPr>
      </w:pPr>
      <w:r>
        <w:t xml:space="preserve">Looking to address this challenge, </w:t>
      </w:r>
      <w:bookmarkStart w:id="239" w:name="_Hlk78301443"/>
      <w:r w:rsidR="008A41B8">
        <w:t xml:space="preserve">the Government of </w:t>
      </w:r>
      <w:r w:rsidR="003A711C">
        <w:t xml:space="preserve">the </w:t>
      </w:r>
      <w:r w:rsidR="008A41B8">
        <w:t xml:space="preserve">Republic of Moldova adopted </w:t>
      </w:r>
      <w:r>
        <w:t>an</w:t>
      </w:r>
      <w:r w:rsidR="0E4A91CD">
        <w:t xml:space="preserve"> </w:t>
      </w:r>
      <w:r w:rsidR="0E4A91CD" w:rsidRPr="00625361">
        <w:t>Action plan on promoting the safety of children and adolescents on the Internet for the years 2017-2020.</w:t>
      </w:r>
      <w:r w:rsidR="008A41B8">
        <w:t xml:space="preserve"> </w:t>
      </w:r>
      <w:bookmarkEnd w:id="239"/>
      <w:r w:rsidR="25DB5333">
        <w:t xml:space="preserve">This Action Plan </w:t>
      </w:r>
      <w:r w:rsidR="008A41B8">
        <w:t xml:space="preserve">aimed to promote the safety of children online </w:t>
      </w:r>
      <w:r w:rsidR="00101B7A">
        <w:t xml:space="preserve">which involved </w:t>
      </w:r>
      <w:r w:rsidR="008A41B8">
        <w:t>a diverse spectrum of public authorities and institutions.</w:t>
      </w:r>
      <w:r w:rsidR="00625361">
        <w:rPr>
          <w:rStyle w:val="FootnoteReference"/>
        </w:rPr>
        <w:footnoteReference w:id="50"/>
      </w:r>
      <w:r w:rsidR="008A41B8">
        <w:t xml:space="preserve"> The document was approved </w:t>
      </w:r>
      <w:r w:rsidR="00101B7A">
        <w:t xml:space="preserve">in 2017 </w:t>
      </w:r>
      <w:r w:rsidR="008A41B8">
        <w:t xml:space="preserve">in the context of the media coverage of an online game dangerous for children, which has upset the public opinion and the whole child </w:t>
      </w:r>
      <w:r w:rsidR="008A41B8">
        <w:lastRenderedPageBreak/>
        <w:t>protection system, the legal system and the education system, signaling the need for urgent measures and strengthened to prevent similar situations.</w:t>
      </w:r>
      <w:r w:rsidR="00F0053F">
        <w:rPr>
          <w:rStyle w:val="FootnoteReference"/>
        </w:rPr>
        <w:footnoteReference w:id="51"/>
      </w:r>
    </w:p>
    <w:p w14:paraId="6739EEC6" w14:textId="32BB2203" w:rsidR="00101B7A" w:rsidRDefault="00C830D0" w:rsidP="00CF67DA">
      <w:pPr>
        <w:jc w:val="both"/>
      </w:pPr>
      <w:r>
        <w:t>The Action plan aimed to reduce illegal content on the Internet, promote a safer digital environment for children and adolescents, raise awareness and inform the parties in direct contact with children about the risks of the online environment, make recommendations on safe Internet browsing, develop statistics and promote research on the online safety of children and adolescents.</w:t>
      </w:r>
      <w:r w:rsidR="00F0053F">
        <w:rPr>
          <w:rStyle w:val="FootnoteReference"/>
        </w:rPr>
        <w:footnoteReference w:id="52"/>
      </w:r>
    </w:p>
    <w:p w14:paraId="4765C829" w14:textId="4F6A445B" w:rsidR="008A41B8" w:rsidRPr="00DF4AF5" w:rsidRDefault="00246814" w:rsidP="00CF67DA">
      <w:pPr>
        <w:jc w:val="both"/>
      </w:pPr>
      <w:r>
        <w:t>Th</w:t>
      </w:r>
      <w:r w:rsidR="66FE00D3">
        <w:t>e</w:t>
      </w:r>
      <w:r w:rsidR="00625361">
        <w:t xml:space="preserve"> </w:t>
      </w:r>
      <w:r>
        <w:t xml:space="preserve">Action plan </w:t>
      </w:r>
      <w:bookmarkStart w:id="240" w:name="_Hlk78301486"/>
      <w:r>
        <w:t>laid the groundwork for the first joint efforts to protect children from online dangers as p</w:t>
      </w:r>
      <w:r w:rsidR="008A41B8">
        <w:t>rior to it</w:t>
      </w:r>
      <w:r>
        <w:t xml:space="preserve"> </w:t>
      </w:r>
      <w:r w:rsidR="008A41B8">
        <w:t xml:space="preserve">several </w:t>
      </w:r>
      <w:r w:rsidR="00101B7A">
        <w:t xml:space="preserve">parallel and fragmented efforts were undertaken by public authorities. </w:t>
      </w:r>
      <w:bookmarkStart w:id="241" w:name="_Hlk78301515"/>
      <w:bookmarkEnd w:id="240"/>
      <w:r w:rsidR="00101B7A">
        <w:t>These</w:t>
      </w:r>
      <w:r>
        <w:t xml:space="preserve"> efforts included</w:t>
      </w:r>
      <w:r w:rsidR="008A41B8">
        <w:t xml:space="preserve"> “Digital Moldova 2020” </w:t>
      </w:r>
      <w:r w:rsidR="00101B7A">
        <w:t>Strategy</w:t>
      </w:r>
      <w:r>
        <w:t xml:space="preserve"> and</w:t>
      </w:r>
      <w:r w:rsidR="00101B7A">
        <w:t xml:space="preserve"> the National Cyber Security Program that </w:t>
      </w:r>
      <w:r w:rsidR="008A41B8">
        <w:t>touched upon this issue</w:t>
      </w:r>
      <w:r w:rsidR="00101B7A">
        <w:t>.</w:t>
      </w:r>
    </w:p>
    <w:bookmarkEnd w:id="241"/>
    <w:p w14:paraId="26BCA9BC" w14:textId="5BBC8ED1" w:rsidR="008A41B8" w:rsidRPr="00DF4AF5" w:rsidRDefault="008A41B8" w:rsidP="00CF67DA">
      <w:pPr>
        <w:jc w:val="both"/>
      </w:pPr>
      <w:r w:rsidRPr="00DF4AF5">
        <w:t xml:space="preserve">The National Cyber Security Program of the Republic of Moldova </w:t>
      </w:r>
      <w:bookmarkStart w:id="242" w:name="_Hlk78301591"/>
      <w:r w:rsidRPr="00DF4AF5">
        <w:t xml:space="preserve">for the years 2016-2020 </w:t>
      </w:r>
      <w:bookmarkEnd w:id="242"/>
      <w:r w:rsidRPr="00DF4AF5">
        <w:t xml:space="preserve">and Action Plan on its implementation </w:t>
      </w:r>
      <w:r w:rsidR="00101B7A">
        <w:t>covered</w:t>
      </w:r>
      <w:r w:rsidRPr="00DF4AF5">
        <w:t xml:space="preserve"> the crime of child pornography in the category of cybercrime, referring in this regard to the provisions of the Council of Europe Convention on Cybercrime, adopted in Budapest on 23 November 2001. </w:t>
      </w:r>
      <w:r w:rsidR="00246814">
        <w:t>Besides, o</w:t>
      </w:r>
      <w:r w:rsidRPr="00DF4AF5">
        <w:t xml:space="preserve">ne of the program priorities establishes </w:t>
      </w:r>
      <w:r w:rsidR="00246814">
        <w:t xml:space="preserve">the </w:t>
      </w:r>
      <w:r w:rsidRPr="00DF4AF5">
        <w:t>“Adjustment of national legislation to the provisions of the Council of Europe Convention for the Protection of Children against Sexual Exploitation and Abuse and of the Additional Protocol to the Convention (Lanzarote, October 25, 2007)”.</w:t>
      </w:r>
      <w:r w:rsidR="00F0053F">
        <w:rPr>
          <w:rStyle w:val="FootnoteReference"/>
        </w:rPr>
        <w:footnoteReference w:id="53"/>
      </w:r>
    </w:p>
    <w:p w14:paraId="2EC846CC" w14:textId="208DA5ED" w:rsidR="008A41B8" w:rsidRDefault="12F2431D" w:rsidP="00CF67DA">
      <w:pPr>
        <w:jc w:val="both"/>
      </w:pPr>
      <w:r>
        <w:t>Moreover</w:t>
      </w:r>
      <w:r w:rsidR="00246814">
        <w:t xml:space="preserve">, </w:t>
      </w:r>
      <w:bookmarkStart w:id="243" w:name="_Hlk78301565"/>
      <w:r w:rsidR="00246814">
        <w:t>the</w:t>
      </w:r>
      <w:r w:rsidR="008A41B8">
        <w:t xml:space="preserve"> Information Security Strategy of the Republic of Moldova for 2019-2024 </w:t>
      </w:r>
      <w:bookmarkEnd w:id="243"/>
      <w:r w:rsidR="008A41B8">
        <w:t>and Action Plan for its implementation pointed on a series of barriers and regulatory gaps in the field of preventing and combating cybercrime. Among its objectives is the "Protection of children from any form of abuse in the online space". For this purpose, the work is being done for combating the phenomena of child pornography and sexual harassment of children through the Internet, as well as promoting a safer Internet for children through online counselors and encouraging reporting through specialized information projects.</w:t>
      </w:r>
      <w:r w:rsidR="00AE05B2">
        <w:rPr>
          <w:rStyle w:val="FootnoteReference"/>
        </w:rPr>
        <w:footnoteReference w:id="54"/>
      </w:r>
    </w:p>
    <w:p w14:paraId="550A9D86" w14:textId="77777777" w:rsidR="009D322E" w:rsidRPr="00DF4AF5" w:rsidRDefault="009D322E" w:rsidP="009D322E">
      <w:pPr>
        <w:jc w:val="both"/>
      </w:pPr>
      <w:bookmarkStart w:id="244" w:name="_Hlk78301621"/>
      <w:r>
        <w:t xml:space="preserve">These </w:t>
      </w:r>
      <w:r w:rsidRPr="00DF4AF5">
        <w:t>policy documents governing actions to promote online child safety have a rather complex approach with actions planned in different areas of competence</w:t>
      </w:r>
      <w:r>
        <w:t xml:space="preserve">. </w:t>
      </w:r>
      <w:r w:rsidRPr="00DF4AF5">
        <w:t>However, each of the policy documents has its own coordination mechanism and they are not interconnected. There is no single entity in charge of coordinating all online child safety efforts, which makes the monitoring and evaluation process inefficient.</w:t>
      </w:r>
    </w:p>
    <w:p w14:paraId="080AD5F1" w14:textId="729CC6CD" w:rsidR="009D322E" w:rsidRPr="00DF4AF5" w:rsidRDefault="009D322E" w:rsidP="009D322E">
      <w:pPr>
        <w:jc w:val="both"/>
      </w:pPr>
      <w:bookmarkStart w:id="245" w:name="_Hlk78301681"/>
      <w:bookmarkEnd w:id="244"/>
      <w:r>
        <w:lastRenderedPageBreak/>
        <w:t>Besides, s</w:t>
      </w:r>
      <w:r w:rsidRPr="00DF4AF5">
        <w:t xml:space="preserve">ome mechanisms for reporting illegal online content are missing and the only web platform for advice and information about online safety currently available, </w:t>
      </w:r>
      <w:hyperlink r:id="rId24" w:history="1">
        <w:r w:rsidRPr="00DF4AF5">
          <w:t>www.siguronline.md</w:t>
        </w:r>
      </w:hyperlink>
      <w:r w:rsidRPr="00DF4AF5">
        <w:t>, is managed by a non-governmental organization „La Strada”</w:t>
      </w:r>
      <w:r>
        <w:t>.</w:t>
      </w:r>
    </w:p>
    <w:p w14:paraId="181BA400" w14:textId="4CB970DE" w:rsidR="00016DD0" w:rsidRDefault="008A41B8" w:rsidP="00237D2C">
      <w:pPr>
        <w:jc w:val="both"/>
      </w:pPr>
      <w:bookmarkStart w:id="246" w:name="_Hlk78301728"/>
      <w:bookmarkEnd w:id="245"/>
      <w:r>
        <w:t>In order to change this negative trend,</w:t>
      </w:r>
      <w:r w:rsidR="4798F2F5">
        <w:t xml:space="preserve"> </w:t>
      </w:r>
      <w:r>
        <w:t xml:space="preserve">multiple activities are held in order to inform children, their parents and teachers about the dangers and available means of talking the online safety issues. </w:t>
      </w:r>
      <w:r w:rsidR="5B929781">
        <w:t>O</w:t>
      </w:r>
      <w:r>
        <w:t xml:space="preserve">ne example </w:t>
      </w:r>
      <w:proofErr w:type="gramStart"/>
      <w:r>
        <w:t>of  awareness</w:t>
      </w:r>
      <w:proofErr w:type="gramEnd"/>
      <w:r>
        <w:t xml:space="preserve"> r</w:t>
      </w:r>
      <w:r w:rsidR="56727A51">
        <w:t>a</w:t>
      </w:r>
      <w:r>
        <w:t xml:space="preserve">ising events is the Safer Internet Day in Moldova which is organized on the yearly basis since 2004. </w:t>
      </w:r>
      <w:r w:rsidR="00AE05B2">
        <w:t xml:space="preserve">Since then, multiple government authorities, donors, academia, </w:t>
      </w:r>
      <w:r w:rsidR="00AE05B2" w:rsidRPr="00AE05B2">
        <w:t xml:space="preserve">NGOs </w:t>
      </w:r>
      <w:r w:rsidR="00AE05B2">
        <w:t>and</w:t>
      </w:r>
      <w:r w:rsidR="00AE05B2" w:rsidRPr="00AE05B2">
        <w:t xml:space="preserve"> ICT companies</w:t>
      </w:r>
      <w:r w:rsidR="00AE05B2">
        <w:t xml:space="preserve"> were supporting this initiative.</w:t>
      </w:r>
    </w:p>
    <w:p w14:paraId="789520C2" w14:textId="1F1A93E2" w:rsidR="006348C6" w:rsidRDefault="00016DD0" w:rsidP="00237D2C">
      <w:pPr>
        <w:jc w:val="both"/>
      </w:pPr>
      <w:bookmarkStart w:id="247" w:name="_Hlk78301704"/>
      <w:bookmarkEnd w:id="246"/>
      <w:r>
        <w:t>I</w:t>
      </w:r>
      <w:r w:rsidR="00AE05B2">
        <w:t xml:space="preserve">n 2019, the </w:t>
      </w:r>
      <w:r w:rsidR="00AE05B2" w:rsidRPr="00AE05B2">
        <w:t>International Centre "La Strada" has become the official national representative of the SID initiative</w:t>
      </w:r>
      <w:r w:rsidR="00AE05B2">
        <w:t>,</w:t>
      </w:r>
      <w:r w:rsidR="00AE05B2" w:rsidRPr="00AE05B2">
        <w:t xml:space="preserve"> and </w:t>
      </w:r>
      <w:r w:rsidR="00AE05B2">
        <w:t>was</w:t>
      </w:r>
      <w:r w:rsidR="00AE05B2" w:rsidRPr="00AE05B2">
        <w:t xml:space="preserve"> accepted as a SID Committee in the Republic of Moldova.</w:t>
      </w:r>
      <w:r w:rsidR="008307EC">
        <w:rPr>
          <w:rStyle w:val="FootnoteReference"/>
        </w:rPr>
        <w:footnoteReference w:id="55"/>
      </w:r>
      <w:r>
        <w:t xml:space="preserve"> </w:t>
      </w:r>
      <w:bookmarkEnd w:id="247"/>
      <w:r w:rsidR="00237D2C">
        <w:t xml:space="preserve">In that year, on the Safer Internet Day, La Strada launched a contest for teachers to encourage them to conduct creative activities with children and young people about safety online. During the whole month, teachers conducted informational activities for more than 2 000 children from 17 schools from around the country. In 2017, La Strada also published the National Study on Children's </w:t>
      </w:r>
      <w:proofErr w:type="spellStart"/>
      <w:r w:rsidR="00237D2C">
        <w:t>Behaviour</w:t>
      </w:r>
      <w:proofErr w:type="spellEnd"/>
      <w:r w:rsidR="00237D2C">
        <w:t xml:space="preserve"> online.</w:t>
      </w:r>
    </w:p>
    <w:p w14:paraId="43D0CA26" w14:textId="32F6C03A" w:rsidR="009D322E" w:rsidRDefault="009D322E" w:rsidP="009D322E">
      <w:pPr>
        <w:jc w:val="both"/>
      </w:pPr>
      <w:r>
        <w:t xml:space="preserve">The Guide for Parents was developed and presented during a workshop that aimed to empower parents to better understand their child's </w:t>
      </w:r>
      <w:proofErr w:type="spellStart"/>
      <w:r>
        <w:t>behaviour</w:t>
      </w:r>
      <w:proofErr w:type="spellEnd"/>
      <w:r>
        <w:t xml:space="preserve"> on social networks and encourage them to support their child's safe experience online.</w:t>
      </w:r>
    </w:p>
    <w:p w14:paraId="3F39401F" w14:textId="09BB8002" w:rsidR="009D322E" w:rsidRDefault="009D322E" w:rsidP="009D322E">
      <w:pPr>
        <w:jc w:val="both"/>
      </w:pPr>
      <w:r w:rsidRPr="00F56598">
        <w:t xml:space="preserve">The "Intersection" </w:t>
      </w:r>
      <w:proofErr w:type="spellStart"/>
      <w:r w:rsidRPr="00F56598">
        <w:t>programme</w:t>
      </w:r>
      <w:proofErr w:type="spellEnd"/>
      <w:r w:rsidRPr="00F56598">
        <w:t>, implemented by the La Strada, created the community of teachers</w:t>
      </w:r>
      <w:r w:rsidRPr="00F56598">
        <w:br/>
        <w:t>in child online protection, with representatives of more than 60 educational institutions throughout</w:t>
      </w:r>
      <w:r w:rsidRPr="00F56598">
        <w:br/>
        <w:t>the Republic of Moldova. With the support of community teachers in 2019, activities were carried</w:t>
      </w:r>
      <w:r w:rsidRPr="00F56598">
        <w:br/>
        <w:t>out for more than 2 000 children and adolescents across the country.</w:t>
      </w:r>
    </w:p>
    <w:p w14:paraId="441622FB" w14:textId="3DC39291" w:rsidR="00237D2C" w:rsidRDefault="00237D2C" w:rsidP="009D322E">
      <w:pPr>
        <w:jc w:val="both"/>
      </w:pPr>
      <w:r w:rsidRPr="00F56598">
        <w:t xml:space="preserve">In 2019, IREX Europe </w:t>
      </w:r>
      <w:proofErr w:type="spellStart"/>
      <w:r w:rsidRPr="00F56598">
        <w:t>organised</w:t>
      </w:r>
      <w:proofErr w:type="spellEnd"/>
      <w:r w:rsidRPr="00F56598">
        <w:t xml:space="preserve"> Multimedia Connector for Youth. This was a combination of exercises</w:t>
      </w:r>
      <w:r w:rsidRPr="00F56598">
        <w:br/>
        <w:t>and presentations, workshops and projections on civic activism and citizen journalism, media education</w:t>
      </w:r>
      <w:r w:rsidRPr="00F56598">
        <w:br/>
        <w:t>and online safety for 160 young people from across Moldova</w:t>
      </w:r>
      <w:r w:rsidRPr="00237D2C">
        <w:rPr>
          <w:rFonts w:ascii="Calibri-Light" w:hAnsi="Calibri-Light"/>
          <w:color w:val="403F41"/>
        </w:rPr>
        <w:t>.</w:t>
      </w:r>
      <w:r w:rsidRPr="00237D2C">
        <w:rPr>
          <w:rStyle w:val="FootnoteReference"/>
        </w:rPr>
        <w:t xml:space="preserve"> </w:t>
      </w:r>
      <w:r>
        <w:rPr>
          <w:rStyle w:val="FootnoteReference"/>
        </w:rPr>
        <w:footnoteReference w:id="56"/>
      </w:r>
    </w:p>
    <w:p w14:paraId="6DE00FF8" w14:textId="012BDD7A" w:rsidR="009D322E" w:rsidRDefault="009D322E" w:rsidP="009D322E">
      <w:pPr>
        <w:jc w:val="both"/>
      </w:pPr>
      <w:r>
        <w:t xml:space="preserve">Besides, 12 educational video materials on 6 topics produced in two languages (Romanian and Russian) are currently being developed by </w:t>
      </w:r>
      <w:r w:rsidRPr="00ED3120">
        <w:t>„La Strada”</w:t>
      </w:r>
      <w:r>
        <w:t xml:space="preserve"> with the support UNICEF. This 15-minute video lessons designed in an attractive and child-friendly format will help raise awareness of children of the different ages.</w:t>
      </w:r>
    </w:p>
    <w:p w14:paraId="66A216C8" w14:textId="2CC76EB4" w:rsidR="008A41B8" w:rsidRDefault="006348C6" w:rsidP="00CF67DA">
      <w:pPr>
        <w:jc w:val="both"/>
      </w:pPr>
      <w:r>
        <w:lastRenderedPageBreak/>
        <w:t>In 2020, t</w:t>
      </w:r>
      <w:r w:rsidR="008A41B8" w:rsidRPr="007934E1">
        <w:t xml:space="preserve">he online counselling service </w:t>
      </w:r>
      <w:r w:rsidR="00DF4AF5">
        <w:t>“</w:t>
      </w:r>
      <w:r w:rsidR="008A41B8" w:rsidRPr="007934E1">
        <w:t>www.siguronline.md</w:t>
      </w:r>
      <w:r w:rsidR="00DF4AF5">
        <w:t>”</w:t>
      </w:r>
      <w:r w:rsidR="008A41B8" w:rsidRPr="007934E1">
        <w:t xml:space="preserve"> recorded a total of </w:t>
      </w:r>
      <w:bookmarkStart w:id="248" w:name="_Hlk75181836"/>
      <w:r w:rsidR="008A41B8" w:rsidRPr="007934E1">
        <w:t xml:space="preserve">2863 enquiries </w:t>
      </w:r>
      <w:bookmarkEnd w:id="248"/>
      <w:r>
        <w:t xml:space="preserve">from </w:t>
      </w:r>
      <w:r w:rsidRPr="007934E1">
        <w:t xml:space="preserve">children and adults </w:t>
      </w:r>
      <w:r>
        <w:t>which got the support in</w:t>
      </w:r>
      <w:r w:rsidR="008A41B8" w:rsidRPr="007934E1">
        <w:t xml:space="preserve"> child </w:t>
      </w:r>
      <w:r w:rsidRPr="007934E1">
        <w:t xml:space="preserve">online </w:t>
      </w:r>
      <w:r w:rsidR="008A41B8" w:rsidRPr="007934E1">
        <w:t>safety</w:t>
      </w:r>
      <w:r>
        <w:t xml:space="preserve"> issues. This number of </w:t>
      </w:r>
      <w:r w:rsidR="00625361">
        <w:t>inquiries</w:t>
      </w:r>
      <w:r>
        <w:t xml:space="preserve"> is 5 times higher compared to 2019.</w:t>
      </w:r>
      <w:r w:rsidR="00213384" w:rsidRPr="00213384">
        <w:rPr>
          <w:vertAlign w:val="superscript"/>
        </w:rPr>
        <w:t xml:space="preserve"> </w:t>
      </w:r>
      <w:r w:rsidR="00213384" w:rsidRPr="00DF4AF5">
        <w:rPr>
          <w:vertAlign w:val="superscript"/>
        </w:rPr>
        <w:footnoteReference w:id="57"/>
      </w:r>
    </w:p>
    <w:p w14:paraId="06441269" w14:textId="5AC0BB2F" w:rsidR="00FD3F27" w:rsidRPr="00DF4AF5" w:rsidRDefault="00FD3F27" w:rsidP="00FD3F27">
      <w:pPr>
        <w:jc w:val="both"/>
      </w:pPr>
      <w:r>
        <w:t xml:space="preserve">Meanwhile, the </w:t>
      </w:r>
      <w:r w:rsidRPr="00DF4AF5">
        <w:t>alarming statistic</w:t>
      </w:r>
      <w:r>
        <w:t xml:space="preserve">s is </w:t>
      </w:r>
      <w:r w:rsidR="009D322E">
        <w:t xml:space="preserve">still </w:t>
      </w:r>
      <w:r>
        <w:t xml:space="preserve">featuring the urgent need for intensifying the measures to ensure </w:t>
      </w:r>
      <w:r w:rsidRPr="00195894">
        <w:t>online child safety</w:t>
      </w:r>
      <w:r>
        <w:t xml:space="preserve">. It </w:t>
      </w:r>
      <w:r w:rsidRPr="00DF4AF5">
        <w:t>provid</w:t>
      </w:r>
      <w:r>
        <w:t>es</w:t>
      </w:r>
      <w:r w:rsidRPr="00DF4AF5">
        <w:t xml:space="preserve"> that between 2014 and 2018</w:t>
      </w:r>
      <w:r>
        <w:t xml:space="preserve">, </w:t>
      </w:r>
      <w:r w:rsidRPr="00DF4AF5">
        <w:t>the number of blocked URLs with material representing sexual abuse of children tripled from 31 226 to 105047. In 2019 were recorded 10516 materials of CSAM from Moldova</w:t>
      </w:r>
      <w:r>
        <w:t xml:space="preserve"> and </w:t>
      </w:r>
      <w:r w:rsidRPr="00DF4AF5">
        <w:t>49 criminal cases referring to sexual abuse of sexual exploitation online of minors were recorded by the police.</w:t>
      </w:r>
      <w:r w:rsidRPr="00DF4AF5">
        <w:rPr>
          <w:vertAlign w:val="superscript"/>
        </w:rPr>
        <w:footnoteReference w:id="58"/>
      </w:r>
    </w:p>
    <w:p w14:paraId="2F52BB80" w14:textId="7C3B559D" w:rsidR="32CAAFE1" w:rsidRDefault="32CAAFE1" w:rsidP="02567566">
      <w:pPr>
        <w:jc w:val="both"/>
      </w:pPr>
      <w:bookmarkStart w:id="249" w:name="_Hlk78301817"/>
      <w:r>
        <w:t>Through its COP Guidelines, ITU is supporting countries in Europe and beyond to adopt a strategic and holistic approach to child online protection that brings all components together at the country level, as well as to provide expert guidance on the various dimensions of COP, including for children, parents and educators, industry and policymakers.</w:t>
      </w:r>
      <w:r w:rsidRPr="02567566">
        <w:rPr>
          <w:rStyle w:val="FootnoteReference"/>
          <w:rFonts w:ascii="Calibri" w:eastAsia="Calibri" w:hAnsi="Calibri" w:cs="Calibri"/>
        </w:rPr>
        <w:footnoteReference w:id="59"/>
      </w:r>
    </w:p>
    <w:p w14:paraId="5BCE1856" w14:textId="2AC75363" w:rsidR="02567566" w:rsidRDefault="006627E4" w:rsidP="02567566">
      <w:pPr>
        <w:jc w:val="both"/>
      </w:pPr>
      <w:r>
        <w:t>For a smooth implementation of the</w:t>
      </w:r>
      <w:r w:rsidRPr="006627E4">
        <w:t xml:space="preserve"> ITU Child Online Protection Guidelines</w:t>
      </w:r>
      <w:r w:rsidR="00B84FB4">
        <w:t>,</w:t>
      </w:r>
      <w:r w:rsidRPr="006627E4">
        <w:t xml:space="preserve"> </w:t>
      </w:r>
      <w:r>
        <w:t>the</w:t>
      </w:r>
      <w:r w:rsidRPr="006627E4">
        <w:t xml:space="preserve"> following strategic and operational recommendations </w:t>
      </w:r>
      <w:r>
        <w:t>are provided:</w:t>
      </w:r>
    </w:p>
    <w:bookmarkEnd w:id="249"/>
    <w:p w14:paraId="077A87D5" w14:textId="2976740F" w:rsidR="00213384" w:rsidRDefault="00213384" w:rsidP="00FF052E">
      <w:pPr>
        <w:pStyle w:val="ListParagraph"/>
        <w:numPr>
          <w:ilvl w:val="0"/>
          <w:numId w:val="27"/>
        </w:numPr>
        <w:jc w:val="both"/>
      </w:pPr>
      <w:r>
        <w:t>As several public policy documents that regulated child online protection expired, it becomes imperative to plan actions in order to continue efforts in the field.</w:t>
      </w:r>
    </w:p>
    <w:p w14:paraId="5E5413F8" w14:textId="77777777" w:rsidR="00213384" w:rsidRDefault="00213384" w:rsidP="00213384">
      <w:pPr>
        <w:pStyle w:val="ListParagraph"/>
        <w:numPr>
          <w:ilvl w:val="0"/>
          <w:numId w:val="27"/>
        </w:numPr>
        <w:jc w:val="both"/>
      </w:pPr>
      <w:r>
        <w:t>In the process of developing online child safety policies, it is necessary to involve the representatives of all public authorities and institutions concerned in the elaboration of the policies in the field. This will provide stakeholders with the same level of understanding of the subject and make them willing to assume responsibility through participation.</w:t>
      </w:r>
    </w:p>
    <w:p w14:paraId="18EA5E0A" w14:textId="77777777" w:rsidR="00213384" w:rsidRDefault="00213384" w:rsidP="00213384">
      <w:pPr>
        <w:pStyle w:val="ListParagraph"/>
        <w:numPr>
          <w:ilvl w:val="0"/>
          <w:numId w:val="27"/>
        </w:numPr>
        <w:jc w:val="both"/>
      </w:pPr>
      <w:r>
        <w:t>For the next cycle of policies, it is necessary to establish an appropriate inter-institutional coordination mechanism in the field of child protection against online risks, but also to ensure policy coherence between different planned measures / actions in policy documents.</w:t>
      </w:r>
    </w:p>
    <w:p w14:paraId="7E3A0457" w14:textId="77777777" w:rsidR="00213384" w:rsidRDefault="00213384" w:rsidP="00213384">
      <w:pPr>
        <w:pStyle w:val="ListParagraph"/>
        <w:numPr>
          <w:ilvl w:val="0"/>
          <w:numId w:val="27"/>
        </w:numPr>
        <w:jc w:val="both"/>
      </w:pPr>
      <w:r>
        <w:t>In the process of developing online child safety policies, it is important to adopt internationally recommended model of public policies, and take into account the international commitments made by signing international treaties. This will include ensuring a comprehensive and appropriate approach based on international recommendations of the Lanzarote Convention and Budapest Convention, as well as updating the partnership and commitments with “</w:t>
      </w:r>
      <w:proofErr w:type="spellStart"/>
      <w:r>
        <w:t>WeProtect</w:t>
      </w:r>
      <w:proofErr w:type="spellEnd"/>
      <w:r>
        <w:t>” by signing the new Recommended Policy Model for preventing and combating online sexual abuse and exploitation.</w:t>
      </w:r>
    </w:p>
    <w:p w14:paraId="428014E3" w14:textId="77777777" w:rsidR="00213384" w:rsidRDefault="00213384" w:rsidP="00213384">
      <w:pPr>
        <w:pStyle w:val="ListParagraph"/>
        <w:numPr>
          <w:ilvl w:val="0"/>
          <w:numId w:val="27"/>
        </w:numPr>
        <w:jc w:val="both"/>
      </w:pPr>
      <w:r>
        <w:t xml:space="preserve">Government authorities should empower children and develop their resilience to online abuse by reviewing the school curriculum and educational policies, integrating the safety of children online in the programs of continuous professional training of teachers, and implementing parenting skills </w:t>
      </w:r>
      <w:r>
        <w:lastRenderedPageBreak/>
        <w:t>development programs that take into account the benefits and risks associated with the use of ICT.</w:t>
      </w:r>
    </w:p>
    <w:p w14:paraId="1387458D" w14:textId="77777777" w:rsidR="00213384" w:rsidRDefault="00213384" w:rsidP="00213384">
      <w:pPr>
        <w:pStyle w:val="ListParagraph"/>
        <w:numPr>
          <w:ilvl w:val="0"/>
          <w:numId w:val="27"/>
        </w:numPr>
        <w:jc w:val="both"/>
      </w:pPr>
      <w:r>
        <w:t>Justice system response to the sexual abuse and sexual exploitation of children online shall be improved by maintaining the specialization of the structures within the prosecutor's office and the police bodies responsible for investigating and carrying out criminal prosecutions in cases of online sexual abuse and exploitation.</w:t>
      </w:r>
    </w:p>
    <w:p w14:paraId="40D66018" w14:textId="77777777" w:rsidR="00213384" w:rsidRDefault="00213384" w:rsidP="00213384">
      <w:pPr>
        <w:pStyle w:val="ListParagraph"/>
        <w:numPr>
          <w:ilvl w:val="0"/>
          <w:numId w:val="27"/>
        </w:numPr>
        <w:jc w:val="both"/>
      </w:pPr>
      <w:r>
        <w:t>The capacity of the law enforcement entities should be strengthened by developing guidelines on conducting criminal investigation and prosecution of crimes involving sexual abuse and sexual exploitation online and training them in this field particularly focusing on the interests of the child in criminal proceedings.</w:t>
      </w:r>
    </w:p>
    <w:p w14:paraId="259D2879" w14:textId="0AC1E163" w:rsidR="006627E4" w:rsidRDefault="00213384" w:rsidP="00016DD0">
      <w:pPr>
        <w:pStyle w:val="ListParagraph"/>
        <w:numPr>
          <w:ilvl w:val="0"/>
          <w:numId w:val="27"/>
        </w:numPr>
        <w:jc w:val="both"/>
      </w:pPr>
      <w:r>
        <w:t>Professional training of specialists in contact with the child must be provided through vocational training of specialists in the child protection system, developing the capacities of professionals in contact with children, developing institutional policies to promote online safety and instructions for specialists in the child protection system and the education system on identifying and reporting cases of online sexual abuse of children to the police.</w:t>
      </w:r>
      <w:r>
        <w:rPr>
          <w:rStyle w:val="FootnoteReference"/>
        </w:rPr>
        <w:footnoteReference w:id="60"/>
      </w:r>
    </w:p>
    <w:p w14:paraId="778C9155" w14:textId="77777777" w:rsidR="006627E4" w:rsidRDefault="006627E4" w:rsidP="02567566">
      <w:pPr>
        <w:jc w:val="both"/>
      </w:pPr>
    </w:p>
    <w:p w14:paraId="19D61115" w14:textId="42B0E2C4" w:rsidR="00AF54C3" w:rsidRPr="00CF67DA" w:rsidRDefault="00483F67" w:rsidP="00CF67DA">
      <w:pPr>
        <w:pStyle w:val="Heading2"/>
      </w:pPr>
      <w:bookmarkStart w:id="250" w:name="_Toc74850938"/>
      <w:r w:rsidRPr="00CF67DA">
        <w:t xml:space="preserve">2.3 </w:t>
      </w:r>
      <w:r w:rsidR="002E7B10" w:rsidRPr="00CF67DA">
        <w:tab/>
      </w:r>
      <w:r w:rsidR="4DDC3DE4" w:rsidRPr="00CF67DA">
        <w:t xml:space="preserve">Building block 3 - </w:t>
      </w:r>
      <w:r w:rsidR="00AF54C3" w:rsidRPr="00CF67DA">
        <w:t>Government centric</w:t>
      </w:r>
      <w:r w:rsidR="00AB79B0" w:rsidRPr="00CF67DA">
        <w:t xml:space="preserve"> digital transformation</w:t>
      </w:r>
      <w:bookmarkEnd w:id="250"/>
      <w:r w:rsidR="00AB79B0" w:rsidRPr="00CF67DA">
        <w:t xml:space="preserve"> </w:t>
      </w:r>
    </w:p>
    <w:p w14:paraId="7DBFAC23" w14:textId="49C28AAD" w:rsidR="00EF516A" w:rsidRDefault="004A0671" w:rsidP="00CF67DA">
      <w:pPr>
        <w:jc w:val="both"/>
      </w:pPr>
      <w:r>
        <w:t>One of the most important triggers of the digital transformation at the national level is the government’s approach to ICTs</w:t>
      </w:r>
      <w:r w:rsidR="00C86A33">
        <w:t xml:space="preserve"> for governance</w:t>
      </w:r>
      <w:r w:rsidR="67ACAD10">
        <w:t>,</w:t>
      </w:r>
      <w:r w:rsidR="00F7647E">
        <w:t xml:space="preserve"> </w:t>
      </w:r>
      <w:r w:rsidR="00C86A33">
        <w:t xml:space="preserve">administrative purposes </w:t>
      </w:r>
      <w:r w:rsidR="61067806">
        <w:t xml:space="preserve">and </w:t>
      </w:r>
      <w:r w:rsidR="004361A0">
        <w:t>the delivery</w:t>
      </w:r>
      <w:r w:rsidR="5DBB53BB">
        <w:t xml:space="preserve"> of</w:t>
      </w:r>
      <w:r w:rsidR="00C86A33">
        <w:t xml:space="preserve"> public services online</w:t>
      </w:r>
      <w:r w:rsidR="00D8616B">
        <w:t>.</w:t>
      </w:r>
    </w:p>
    <w:p w14:paraId="224155E0" w14:textId="181B8B9A" w:rsidR="00D8616B" w:rsidRDefault="00D8616B" w:rsidP="00CF67DA">
      <w:pPr>
        <w:jc w:val="both"/>
      </w:pPr>
      <w:r>
        <w:t xml:space="preserve">This section will look at </w:t>
      </w:r>
      <w:r w:rsidR="222F7CFB">
        <w:t>(</w:t>
      </w:r>
      <w:proofErr w:type="spellStart"/>
      <w:r>
        <w:t>i</w:t>
      </w:r>
      <w:proofErr w:type="spellEnd"/>
      <w:r>
        <w:t xml:space="preserve">) the general approach to e-government in </w:t>
      </w:r>
      <w:r w:rsidR="004361A0">
        <w:t>Moldova</w:t>
      </w:r>
      <w:r>
        <w:t xml:space="preserve"> and </w:t>
      </w:r>
      <w:r w:rsidR="04758D33">
        <w:t>(</w:t>
      </w:r>
      <w:r>
        <w:t xml:space="preserve">ii) </w:t>
      </w:r>
      <w:r w:rsidR="77052E77">
        <w:t xml:space="preserve">an example of </w:t>
      </w:r>
      <w:r w:rsidR="00750283">
        <w:t xml:space="preserve">the specific approach used with regards to use of ICTs in the education system from an administrative and </w:t>
      </w:r>
      <w:r w:rsidR="441FB9B3">
        <w:t xml:space="preserve">service </w:t>
      </w:r>
      <w:r w:rsidR="00750283">
        <w:t>delivery perspective.</w:t>
      </w:r>
    </w:p>
    <w:p w14:paraId="607E90E8" w14:textId="627BAC62" w:rsidR="7B980892" w:rsidRPr="00CF67DA" w:rsidRDefault="00483F67" w:rsidP="00CF67DA">
      <w:pPr>
        <w:pStyle w:val="Heading3"/>
      </w:pPr>
      <w:bookmarkStart w:id="251" w:name="_Toc74850939"/>
      <w:r w:rsidRPr="00CF67DA">
        <w:t xml:space="preserve">2.3.1 </w:t>
      </w:r>
      <w:r w:rsidR="7B980892" w:rsidRPr="00CF67DA">
        <w:t>E-government policy</w:t>
      </w:r>
      <w:bookmarkEnd w:id="251"/>
    </w:p>
    <w:p w14:paraId="70D21CF9" w14:textId="0EE9B0C4" w:rsidR="00A77D70" w:rsidRPr="00A77D70" w:rsidRDefault="00A77D70" w:rsidP="00CF67DA">
      <w:pPr>
        <w:jc w:val="both"/>
        <w:rPr>
          <w:b/>
          <w:bCs/>
        </w:rPr>
      </w:pPr>
      <w:r w:rsidRPr="00A77D70">
        <w:t xml:space="preserve">Moldova was already </w:t>
      </w:r>
      <w:r w:rsidR="30E3833A" w:rsidRPr="00A77D70">
        <w:t>pioneering</w:t>
      </w:r>
      <w:r w:rsidRPr="00A77D70">
        <w:t xml:space="preserve"> the Government digital transformation when countries in the region </w:t>
      </w:r>
      <w:r w:rsidR="7181F789" w:rsidRPr="00A77D70">
        <w:t>were at the first stages of considering it.</w:t>
      </w:r>
      <w:r w:rsidRPr="00A77D70">
        <w:t xml:space="preserve"> Yet, the 2020 e-Government Development Index</w:t>
      </w:r>
      <w:r>
        <w:rPr>
          <w:rStyle w:val="FootnoteReference"/>
        </w:rPr>
        <w:footnoteReference w:id="61"/>
      </w:r>
      <w:r w:rsidRPr="00A77D70">
        <w:t xml:space="preserve"> ranks the country 79th globally, which is 10 positions lower than in 2018. This evolution </w:t>
      </w:r>
      <w:r w:rsidR="00D71429">
        <w:t>highlighted</w:t>
      </w:r>
      <w:r w:rsidRPr="00A77D70">
        <w:t xml:space="preserve"> the slow rate of</w:t>
      </w:r>
      <w:r w:rsidR="00D71429">
        <w:t xml:space="preserve"> current</w:t>
      </w:r>
      <w:r w:rsidRPr="00A77D70">
        <w:t xml:space="preserve"> </w:t>
      </w:r>
      <w:r w:rsidR="00D71429">
        <w:t xml:space="preserve">e-government </w:t>
      </w:r>
      <w:r w:rsidRPr="00A77D70">
        <w:t>development in comparison with other countries.</w:t>
      </w:r>
    </w:p>
    <w:p w14:paraId="47AE68BA" w14:textId="77777777" w:rsidR="00A77D70" w:rsidRPr="00A77D70" w:rsidRDefault="00A77D70" w:rsidP="00CF67DA">
      <w:pPr>
        <w:jc w:val="both"/>
        <w:rPr>
          <w:b/>
          <w:bCs/>
        </w:rPr>
      </w:pPr>
      <w:r w:rsidRPr="00A77D70">
        <w:t xml:space="preserve">Even though the e-Government process in the Republic of Moldova was launched in 2006 with the approval of the e-Governance Concept, the implementation of it was on the pilot and experimental stage until 2010. In that year, the e-Government Center was created and the e-Government transformation project for 2011-2016 came to support it. </w:t>
      </w:r>
    </w:p>
    <w:p w14:paraId="08F4938C" w14:textId="021AE16C" w:rsidR="00A77D70" w:rsidRPr="00A77D70" w:rsidRDefault="00A77D70" w:rsidP="00CF67DA">
      <w:pPr>
        <w:jc w:val="both"/>
        <w:rPr>
          <w:b/>
          <w:bCs/>
        </w:rPr>
      </w:pPr>
      <w:r w:rsidRPr="00A77D70">
        <w:lastRenderedPageBreak/>
        <w:t xml:space="preserve">The Strategic Program for Technological Modernization of Government for 2011-2016 approved by the Government in 2011 set the framework for the future e-transformation process and put in place </w:t>
      </w:r>
      <w:r w:rsidR="00F372B0">
        <w:t xml:space="preserve">most of the </w:t>
      </w:r>
      <w:r w:rsidRPr="00A77D70">
        <w:t>critical elements of the system as: e-Transformation subdivisions in all central public administration authorities, the Government Data Portal “date.gov.md</w:t>
      </w:r>
      <w:r w:rsidR="00F372B0">
        <w:t xml:space="preserve">” </w:t>
      </w:r>
      <w:r w:rsidRPr="00A77D70">
        <w:t xml:space="preserve">(2011), one stop shop for all the public services “servicii.gov.md” (2012), digital mobile signature (2012), M-Cloud (2012), national </w:t>
      </w:r>
      <w:r w:rsidR="00AD03BE" w:rsidRPr="00AD03BE">
        <w:t xml:space="preserve">authentication system </w:t>
      </w:r>
      <w:r w:rsidRPr="00A77D70">
        <w:t>for accessing public electronic services “</w:t>
      </w:r>
      <w:proofErr w:type="spellStart"/>
      <w:r w:rsidRPr="00A77D70">
        <w:t>MPass</w:t>
      </w:r>
      <w:proofErr w:type="spellEnd"/>
      <w:r w:rsidRPr="00A77D70">
        <w:t>” (2013), government service for electronic payments “</w:t>
      </w:r>
      <w:proofErr w:type="spellStart"/>
      <w:r w:rsidRPr="00A77D70">
        <w:t>MPay</w:t>
      </w:r>
      <w:proofErr w:type="spellEnd"/>
      <w:r w:rsidRPr="00A77D70">
        <w:t>” (2013), government service for digital signature “</w:t>
      </w:r>
      <w:proofErr w:type="spellStart"/>
      <w:r w:rsidRPr="00A77D70">
        <w:t>MSign</w:t>
      </w:r>
      <w:proofErr w:type="spellEnd"/>
      <w:r w:rsidRPr="00A77D70">
        <w:t>” (2013), “e-Visa” (2014), and the government interoperability platform “</w:t>
      </w:r>
      <w:proofErr w:type="spellStart"/>
      <w:r w:rsidRPr="00A77D70">
        <w:t>MConnect</w:t>
      </w:r>
      <w:proofErr w:type="spellEnd"/>
      <w:r w:rsidRPr="00A77D70">
        <w:t>” (2014).</w:t>
      </w:r>
    </w:p>
    <w:p w14:paraId="29CD0B85" w14:textId="30DDC2DF" w:rsidR="00A77D70" w:rsidRPr="00A77D70" w:rsidRDefault="00A77D70" w:rsidP="00CF67DA">
      <w:pPr>
        <w:jc w:val="both"/>
        <w:rPr>
          <w:b/>
          <w:bCs/>
        </w:rPr>
      </w:pPr>
      <w:bookmarkStart w:id="252" w:name="_Hlk78305593"/>
      <w:r>
        <w:t xml:space="preserve">The e-Governance infrastructure implemented within this strategic </w:t>
      </w:r>
      <w:proofErr w:type="spellStart"/>
      <w:r>
        <w:t>program</w:t>
      </w:r>
      <w:r w:rsidR="7A06F7E2">
        <w:t>me</w:t>
      </w:r>
      <w:proofErr w:type="spellEnd"/>
      <w:r>
        <w:t xml:space="preserve"> boosted the public administration reform and changed the way public services are delivered. This process was guided by the National Program for Modernization of Public Services for 2014-2016 and the National Action Plan on reform of modernization of public services 2017-2021.</w:t>
      </w:r>
    </w:p>
    <w:p w14:paraId="3A3FC6DB" w14:textId="08C554DD" w:rsidR="00A77D70" w:rsidRPr="00A77D70" w:rsidRDefault="00A77D70" w:rsidP="00CF67DA">
      <w:pPr>
        <w:jc w:val="both"/>
        <w:rPr>
          <w:b/>
          <w:bCs/>
        </w:rPr>
      </w:pPr>
      <w:r>
        <w:t>In 2018, the Government with the</w:t>
      </w:r>
      <w:r w:rsidR="18D78B16">
        <w:t xml:space="preserve"> support of the</w:t>
      </w:r>
      <w:r>
        <w:t xml:space="preserve"> World Bank Group approved the project </w:t>
      </w:r>
      <w:r w:rsidR="00F372B0">
        <w:t>for</w:t>
      </w:r>
      <w:r>
        <w:t xml:space="preserve"> modernization of government services 2018-2023. It </w:t>
      </w:r>
      <w:r w:rsidR="00F372B0">
        <w:t xml:space="preserve">will </w:t>
      </w:r>
      <w:r>
        <w:t xml:space="preserve">contribute to the elimination of outdated public services and ensure the consolidation of several services in order to increase their quality in line with citizens' expectations. At the same time, access to public services at local level </w:t>
      </w:r>
      <w:r w:rsidR="00F372B0">
        <w:t>is expected to be</w:t>
      </w:r>
      <w:r>
        <w:t xml:space="preserve"> facilitated through digital channel</w:t>
      </w:r>
      <w:r w:rsidR="00F372B0">
        <w:t xml:space="preserve"> improvement</w:t>
      </w:r>
      <w:r>
        <w:t xml:space="preserve">, </w:t>
      </w:r>
      <w:r w:rsidR="00F372B0">
        <w:t xml:space="preserve">reduction of </w:t>
      </w:r>
      <w:r>
        <w:t xml:space="preserve">the number of </w:t>
      </w:r>
      <w:r w:rsidR="00F372B0">
        <w:t xml:space="preserve">mandatory </w:t>
      </w:r>
      <w:r>
        <w:t xml:space="preserve">documents, as well as </w:t>
      </w:r>
      <w:r w:rsidR="00F372B0">
        <w:t>minimizing the</w:t>
      </w:r>
      <w:r>
        <w:t xml:space="preserve"> duration of public service delivery.</w:t>
      </w:r>
    </w:p>
    <w:p w14:paraId="3BBC9BB9" w14:textId="037CDADB" w:rsidR="00A77D70" w:rsidRPr="00A77D70" w:rsidRDefault="00F372B0" w:rsidP="00CF67DA">
      <w:pPr>
        <w:jc w:val="both"/>
        <w:rPr>
          <w:b/>
          <w:bCs/>
        </w:rPr>
      </w:pPr>
      <w:bookmarkStart w:id="253" w:name="_Hlk78310086"/>
      <w:bookmarkEnd w:id="252"/>
      <w:r>
        <w:t xml:space="preserve">All these projects and initiatives led by the government and supported by international donors resulted in a well-developed e-government national infrastructure. As the global rankings suggest, it still </w:t>
      </w:r>
      <w:r w:rsidR="00016DD0">
        <w:t>requires improvement</w:t>
      </w:r>
      <w:r>
        <w:t xml:space="preserve"> but it already provides citizens with a wide range of services. </w:t>
      </w:r>
      <w:bookmarkStart w:id="254" w:name="_Hlk78307385"/>
      <w:r>
        <w:t>In such a way, the</w:t>
      </w:r>
      <w:r w:rsidR="00A77D70">
        <w:t xml:space="preserve"> national </w:t>
      </w:r>
      <w:proofErr w:type="spellStart"/>
      <w:r w:rsidR="00A77D70">
        <w:t>eServices</w:t>
      </w:r>
      <w:proofErr w:type="spellEnd"/>
      <w:r w:rsidR="00A77D70">
        <w:t xml:space="preserve"> portal “servicii.gov.md” </w:t>
      </w:r>
      <w:r>
        <w:t xml:space="preserve">currently </w:t>
      </w:r>
      <w:r w:rsidR="00A77D70">
        <w:t xml:space="preserve">offers Single-Sign-On access to 178 e-services and information on 649 administrative services. All the datacenters from the public authorities are migrating to </w:t>
      </w:r>
      <w:proofErr w:type="spellStart"/>
      <w:r w:rsidR="00A77D70">
        <w:t>MCloud</w:t>
      </w:r>
      <w:proofErr w:type="spellEnd"/>
      <w:r w:rsidR="00A77D70">
        <w:t xml:space="preserve">. The open data platform “date.gov.md” offers access to 10884 resources. The payment system </w:t>
      </w:r>
      <w:proofErr w:type="spellStart"/>
      <w:r w:rsidR="00A77D70">
        <w:t>MPay</w:t>
      </w:r>
      <w:proofErr w:type="spellEnd"/>
      <w:r w:rsidR="00A77D70">
        <w:t xml:space="preserve"> integrates 86 administrative public services and </w:t>
      </w:r>
      <w:r>
        <w:t xml:space="preserve">has </w:t>
      </w:r>
      <w:r w:rsidR="00A77D70">
        <w:t xml:space="preserve">registered </w:t>
      </w:r>
      <w:r>
        <w:t xml:space="preserve">until now </w:t>
      </w:r>
      <w:r w:rsidR="00A77D70">
        <w:t xml:space="preserve">about 20 </w:t>
      </w:r>
      <w:proofErr w:type="spellStart"/>
      <w:r w:rsidR="00A77D70">
        <w:t>mln</w:t>
      </w:r>
      <w:proofErr w:type="spellEnd"/>
      <w:r w:rsidR="00A77D70">
        <w:t xml:space="preserve">. </w:t>
      </w:r>
      <w:r w:rsidR="00AD03BE">
        <w:t>transactions</w:t>
      </w:r>
      <w:r w:rsidR="00A77D70">
        <w:t>. The government data exchange platform “</w:t>
      </w:r>
      <w:proofErr w:type="spellStart"/>
      <w:r w:rsidR="00A77D70">
        <w:t>MConnect</w:t>
      </w:r>
      <w:proofErr w:type="spellEnd"/>
      <w:r w:rsidR="00A77D70">
        <w:t xml:space="preserve">” connects 71 entities, 45 of which are the public authorities. </w:t>
      </w:r>
    </w:p>
    <w:p w14:paraId="3369CB62" w14:textId="7D880C98" w:rsidR="00A77D70" w:rsidRDefault="414BA751" w:rsidP="02567566">
      <w:pPr>
        <w:jc w:val="both"/>
        <w:rPr>
          <w:b/>
          <w:bCs/>
        </w:rPr>
      </w:pPr>
      <w:r w:rsidRPr="00A77D70">
        <w:t>Additionally</w:t>
      </w:r>
      <w:r w:rsidR="00A77D70" w:rsidRPr="00A77D70">
        <w:t xml:space="preserve">, in </w:t>
      </w:r>
      <w:r w:rsidR="00DF5CDB" w:rsidRPr="00A77D70">
        <w:t>2020 the</w:t>
      </w:r>
      <w:r w:rsidR="00A77D70" w:rsidRPr="00A77D70">
        <w:t xml:space="preserve"> Citizens Government Portal</w:t>
      </w:r>
      <w:r w:rsidR="30915EE2" w:rsidRPr="00A77D70">
        <w:t xml:space="preserve"> </w:t>
      </w:r>
      <w:r w:rsidR="30915EE2">
        <w:t>was launched,</w:t>
      </w:r>
      <w:r w:rsidR="00A77D70" w:rsidRPr="00A77D70">
        <w:t xml:space="preserve"> consisting of a set of interconnected information resources and technologies, designed to provide citizens with an efficient and modern mechanism for obtaining official information about themselves</w:t>
      </w:r>
      <w:r w:rsidR="004B314C">
        <w:t>. The information is</w:t>
      </w:r>
      <w:r w:rsidR="00A77D70" w:rsidRPr="00A77D70">
        <w:t xml:space="preserve"> </w:t>
      </w:r>
      <w:r w:rsidR="004B314C">
        <w:t>obtained from the</w:t>
      </w:r>
      <w:r w:rsidR="00A77D70" w:rsidRPr="00A77D70">
        <w:t xml:space="preserve"> registers and information systems of data providers </w:t>
      </w:r>
      <w:r w:rsidR="004B314C">
        <w:t xml:space="preserve">and delivered </w:t>
      </w:r>
      <w:r w:rsidR="00A77D70" w:rsidRPr="00A77D70">
        <w:t>through a single access point</w:t>
      </w:r>
      <w:r w:rsidR="004B314C">
        <w:t xml:space="preserve"> or</w:t>
      </w:r>
      <w:r w:rsidR="00A77D70" w:rsidRPr="00A77D70">
        <w:t xml:space="preserve"> a virtual cabinet</w:t>
      </w:r>
      <w:r w:rsidR="004B314C">
        <w:t xml:space="preserve"> </w:t>
      </w:r>
      <w:r w:rsidR="00A77D70" w:rsidRPr="00A77D70">
        <w:t xml:space="preserve">referred to as </w:t>
      </w:r>
      <w:r w:rsidR="004B314C">
        <w:t>“</w:t>
      </w:r>
      <w:proofErr w:type="spellStart"/>
      <w:r w:rsidR="00A77D70" w:rsidRPr="00A77D70">
        <w:t>MCabinet</w:t>
      </w:r>
      <w:proofErr w:type="spellEnd"/>
      <w:r w:rsidR="004B314C">
        <w:t>”</w:t>
      </w:r>
      <w:r w:rsidR="00A77D70" w:rsidRPr="00A77D70">
        <w:t>.</w:t>
      </w:r>
      <w:r w:rsidR="00A77D70">
        <w:rPr>
          <w:rStyle w:val="FootnoteReference"/>
        </w:rPr>
        <w:footnoteReference w:id="62"/>
      </w:r>
    </w:p>
    <w:p w14:paraId="62DDCB8C" w14:textId="2A44FB4F" w:rsidR="7BEF979E" w:rsidRPr="00CF67DA" w:rsidRDefault="00483F67" w:rsidP="00CF67DA">
      <w:pPr>
        <w:pStyle w:val="Heading3"/>
      </w:pPr>
      <w:bookmarkStart w:id="255" w:name="_Toc74850940"/>
      <w:bookmarkEnd w:id="253"/>
      <w:bookmarkEnd w:id="254"/>
      <w:r w:rsidRPr="00CF67DA">
        <w:lastRenderedPageBreak/>
        <w:t xml:space="preserve">2.3.2 </w:t>
      </w:r>
      <w:r w:rsidR="7BEF979E" w:rsidRPr="00CF67DA">
        <w:t>ICTs and the education system</w:t>
      </w:r>
      <w:bookmarkEnd w:id="255"/>
    </w:p>
    <w:p w14:paraId="30FEF194" w14:textId="7708FF0D" w:rsidR="00A060E0" w:rsidRDefault="00902CC7" w:rsidP="00CF67DA">
      <w:pPr>
        <w:jc w:val="both"/>
        <w:rPr>
          <w:lang w:val="en-GB"/>
        </w:rPr>
      </w:pPr>
      <w:r>
        <w:t>In th</w:t>
      </w:r>
      <w:r w:rsidR="5E7E2000">
        <w:t>is</w:t>
      </w:r>
      <w:r>
        <w:t xml:space="preserve"> context</w:t>
      </w:r>
      <w:r w:rsidR="1994DC8F">
        <w:t>,</w:t>
      </w:r>
      <w:r>
        <w:t xml:space="preserve"> </w:t>
      </w:r>
      <w:r w:rsidRPr="02567566">
        <w:rPr>
          <w:lang w:val="en-GB"/>
        </w:rPr>
        <w:t xml:space="preserve">e-government, e-administration and e-delivery of government services are fundamental enablers of digital transformation. </w:t>
      </w:r>
      <w:r w:rsidR="73B5765D" w:rsidRPr="02567566">
        <w:rPr>
          <w:lang w:val="en-GB"/>
        </w:rPr>
        <w:t xml:space="preserve">When </w:t>
      </w:r>
      <w:r w:rsidR="06485723" w:rsidRPr="02567566">
        <w:rPr>
          <w:lang w:val="en-GB"/>
        </w:rPr>
        <w:t>analysing</w:t>
      </w:r>
      <w:r w:rsidR="00E532CF">
        <w:rPr>
          <w:lang w:val="en-GB"/>
        </w:rPr>
        <w:t xml:space="preserve"> </w:t>
      </w:r>
      <w:r w:rsidR="006862EC" w:rsidRPr="02567566">
        <w:rPr>
          <w:lang w:val="en-GB"/>
        </w:rPr>
        <w:t xml:space="preserve">the education sector </w:t>
      </w:r>
      <w:bookmarkStart w:id="256" w:name="_Hlk78307906"/>
      <w:r w:rsidR="006862EC" w:rsidRPr="02567566">
        <w:rPr>
          <w:lang w:val="en-GB"/>
        </w:rPr>
        <w:t xml:space="preserve">from a perspective of </w:t>
      </w:r>
      <w:proofErr w:type="gramStart"/>
      <w:r w:rsidR="19BE8B8F" w:rsidRPr="02567566">
        <w:rPr>
          <w:lang w:val="en-GB"/>
        </w:rPr>
        <w:t xml:space="preserve">the </w:t>
      </w:r>
      <w:r w:rsidR="006862EC" w:rsidRPr="02567566">
        <w:rPr>
          <w:lang w:val="en-GB"/>
        </w:rPr>
        <w:t xml:space="preserve"> education</w:t>
      </w:r>
      <w:proofErr w:type="gramEnd"/>
      <w:r w:rsidR="006862EC" w:rsidRPr="02567566">
        <w:rPr>
          <w:lang w:val="en-GB"/>
        </w:rPr>
        <w:t xml:space="preserve"> system</w:t>
      </w:r>
      <w:r w:rsidR="589BBBBE" w:rsidRPr="02567566">
        <w:rPr>
          <w:lang w:val="en-GB"/>
        </w:rPr>
        <w:t xml:space="preserve"> governance</w:t>
      </w:r>
      <w:r w:rsidR="006862EC" w:rsidRPr="02567566">
        <w:rPr>
          <w:lang w:val="en-GB"/>
        </w:rPr>
        <w:t xml:space="preserve"> and </w:t>
      </w:r>
      <w:r w:rsidR="28AF82B8" w:rsidRPr="02567566">
        <w:rPr>
          <w:lang w:val="en-GB"/>
        </w:rPr>
        <w:t xml:space="preserve">the </w:t>
      </w:r>
      <w:r w:rsidR="006862EC" w:rsidRPr="02567566">
        <w:rPr>
          <w:lang w:val="en-GB"/>
        </w:rPr>
        <w:t>delivery</w:t>
      </w:r>
      <w:r w:rsidR="004D58D5" w:rsidRPr="02567566">
        <w:rPr>
          <w:lang w:val="en-GB"/>
        </w:rPr>
        <w:t>,</w:t>
      </w:r>
      <w:r w:rsidR="00ED5673" w:rsidRPr="02567566">
        <w:rPr>
          <w:lang w:val="en-GB"/>
        </w:rPr>
        <w:t xml:space="preserve"> beyond the actual content delivered</w:t>
      </w:r>
      <w:bookmarkEnd w:id="256"/>
      <w:r w:rsidR="00ED5673" w:rsidRPr="02567566">
        <w:rPr>
          <w:lang w:val="en-GB"/>
        </w:rPr>
        <w:t xml:space="preserve"> (i.e. </w:t>
      </w:r>
      <w:r w:rsidR="1F12972E" w:rsidRPr="02567566">
        <w:rPr>
          <w:lang w:val="en-GB"/>
        </w:rPr>
        <w:t xml:space="preserve">curricula including </w:t>
      </w:r>
      <w:r w:rsidR="00ED5673" w:rsidRPr="02567566">
        <w:rPr>
          <w:lang w:val="en-GB"/>
        </w:rPr>
        <w:t xml:space="preserve">digital skills), </w:t>
      </w:r>
      <w:r w:rsidR="6EFB21D4" w:rsidRPr="02567566">
        <w:rPr>
          <w:lang w:val="en-GB"/>
        </w:rPr>
        <w:t xml:space="preserve">it showcases clearly </w:t>
      </w:r>
      <w:r w:rsidR="0C8F7877" w:rsidRPr="02567566">
        <w:rPr>
          <w:lang w:val="en-GB"/>
        </w:rPr>
        <w:t>that</w:t>
      </w:r>
      <w:r w:rsidR="004D58D5" w:rsidRPr="02567566">
        <w:rPr>
          <w:lang w:val="en-GB"/>
        </w:rPr>
        <w:t xml:space="preserve"> ICTs are playing an </w:t>
      </w:r>
      <w:r w:rsidR="3ACF19A5" w:rsidRPr="02567566">
        <w:rPr>
          <w:lang w:val="en-GB"/>
        </w:rPr>
        <w:t xml:space="preserve">even more </w:t>
      </w:r>
      <w:r w:rsidR="004D58D5" w:rsidRPr="02567566">
        <w:rPr>
          <w:lang w:val="en-GB"/>
        </w:rPr>
        <w:t>essential role</w:t>
      </w:r>
      <w:r w:rsidR="00A77433" w:rsidRPr="02567566">
        <w:rPr>
          <w:lang w:val="en-GB"/>
        </w:rPr>
        <w:t xml:space="preserve">. </w:t>
      </w:r>
    </w:p>
    <w:p w14:paraId="4965CEF7" w14:textId="0BC53FED" w:rsidR="00D25B5E" w:rsidRDefault="00902CC7" w:rsidP="00CF67DA">
      <w:pPr>
        <w:jc w:val="both"/>
        <w:rPr>
          <w:lang w:val="en-GB"/>
        </w:rPr>
      </w:pPr>
      <w:r>
        <w:rPr>
          <w:lang w:val="en-GB"/>
        </w:rPr>
        <w:t>The</w:t>
      </w:r>
      <w:r w:rsidR="004D58D5">
        <w:rPr>
          <w:lang w:val="en-GB"/>
        </w:rPr>
        <w:t xml:space="preserve"> soon</w:t>
      </w:r>
      <w:r w:rsidR="00ED5673">
        <w:rPr>
          <w:lang w:val="en-GB"/>
        </w:rPr>
        <w:t>-</w:t>
      </w:r>
      <w:r w:rsidR="004D58D5">
        <w:rPr>
          <w:lang w:val="en-GB"/>
        </w:rPr>
        <w:t>to</w:t>
      </w:r>
      <w:r w:rsidR="00ED5673">
        <w:rPr>
          <w:lang w:val="en-GB"/>
        </w:rPr>
        <w:t>-</w:t>
      </w:r>
      <w:r w:rsidR="004D58D5">
        <w:rPr>
          <w:lang w:val="en-GB"/>
        </w:rPr>
        <w:t>be</w:t>
      </w:r>
      <w:r w:rsidR="00ED5673">
        <w:rPr>
          <w:lang w:val="en-GB"/>
        </w:rPr>
        <w:t>-</w:t>
      </w:r>
      <w:r w:rsidR="004D58D5">
        <w:rPr>
          <w:lang w:val="en-GB"/>
        </w:rPr>
        <w:t>published ITU-UNICEF report on “Connectivity in Education</w:t>
      </w:r>
      <w:r w:rsidR="00ED5673">
        <w:rPr>
          <w:lang w:val="en-GB"/>
        </w:rPr>
        <w:t>: Status and recent developments in 9-</w:t>
      </w:r>
      <w:proofErr w:type="gramStart"/>
      <w:r w:rsidR="00ED5673">
        <w:rPr>
          <w:lang w:val="en-GB"/>
        </w:rPr>
        <w:t>non</w:t>
      </w:r>
      <w:r w:rsidR="009A6322">
        <w:rPr>
          <w:lang w:val="en-GB"/>
        </w:rPr>
        <w:t xml:space="preserve"> </w:t>
      </w:r>
      <w:r w:rsidR="00ED5673">
        <w:rPr>
          <w:lang w:val="en-GB"/>
        </w:rPr>
        <w:t>EU</w:t>
      </w:r>
      <w:proofErr w:type="gramEnd"/>
      <w:r w:rsidR="00ED5673">
        <w:rPr>
          <w:lang w:val="en-GB"/>
        </w:rPr>
        <w:t xml:space="preserve"> countries of Europe region” looks at the </w:t>
      </w:r>
      <w:r w:rsidRPr="00902CC7">
        <w:rPr>
          <w:lang w:val="en-GB"/>
        </w:rPr>
        <w:t>two dimensions of ICTs for e-government of education and ICTs as a medium for delivering remote education</w:t>
      </w:r>
      <w:r w:rsidR="00447639">
        <w:rPr>
          <w:lang w:val="en-GB"/>
        </w:rPr>
        <w:t>.</w:t>
      </w:r>
      <w:r w:rsidR="00A060E0">
        <w:rPr>
          <w:lang w:val="en-GB"/>
        </w:rPr>
        <w:t xml:space="preserve"> Moreover, it concludes that</w:t>
      </w:r>
      <w:r w:rsidR="00A060E0" w:rsidRPr="00A060E0">
        <w:rPr>
          <w:rFonts w:ascii="Calibri" w:hAnsi="Calibri" w:cs="Calibri"/>
          <w:color w:val="000000"/>
        </w:rPr>
        <w:t xml:space="preserve"> </w:t>
      </w:r>
      <w:r w:rsidR="00A060E0">
        <w:rPr>
          <w:rFonts w:ascii="Calibri" w:hAnsi="Calibri" w:cs="Calibri"/>
          <w:color w:val="000000"/>
        </w:rPr>
        <w:t>s</w:t>
      </w:r>
      <w:r w:rsidR="00A060E0" w:rsidRPr="00A060E0">
        <w:rPr>
          <w:rFonts w:ascii="Calibri" w:hAnsi="Calibri" w:cs="Calibri"/>
          <w:color w:val="000000"/>
        </w:rPr>
        <w:t>chool</w:t>
      </w:r>
      <w:r w:rsidR="00A060E0">
        <w:rPr>
          <w:rFonts w:ascii="Calibri" w:hAnsi="Calibri" w:cs="Calibri"/>
          <w:color w:val="000000"/>
        </w:rPr>
        <w:t xml:space="preserve"> </w:t>
      </w:r>
      <w:r w:rsidR="00A060E0" w:rsidRPr="00A060E0">
        <w:rPr>
          <w:rFonts w:ascii="Calibri" w:hAnsi="Calibri" w:cs="Calibri"/>
          <w:color w:val="000000"/>
        </w:rPr>
        <w:t>connectivity is</w:t>
      </w:r>
      <w:r w:rsidR="00A060E0">
        <w:rPr>
          <w:rFonts w:ascii="Calibri" w:hAnsi="Calibri" w:cs="Calibri"/>
          <w:color w:val="000000"/>
        </w:rPr>
        <w:t xml:space="preserve"> </w:t>
      </w:r>
      <w:r w:rsidR="00A060E0" w:rsidRPr="00A060E0">
        <w:rPr>
          <w:rFonts w:ascii="Calibri" w:hAnsi="Calibri" w:cs="Calibri"/>
          <w:color w:val="000000"/>
        </w:rPr>
        <w:t>widely recognized as a means to a more efficient administration of educational</w:t>
      </w:r>
      <w:r w:rsidR="10DA0A8C" w:rsidRPr="00A060E0">
        <w:rPr>
          <w:rFonts w:ascii="Calibri" w:hAnsi="Calibri" w:cs="Calibri"/>
          <w:color w:val="000000"/>
        </w:rPr>
        <w:t xml:space="preserve"> </w:t>
      </w:r>
      <w:r w:rsidR="00A060E0" w:rsidRPr="00A060E0">
        <w:rPr>
          <w:rFonts w:ascii="Calibri" w:hAnsi="Calibri" w:cs="Calibri"/>
          <w:color w:val="000000"/>
        </w:rPr>
        <w:br/>
        <w:t>systems, a more innovative way of distributing education content, and, most importantly, a fundamental</w:t>
      </w:r>
      <w:r w:rsidR="490506C7" w:rsidRPr="00A060E0">
        <w:rPr>
          <w:rFonts w:ascii="Calibri" w:hAnsi="Calibri" w:cs="Calibri"/>
          <w:color w:val="000000"/>
        </w:rPr>
        <w:t xml:space="preserve"> </w:t>
      </w:r>
      <w:r w:rsidR="00A060E0" w:rsidRPr="00A060E0">
        <w:rPr>
          <w:rFonts w:ascii="Calibri" w:hAnsi="Calibri" w:cs="Calibri"/>
          <w:color w:val="000000"/>
        </w:rPr>
        <w:br/>
        <w:t>prerequisite to endow pupils with the digital skills necessary to thrive in the job market</w:t>
      </w:r>
      <w:r w:rsidR="00A060E0">
        <w:rPr>
          <w:rFonts w:ascii="Calibri" w:hAnsi="Calibri" w:cs="Calibri"/>
          <w:color w:val="000000"/>
        </w:rPr>
        <w:t>.</w:t>
      </w:r>
      <w:r w:rsidR="00447639" w:rsidRPr="00D25B5E">
        <w:rPr>
          <w:vertAlign w:val="superscript"/>
        </w:rPr>
        <w:footnoteReference w:id="63"/>
      </w:r>
      <w:r w:rsidR="00447639" w:rsidRPr="00D25B5E">
        <w:rPr>
          <w:vertAlign w:val="superscript"/>
          <w:lang w:val="en-GB"/>
        </w:rPr>
        <w:t xml:space="preserve"> </w:t>
      </w:r>
      <w:r w:rsidR="00A060E0">
        <w:rPr>
          <w:vertAlign w:val="superscript"/>
          <w:lang w:val="en-GB"/>
        </w:rPr>
        <w:t xml:space="preserve">  </w:t>
      </w:r>
    </w:p>
    <w:p w14:paraId="2AC755E4" w14:textId="675810C3" w:rsidR="00304398" w:rsidRPr="00304398" w:rsidRDefault="00902CC7" w:rsidP="00CF67DA">
      <w:pPr>
        <w:jc w:val="both"/>
        <w:rPr>
          <w:lang w:val="en-GB"/>
        </w:rPr>
      </w:pPr>
      <w:r>
        <w:rPr>
          <w:lang w:val="en-GB"/>
        </w:rPr>
        <w:t xml:space="preserve">In this context, </w:t>
      </w:r>
      <w:bookmarkStart w:id="257" w:name="_Hlk78311497"/>
      <w:r>
        <w:rPr>
          <w:lang w:val="en-GB"/>
        </w:rPr>
        <w:t>t</w:t>
      </w:r>
      <w:r w:rsidR="00304398" w:rsidRPr="00304398">
        <w:rPr>
          <w:lang w:val="en-GB"/>
        </w:rPr>
        <w:t>he Moldovan government recognizes that student familiarization with ICTs is limited by an insufficient provision of computers and their use at a later age. According to data from Moldova’s National Bureau of Statistics, schools around the country are endowed with about 32,501 computers, out of which 28,500 are used for teaching purposes. Although the equipment level of general educational institutions rose during the time, the lack of efficient management, maintenance and budgeting for computer labs also became a challenge.</w:t>
      </w:r>
      <w:bookmarkEnd w:id="257"/>
      <w:r w:rsidR="003B7A63">
        <w:rPr>
          <w:rStyle w:val="FootnoteReference"/>
          <w:lang w:val="en-GB"/>
        </w:rPr>
        <w:footnoteReference w:id="64"/>
      </w:r>
    </w:p>
    <w:p w14:paraId="3C36DF5D" w14:textId="3E202565" w:rsidR="00304398" w:rsidRPr="00304398" w:rsidRDefault="00521F12" w:rsidP="00CF67DA">
      <w:pPr>
        <w:jc w:val="both"/>
        <w:rPr>
          <w:lang w:val="en-GB"/>
        </w:rPr>
      </w:pPr>
      <w:bookmarkStart w:id="258" w:name="_Hlk78311529"/>
      <w:r>
        <w:rPr>
          <w:lang w:val="en-GB"/>
        </w:rPr>
        <w:t>T</w:t>
      </w:r>
      <w:r w:rsidR="00304398" w:rsidRPr="02567566">
        <w:rPr>
          <w:lang w:val="en-GB"/>
        </w:rPr>
        <w:t xml:space="preserve">he strategy </w:t>
      </w:r>
      <w:r w:rsidR="00686274">
        <w:rPr>
          <w:lang w:val="en-GB"/>
        </w:rPr>
        <w:t>“</w:t>
      </w:r>
      <w:r w:rsidR="00304398" w:rsidRPr="02567566">
        <w:rPr>
          <w:lang w:val="en-GB"/>
        </w:rPr>
        <w:t>Education 2020</w:t>
      </w:r>
      <w:r w:rsidR="00686274">
        <w:rPr>
          <w:lang w:val="en-GB"/>
        </w:rPr>
        <w:t>”</w:t>
      </w:r>
      <w:r>
        <w:rPr>
          <w:lang w:val="en-GB"/>
        </w:rPr>
        <w:t xml:space="preserve"> highlights the </w:t>
      </w:r>
      <w:r w:rsidR="00304398" w:rsidRPr="02567566">
        <w:rPr>
          <w:lang w:val="en-GB"/>
        </w:rPr>
        <w:t xml:space="preserve">inefficient </w:t>
      </w:r>
      <w:r>
        <w:rPr>
          <w:lang w:val="en-GB"/>
        </w:rPr>
        <w:t>management</w:t>
      </w:r>
      <w:r w:rsidRPr="02567566">
        <w:rPr>
          <w:lang w:val="en-GB"/>
        </w:rPr>
        <w:t xml:space="preserve"> </w:t>
      </w:r>
      <w:r w:rsidR="00304398" w:rsidRPr="02567566">
        <w:rPr>
          <w:lang w:val="en-GB"/>
        </w:rPr>
        <w:t>of the school network</w:t>
      </w:r>
      <w:r>
        <w:rPr>
          <w:lang w:val="en-GB"/>
        </w:rPr>
        <w:t>.</w:t>
      </w:r>
      <w:r w:rsidR="00304398" w:rsidRPr="02567566">
        <w:rPr>
          <w:lang w:val="en-GB"/>
        </w:rPr>
        <w:t xml:space="preserve"> </w:t>
      </w:r>
      <w:r>
        <w:rPr>
          <w:lang w:val="en-GB"/>
        </w:rPr>
        <w:t>This diminishes the efficiency of</w:t>
      </w:r>
      <w:r w:rsidR="00304398" w:rsidRPr="02567566">
        <w:rPr>
          <w:lang w:val="en-GB"/>
        </w:rPr>
        <w:t xml:space="preserve"> investment</w:t>
      </w:r>
      <w:r>
        <w:rPr>
          <w:lang w:val="en-GB"/>
        </w:rPr>
        <w:t>s</w:t>
      </w:r>
      <w:r w:rsidR="00304398" w:rsidRPr="02567566">
        <w:rPr>
          <w:lang w:val="en-GB"/>
        </w:rPr>
        <w:t xml:space="preserve"> in the upgrading of institutions</w:t>
      </w:r>
      <w:r>
        <w:rPr>
          <w:lang w:val="en-GB"/>
        </w:rPr>
        <w:t xml:space="preserve"> and limits</w:t>
      </w:r>
      <w:r w:rsidR="00304398" w:rsidRPr="02567566">
        <w:rPr>
          <w:lang w:val="en-GB"/>
        </w:rPr>
        <w:t xml:space="preserve"> the provision of </w:t>
      </w:r>
      <w:r>
        <w:rPr>
          <w:lang w:val="en-GB"/>
        </w:rPr>
        <w:t xml:space="preserve">necessary </w:t>
      </w:r>
      <w:r w:rsidR="00304398" w:rsidRPr="02567566">
        <w:rPr>
          <w:lang w:val="en-GB"/>
        </w:rPr>
        <w:t xml:space="preserve">equipment. Therefore, the government is currently undergoing reforms to improve the planning and management of the network of educational institutions by implementing an educational Management Information System, comprising </w:t>
      </w:r>
      <w:r w:rsidR="6697432A" w:rsidRPr="02567566">
        <w:rPr>
          <w:lang w:val="en-GB"/>
        </w:rPr>
        <w:t xml:space="preserve">of </w:t>
      </w:r>
      <w:r w:rsidR="00304398" w:rsidRPr="02567566">
        <w:rPr>
          <w:lang w:val="en-GB"/>
        </w:rPr>
        <w:t xml:space="preserve">a register of schools, pupils and teachers based on the school census, as well as regular and accurate collection of data in schools. </w:t>
      </w:r>
      <w:bookmarkEnd w:id="258"/>
    </w:p>
    <w:p w14:paraId="52C97C54" w14:textId="46EEAC84" w:rsidR="00AC248B" w:rsidRDefault="00304398" w:rsidP="00CF67DA">
      <w:pPr>
        <w:jc w:val="both"/>
        <w:rPr>
          <w:lang w:val="en-GB"/>
        </w:rPr>
      </w:pPr>
      <w:r w:rsidRPr="00304398">
        <w:rPr>
          <w:lang w:val="en-GB"/>
        </w:rPr>
        <w:t>Nevertheless, aiming to increase access to information and create better conditions for education, in 2013, the Government provided 1,200 computers, 220 printers, 50 multipliers and free Internet for schools across the country and in 2020 launched a nation-wide campaign titled ‘Donate Computer for Education’ as part of its goal to help digitize Moldova’s education system.</w:t>
      </w:r>
      <w:r w:rsidR="003B7A63">
        <w:rPr>
          <w:rStyle w:val="FootnoteReference"/>
          <w:lang w:val="en-GB"/>
        </w:rPr>
        <w:footnoteReference w:id="65"/>
      </w:r>
    </w:p>
    <w:p w14:paraId="0A8BAC8E" w14:textId="1B939B2F" w:rsidR="00AC248B" w:rsidRDefault="00AC248B" w:rsidP="00AC248B">
      <w:bookmarkStart w:id="259" w:name="_Hlk78311570"/>
      <w:r>
        <w:t>Currently, t</w:t>
      </w:r>
      <w:r w:rsidRPr="00F71915">
        <w:t xml:space="preserve">he Education Development Strategy "Education 2030" and </w:t>
      </w:r>
      <w:r>
        <w:t xml:space="preserve">its Action Plan is being developed in line with the National Strategy “Moldova 2030”. It </w:t>
      </w:r>
      <w:r w:rsidRPr="00F71915">
        <w:t xml:space="preserve">aims to </w:t>
      </w:r>
      <w:r>
        <w:t>establish</w:t>
      </w:r>
      <w:r w:rsidRPr="00F71915">
        <w:t xml:space="preserve"> a National Education System capable of providing high quality, inclusive and equitable education to all children</w:t>
      </w:r>
      <w:r>
        <w:t xml:space="preserve">, </w:t>
      </w:r>
      <w:r w:rsidRPr="00F71915">
        <w:t>students</w:t>
      </w:r>
      <w:r>
        <w:t xml:space="preserve"> and </w:t>
      </w:r>
      <w:r w:rsidRPr="00F71915">
        <w:t>adults throughout life, at all levels of education</w:t>
      </w:r>
      <w:r>
        <w:t>, and</w:t>
      </w:r>
      <w:r w:rsidRPr="00F71915">
        <w:t xml:space="preserve"> in various contexts</w:t>
      </w:r>
      <w:r>
        <w:t xml:space="preserve">. One of its strategic objectives highlights the role of digitization in relation to the quality and </w:t>
      </w:r>
      <w:r w:rsidRPr="00E05084">
        <w:t>viability</w:t>
      </w:r>
      <w:r>
        <w:t xml:space="preserve"> of the education system. It </w:t>
      </w:r>
      <w:r>
        <w:lastRenderedPageBreak/>
        <w:t>reinforces the value of ICT in ensuring a high quality and sustainability of the education</w:t>
      </w:r>
      <w:bookmarkEnd w:id="259"/>
      <w:r>
        <w:t>. Targets to be achieved by 2030 in this regard are:</w:t>
      </w:r>
    </w:p>
    <w:p w14:paraId="2B678A65" w14:textId="77777777" w:rsidR="00AC248B" w:rsidRDefault="00AC248B" w:rsidP="00AC248B">
      <w:pPr>
        <w:pStyle w:val="ListParagraph"/>
        <w:numPr>
          <w:ilvl w:val="0"/>
          <w:numId w:val="29"/>
        </w:numPr>
        <w:spacing w:after="160" w:line="259" w:lineRule="auto"/>
      </w:pPr>
      <w:r>
        <w:t>Reaching a share of 80% of all education institutions provided with the necessary hardware and software;</w:t>
      </w:r>
    </w:p>
    <w:p w14:paraId="3E35111E" w14:textId="77777777" w:rsidR="00AC248B" w:rsidRDefault="00AC248B" w:rsidP="00AC248B">
      <w:pPr>
        <w:pStyle w:val="ListParagraph"/>
        <w:numPr>
          <w:ilvl w:val="0"/>
          <w:numId w:val="29"/>
        </w:numPr>
        <w:spacing w:after="160" w:line="259" w:lineRule="auto"/>
      </w:pPr>
      <w:r>
        <w:t>Creating m</w:t>
      </w:r>
      <w:r w:rsidRPr="00E6169C">
        <w:t>echanisms</w:t>
      </w:r>
      <w:r>
        <w:t xml:space="preserve"> and proper</w:t>
      </w:r>
      <w:r w:rsidRPr="00E6169C">
        <w:t xml:space="preserve"> conditions for the</w:t>
      </w:r>
      <w:r>
        <w:t xml:space="preserve"> development</w:t>
      </w:r>
      <w:r w:rsidRPr="00E6169C">
        <w:t xml:space="preserve"> and </w:t>
      </w:r>
      <w:r>
        <w:t>use</w:t>
      </w:r>
      <w:r w:rsidRPr="00E6169C">
        <w:t xml:space="preserve"> of educational software </w:t>
      </w:r>
      <w:r>
        <w:t>at all</w:t>
      </w:r>
      <w:r w:rsidRPr="00E6169C">
        <w:t xml:space="preserve"> levels of the education system</w:t>
      </w:r>
      <w:r>
        <w:t>;</w:t>
      </w:r>
    </w:p>
    <w:p w14:paraId="14DE903B" w14:textId="77777777" w:rsidR="00AC248B" w:rsidRDefault="00AC248B" w:rsidP="00AC248B">
      <w:pPr>
        <w:pStyle w:val="ListParagraph"/>
        <w:numPr>
          <w:ilvl w:val="0"/>
          <w:numId w:val="29"/>
        </w:numPr>
        <w:spacing w:after="160" w:line="259" w:lineRule="auto"/>
      </w:pPr>
      <w:r>
        <w:t>Ensuring proper environment for online education in order to strengthen its efficiency;</w:t>
      </w:r>
    </w:p>
    <w:p w14:paraId="394FE33A" w14:textId="77777777" w:rsidR="00AC248B" w:rsidRDefault="00AC248B" w:rsidP="00AC248B">
      <w:pPr>
        <w:pStyle w:val="ListParagraph"/>
        <w:numPr>
          <w:ilvl w:val="0"/>
          <w:numId w:val="29"/>
        </w:numPr>
        <w:spacing w:after="160" w:line="259" w:lineRule="auto"/>
      </w:pPr>
      <w:r>
        <w:t>Providing access for students to various learning resources, curricular content, virtual learning spaces, devices, applications, tools, fast and reliable</w:t>
      </w:r>
      <w:r w:rsidRPr="00F71915">
        <w:t xml:space="preserve"> </w:t>
      </w:r>
      <w:r>
        <w:t>internet connectivity, and other teaching-learning services that best suit their needs.</w:t>
      </w:r>
    </w:p>
    <w:p w14:paraId="48CCFFF6" w14:textId="53377630" w:rsidR="00AC248B" w:rsidRDefault="00AC248B" w:rsidP="00AC248B">
      <w:pPr>
        <w:pStyle w:val="ListParagraph"/>
        <w:numPr>
          <w:ilvl w:val="0"/>
          <w:numId w:val="29"/>
        </w:numPr>
        <w:spacing w:after="160" w:line="259" w:lineRule="auto"/>
      </w:pPr>
      <w:r>
        <w:t>Upgrading the educational processes for harnessing modern technologies and innovations.</w:t>
      </w:r>
      <w:r>
        <w:rPr>
          <w:rStyle w:val="FootnoteReference"/>
        </w:rPr>
        <w:footnoteReference w:id="66"/>
      </w:r>
    </w:p>
    <w:p w14:paraId="3505FA59" w14:textId="0362A8A4" w:rsidR="00067113" w:rsidRDefault="00AC248B" w:rsidP="00CF67DA">
      <w:pPr>
        <w:jc w:val="both"/>
        <w:rPr>
          <w:lang w:val="en-GB"/>
        </w:rPr>
      </w:pPr>
      <w:r>
        <w:rPr>
          <w:lang w:val="en-GB"/>
        </w:rPr>
        <w:t>Meanwhile, a</w:t>
      </w:r>
      <w:r w:rsidR="00304398" w:rsidRPr="02567566">
        <w:rPr>
          <w:lang w:val="en-GB"/>
        </w:rPr>
        <w:t>s part of the “Digital Moldova 2020” Strategy implementation,</w:t>
      </w:r>
      <w:r w:rsidR="00067113" w:rsidRPr="02567566">
        <w:rPr>
          <w:lang w:val="en-GB"/>
        </w:rPr>
        <w:t xml:space="preserve"> the donors joined forces in providing education</w:t>
      </w:r>
      <w:r w:rsidR="2B71598E" w:rsidRPr="02567566">
        <w:rPr>
          <w:lang w:val="en-GB"/>
        </w:rPr>
        <w:t>al</w:t>
      </w:r>
      <w:r w:rsidR="00067113" w:rsidRPr="02567566">
        <w:rPr>
          <w:lang w:val="en-GB"/>
        </w:rPr>
        <w:t xml:space="preserve"> institutions with equipment and managed to </w:t>
      </w:r>
      <w:r w:rsidR="6CFDD98E" w:rsidRPr="02567566">
        <w:rPr>
          <w:lang w:val="en-GB"/>
        </w:rPr>
        <w:t xml:space="preserve">achieve </w:t>
      </w:r>
      <w:r w:rsidR="00067113" w:rsidRPr="02567566">
        <w:rPr>
          <w:lang w:val="en-GB"/>
        </w:rPr>
        <w:t xml:space="preserve">the following outcomes: </w:t>
      </w:r>
    </w:p>
    <w:p w14:paraId="65047DFA" w14:textId="250D97B9" w:rsidR="00067113" w:rsidRPr="00CF67DA" w:rsidRDefault="00304398" w:rsidP="00CF67DA">
      <w:pPr>
        <w:pStyle w:val="ListParagraph"/>
        <w:numPr>
          <w:ilvl w:val="0"/>
          <w:numId w:val="28"/>
        </w:numPr>
        <w:jc w:val="both"/>
        <w:rPr>
          <w:lang w:val="en-GB"/>
        </w:rPr>
      </w:pPr>
      <w:r w:rsidRPr="00CF67DA">
        <w:rPr>
          <w:lang w:val="en-GB"/>
        </w:rPr>
        <w:t>11 educational institutions were provided with robotics equipment, digital laboratories</w:t>
      </w:r>
      <w:r w:rsidR="00A61328" w:rsidRPr="00CF67DA">
        <w:rPr>
          <w:lang w:val="en-GB"/>
        </w:rPr>
        <w:t xml:space="preserve"> and </w:t>
      </w:r>
      <w:r w:rsidRPr="00CF67DA">
        <w:rPr>
          <w:lang w:val="en-GB"/>
        </w:rPr>
        <w:t>digital manufacturing equipment (3D printers)</w:t>
      </w:r>
      <w:r w:rsidR="00067113" w:rsidRPr="00CF67DA">
        <w:rPr>
          <w:lang w:val="en-GB"/>
        </w:rPr>
        <w:t>;</w:t>
      </w:r>
    </w:p>
    <w:p w14:paraId="1EC36CA4" w14:textId="77777777" w:rsidR="00067113" w:rsidRPr="00CF67DA" w:rsidRDefault="00304398" w:rsidP="00CF67DA">
      <w:pPr>
        <w:pStyle w:val="ListParagraph"/>
        <w:numPr>
          <w:ilvl w:val="0"/>
          <w:numId w:val="28"/>
        </w:numPr>
        <w:jc w:val="both"/>
        <w:rPr>
          <w:lang w:val="en-GB"/>
        </w:rPr>
      </w:pPr>
      <w:r w:rsidRPr="00CF67DA">
        <w:rPr>
          <w:lang w:val="en-GB"/>
        </w:rPr>
        <w:t>29 institutions were provided with multimedia classrooms</w:t>
      </w:r>
      <w:r w:rsidR="00067113" w:rsidRPr="00CF67DA">
        <w:rPr>
          <w:lang w:val="en-GB"/>
        </w:rPr>
        <w:t>;</w:t>
      </w:r>
    </w:p>
    <w:p w14:paraId="53B4C73C" w14:textId="77777777" w:rsidR="00067113" w:rsidRPr="00CF67DA" w:rsidRDefault="00304398" w:rsidP="00CF67DA">
      <w:pPr>
        <w:pStyle w:val="ListParagraph"/>
        <w:numPr>
          <w:ilvl w:val="0"/>
          <w:numId w:val="28"/>
        </w:numPr>
        <w:jc w:val="both"/>
        <w:rPr>
          <w:lang w:val="en-GB"/>
        </w:rPr>
      </w:pPr>
      <w:r w:rsidRPr="00CF67DA">
        <w:rPr>
          <w:lang w:val="en-GB"/>
        </w:rPr>
        <w:t>10 institutions equipped with computing technology within the rural digital inclusion project</w:t>
      </w:r>
      <w:r w:rsidR="00067113" w:rsidRPr="00CF67DA">
        <w:rPr>
          <w:lang w:val="en-GB"/>
        </w:rPr>
        <w:t>;</w:t>
      </w:r>
    </w:p>
    <w:p w14:paraId="192FEF1C" w14:textId="626964D7" w:rsidR="00304398" w:rsidRPr="00CF67DA" w:rsidRDefault="00304398" w:rsidP="00CF67DA">
      <w:pPr>
        <w:pStyle w:val="ListParagraph"/>
        <w:numPr>
          <w:ilvl w:val="0"/>
          <w:numId w:val="28"/>
        </w:numPr>
        <w:jc w:val="both"/>
        <w:rPr>
          <w:lang w:val="en-GB"/>
        </w:rPr>
      </w:pPr>
      <w:r w:rsidRPr="00CF67DA">
        <w:rPr>
          <w:lang w:val="en-GB"/>
        </w:rPr>
        <w:t>6 computer labs were opened in 4 colleges and 2 vocational schools.</w:t>
      </w:r>
    </w:p>
    <w:p w14:paraId="5EF4B20D" w14:textId="12AC0189" w:rsidR="00304398" w:rsidRPr="00304398" w:rsidRDefault="566D368A" w:rsidP="00CF67DA">
      <w:pPr>
        <w:jc w:val="both"/>
        <w:rPr>
          <w:lang w:val="en-GB"/>
        </w:rPr>
      </w:pPr>
      <w:bookmarkStart w:id="260" w:name="_Hlk78307842"/>
      <w:bookmarkStart w:id="261" w:name="_Hlk78311655"/>
      <w:r>
        <w:rPr>
          <w:lang w:val="en-GB"/>
        </w:rPr>
        <w:t>To</w:t>
      </w:r>
      <w:r w:rsidR="00304398" w:rsidRPr="00304398">
        <w:rPr>
          <w:lang w:val="en-GB"/>
        </w:rPr>
        <w:t xml:space="preserve"> train </w:t>
      </w:r>
      <w:r w:rsidR="49D680A1" w:rsidRPr="00304398">
        <w:rPr>
          <w:lang w:val="en-GB"/>
        </w:rPr>
        <w:t xml:space="preserve">the </w:t>
      </w:r>
      <w:r w:rsidR="00304398" w:rsidRPr="00304398">
        <w:rPr>
          <w:lang w:val="en-GB"/>
        </w:rPr>
        <w:t xml:space="preserve">population in </w:t>
      </w:r>
      <w:r w:rsidR="63225C69" w:rsidRPr="00304398">
        <w:rPr>
          <w:lang w:val="en-GB"/>
        </w:rPr>
        <w:t xml:space="preserve">the </w:t>
      </w:r>
      <w:r w:rsidR="00304398" w:rsidRPr="00304398">
        <w:rPr>
          <w:lang w:val="en-GB"/>
        </w:rPr>
        <w:t>use of electronic services, public libraries were transformed into</w:t>
      </w:r>
      <w:r w:rsidR="00067113">
        <w:rPr>
          <w:lang w:val="en-GB"/>
        </w:rPr>
        <w:t xml:space="preserve"> a network of </w:t>
      </w:r>
      <w:r w:rsidR="00304398" w:rsidRPr="00304398">
        <w:rPr>
          <w:lang w:val="en-GB"/>
        </w:rPr>
        <w:t xml:space="preserve">vibrant community institutions through the </w:t>
      </w:r>
      <w:proofErr w:type="spellStart"/>
      <w:r w:rsidR="00304398" w:rsidRPr="00304398">
        <w:rPr>
          <w:lang w:val="en-GB"/>
        </w:rPr>
        <w:t>Novateca</w:t>
      </w:r>
      <w:proofErr w:type="spellEnd"/>
      <w:r w:rsidR="00304398" w:rsidRPr="00304398">
        <w:rPr>
          <w:lang w:val="en-GB"/>
        </w:rPr>
        <w:t xml:space="preserve"> Program. This network of computerized public libraries offers Internet access across the country and provides citizens with the guidance of trained librarians</w:t>
      </w:r>
      <w:bookmarkEnd w:id="260"/>
      <w:r w:rsidR="00304398" w:rsidRPr="00304398">
        <w:rPr>
          <w:lang w:val="en-GB"/>
        </w:rPr>
        <w:t>.</w:t>
      </w:r>
      <w:r w:rsidR="00067113">
        <w:rPr>
          <w:rStyle w:val="FootnoteReference"/>
          <w:lang w:val="en-GB"/>
        </w:rPr>
        <w:footnoteReference w:id="67"/>
      </w:r>
    </w:p>
    <w:bookmarkEnd w:id="261"/>
    <w:p w14:paraId="6C5F955B" w14:textId="4EC131B4" w:rsidR="00304398" w:rsidRPr="00304398" w:rsidRDefault="00067113" w:rsidP="00CF67DA">
      <w:pPr>
        <w:jc w:val="both"/>
        <w:rPr>
          <w:lang w:val="en-GB"/>
        </w:rPr>
      </w:pPr>
      <w:r>
        <w:rPr>
          <w:lang w:val="en-GB"/>
        </w:rPr>
        <w:t xml:space="preserve">In </w:t>
      </w:r>
      <w:r w:rsidRPr="00067113">
        <w:rPr>
          <w:lang w:val="en-GB"/>
        </w:rPr>
        <w:t>mid-March</w:t>
      </w:r>
      <w:r>
        <w:rPr>
          <w:lang w:val="en-GB"/>
        </w:rPr>
        <w:t xml:space="preserve"> 2020</w:t>
      </w:r>
      <w:r w:rsidRPr="00067113">
        <w:rPr>
          <w:lang w:val="en-GB"/>
        </w:rPr>
        <w:t>, Moldova shut down all schools in response to the COVID-19 outbreak, thus mandating</w:t>
      </w:r>
      <w:r>
        <w:rPr>
          <w:lang w:val="en-GB"/>
        </w:rPr>
        <w:t xml:space="preserve"> </w:t>
      </w:r>
      <w:r w:rsidRPr="00067113">
        <w:rPr>
          <w:lang w:val="en-GB"/>
        </w:rPr>
        <w:t>schools in the country to provide distance learning opportunities for over 434,000 students.</w:t>
      </w:r>
      <w:r>
        <w:rPr>
          <w:rStyle w:val="FootnoteReference"/>
          <w:lang w:val="en-GB"/>
        </w:rPr>
        <w:footnoteReference w:id="68"/>
      </w:r>
      <w:r w:rsidRPr="00067113">
        <w:rPr>
          <w:lang w:val="en-GB"/>
        </w:rPr>
        <w:t xml:space="preserve"> </w:t>
      </w:r>
      <w:r w:rsidR="00304398" w:rsidRPr="00304398">
        <w:rPr>
          <w:lang w:val="en-GB"/>
        </w:rPr>
        <w:t>In face of th</w:t>
      </w:r>
      <w:r>
        <w:rPr>
          <w:lang w:val="en-GB"/>
        </w:rPr>
        <w:t>is</w:t>
      </w:r>
      <w:r w:rsidR="00304398" w:rsidRPr="00304398">
        <w:rPr>
          <w:lang w:val="en-GB"/>
        </w:rPr>
        <w:t xml:space="preserve"> emergency, many a</w:t>
      </w:r>
      <w:r>
        <w:rPr>
          <w:lang w:val="en-GB"/>
        </w:rPr>
        <w:t>ctions were undertaken</w:t>
      </w:r>
      <w:r w:rsidR="00304398" w:rsidRPr="00304398">
        <w:rPr>
          <w:lang w:val="en-GB"/>
        </w:rPr>
        <w:t xml:space="preserve"> to ensure that learning continued under the new conditions imposed by the global pandemic.</w:t>
      </w:r>
    </w:p>
    <w:p w14:paraId="29F1AED5" w14:textId="458A2CAE" w:rsidR="00304398" w:rsidRPr="00304398" w:rsidRDefault="00304398" w:rsidP="00CF67DA">
      <w:pPr>
        <w:jc w:val="both"/>
        <w:rPr>
          <w:lang w:val="en-GB"/>
        </w:rPr>
      </w:pPr>
      <w:r w:rsidRPr="00304398">
        <w:rPr>
          <w:lang w:val="en-GB"/>
        </w:rPr>
        <w:t xml:space="preserve">The Government distributed educational packages for children with disabilities and children with no access to technologies, as well as on-line informational materials regarding free on-line resources for distance learning and positive parenting during the pandemic and subsequent recovery period. Also, an agreement was signed to enable educational institutions in the country to gain access to Office 365 A1, </w:t>
      </w:r>
      <w:r w:rsidRPr="00304398">
        <w:rPr>
          <w:lang w:val="en-GB"/>
        </w:rPr>
        <w:lastRenderedPageBreak/>
        <w:t>interactive platforms for teachers’ training, and support in implementing the distance learning and mixed model.</w:t>
      </w:r>
      <w:r w:rsidR="00300386">
        <w:rPr>
          <w:rStyle w:val="FootnoteReference"/>
          <w:lang w:val="en-GB"/>
        </w:rPr>
        <w:footnoteReference w:id="69"/>
      </w:r>
    </w:p>
    <w:p w14:paraId="6C49B1A3" w14:textId="4C4F5C8E" w:rsidR="00A61328" w:rsidRDefault="00304398" w:rsidP="00CF67DA">
      <w:pPr>
        <w:jc w:val="both"/>
        <w:rPr>
          <w:lang w:val="en-GB"/>
        </w:rPr>
      </w:pPr>
      <w:r w:rsidRPr="02567566">
        <w:rPr>
          <w:lang w:val="en-GB"/>
        </w:rPr>
        <w:t xml:space="preserve">Furthermore, the government sought to establish several public-private partnerships to alleviate gaps in digitalization and their negative impact on educational process. For instance, all three mobile operators on the market launched campaigns to support the teachers by providing them with free internet connection. </w:t>
      </w:r>
    </w:p>
    <w:p w14:paraId="37CCF513" w14:textId="111B3954" w:rsidR="00304398" w:rsidRPr="00304398" w:rsidRDefault="00304398" w:rsidP="00CF67DA">
      <w:pPr>
        <w:jc w:val="both"/>
        <w:rPr>
          <w:lang w:val="en-GB"/>
        </w:rPr>
      </w:pPr>
      <w:r w:rsidRPr="00304398">
        <w:rPr>
          <w:lang w:val="en-GB"/>
        </w:rPr>
        <w:t>Additional support to the education process was provided through the launch of three platforms “educatieonline.md”, “</w:t>
      </w:r>
      <w:proofErr w:type="spellStart"/>
      <w:proofErr w:type="gramStart"/>
      <w:r w:rsidRPr="00304398">
        <w:rPr>
          <w:lang w:val="en-GB"/>
        </w:rPr>
        <w:t>invat.online</w:t>
      </w:r>
      <w:proofErr w:type="spellEnd"/>
      <w:proofErr w:type="gramEnd"/>
      <w:r w:rsidRPr="00304398">
        <w:rPr>
          <w:lang w:val="en-GB"/>
        </w:rPr>
        <w:t xml:space="preserve">” and “studii.md”. </w:t>
      </w:r>
      <w:r w:rsidR="00A61328">
        <w:rPr>
          <w:lang w:val="en-GB"/>
        </w:rPr>
        <w:t>Even though t</w:t>
      </w:r>
      <w:r w:rsidRPr="00304398">
        <w:rPr>
          <w:lang w:val="en-GB"/>
        </w:rPr>
        <w:t>he last one was developed prior to the pandemic, new functionalities</w:t>
      </w:r>
      <w:r w:rsidR="00A61328">
        <w:rPr>
          <w:lang w:val="en-GB"/>
        </w:rPr>
        <w:t xml:space="preserve"> were added</w:t>
      </w:r>
      <w:r w:rsidRPr="00304398">
        <w:rPr>
          <w:lang w:val="en-GB"/>
        </w:rPr>
        <w:t xml:space="preserve"> following the emergency lockdown and the decision on home-schooling.</w:t>
      </w:r>
      <w:r w:rsidR="00A61328">
        <w:rPr>
          <w:rStyle w:val="FootnoteReference"/>
          <w:lang w:val="en-GB"/>
        </w:rPr>
        <w:footnoteReference w:id="70"/>
      </w:r>
    </w:p>
    <w:p w14:paraId="6CF8FB7D" w14:textId="63D19027" w:rsidR="004E3111" w:rsidRPr="006242B5" w:rsidRDefault="00304398" w:rsidP="00CF67DA">
      <w:pPr>
        <w:jc w:val="both"/>
        <w:rPr>
          <w:highlight w:val="yellow"/>
        </w:rPr>
      </w:pPr>
      <w:r w:rsidRPr="00304398">
        <w:rPr>
          <w:lang w:val="en-GB"/>
        </w:rPr>
        <w:t>Despite these extensive tools and initiatives, a nation-wide survey with educators in Moldova revealed that some teachers still struggle to appropriately use the recommended technologies. On the other hand, some wished that the government guidelines could have been tightened somewhat by their own school or institution, because using the same platforms could have enabled staff to better assist one another during the transition.</w:t>
      </w:r>
      <w:r w:rsidR="00A61328">
        <w:rPr>
          <w:rStyle w:val="FootnoteReference"/>
          <w:lang w:val="en-GB"/>
        </w:rPr>
        <w:footnoteReference w:id="71"/>
      </w:r>
    </w:p>
    <w:p w14:paraId="11016023" w14:textId="65539738" w:rsidR="147885A2" w:rsidRPr="00CF67DA" w:rsidRDefault="0099740D" w:rsidP="00CF67DA">
      <w:pPr>
        <w:pStyle w:val="Heading2"/>
      </w:pPr>
      <w:bookmarkStart w:id="262" w:name="_Toc74850941"/>
      <w:r w:rsidRPr="00CF67DA">
        <w:t xml:space="preserve">2.4 </w:t>
      </w:r>
      <w:r w:rsidR="002E7B10" w:rsidRPr="00CF67DA">
        <w:tab/>
      </w:r>
      <w:r w:rsidR="7A281851" w:rsidRPr="00CF67DA">
        <w:t xml:space="preserve">Building block 4 - </w:t>
      </w:r>
      <w:r w:rsidR="002A454E" w:rsidRPr="00CF67DA">
        <w:t>Sector</w:t>
      </w:r>
      <w:r w:rsidR="3B664420" w:rsidRPr="00CF67DA">
        <w:t>-</w:t>
      </w:r>
      <w:r w:rsidR="008D4A72" w:rsidRPr="00CF67DA">
        <w:t>centric</w:t>
      </w:r>
      <w:r w:rsidR="00AB79B0" w:rsidRPr="00CF67DA">
        <w:t xml:space="preserve"> digital transformation</w:t>
      </w:r>
      <w:bookmarkEnd w:id="262"/>
    </w:p>
    <w:p w14:paraId="63B47793" w14:textId="14D2E73F" w:rsidR="00AE62D0" w:rsidRDefault="73A492ED" w:rsidP="00CF67DA">
      <w:pPr>
        <w:jc w:val="both"/>
        <w:rPr>
          <w:rFonts w:eastAsia="Calibri"/>
        </w:rPr>
      </w:pPr>
      <w:r w:rsidRPr="7E8FD016">
        <w:rPr>
          <w:rFonts w:eastAsia="Calibri"/>
        </w:rPr>
        <w:t>Having addressed the</w:t>
      </w:r>
      <w:r w:rsidR="00AE62D0" w:rsidRPr="7E8FD016">
        <w:rPr>
          <w:rFonts w:eastAsia="Calibri"/>
        </w:rPr>
        <w:t xml:space="preserve"> digital transformation dimensions of infrastructure,</w:t>
      </w:r>
      <w:r w:rsidR="00FA7CC7" w:rsidRPr="7E8FD016">
        <w:rPr>
          <w:rFonts w:eastAsia="Calibri"/>
        </w:rPr>
        <w:t xml:space="preserve"> people</w:t>
      </w:r>
      <w:r w:rsidR="166D868F" w:rsidRPr="7E8FD016">
        <w:rPr>
          <w:rFonts w:eastAsia="Calibri"/>
        </w:rPr>
        <w:t>-centric</w:t>
      </w:r>
      <w:r w:rsidR="00FA7CC7" w:rsidRPr="7E8FD016">
        <w:rPr>
          <w:rFonts w:eastAsia="Calibri"/>
        </w:rPr>
        <w:t xml:space="preserve"> and government</w:t>
      </w:r>
      <w:r w:rsidR="070C1A1D" w:rsidRPr="7E8FD016">
        <w:rPr>
          <w:rFonts w:eastAsia="Calibri"/>
        </w:rPr>
        <w:t>-centric approaches</w:t>
      </w:r>
      <w:r w:rsidR="00FA7CC7" w:rsidRPr="7E8FD016">
        <w:rPr>
          <w:rFonts w:eastAsia="Calibri"/>
        </w:rPr>
        <w:t xml:space="preserve">, </w:t>
      </w:r>
      <w:r w:rsidR="03721D31" w:rsidRPr="7E8FD016">
        <w:rPr>
          <w:rFonts w:eastAsia="Calibri"/>
        </w:rPr>
        <w:t xml:space="preserve">this section will utilize the critical lens of sector-centric digital transformation, </w:t>
      </w:r>
      <w:r w:rsidR="004361A0" w:rsidRPr="7E8FD016">
        <w:rPr>
          <w:rFonts w:eastAsia="Calibri"/>
        </w:rPr>
        <w:t>analyzing</w:t>
      </w:r>
      <w:r w:rsidR="00FA7CC7" w:rsidRPr="7E8FD016">
        <w:rPr>
          <w:rFonts w:eastAsia="Calibri"/>
        </w:rPr>
        <w:t xml:space="preserve"> </w:t>
      </w:r>
      <w:r w:rsidR="46AE0AE0" w:rsidRPr="7E8FD016">
        <w:rPr>
          <w:rFonts w:eastAsia="Calibri"/>
        </w:rPr>
        <w:t>the</w:t>
      </w:r>
      <w:r w:rsidR="00FA7CC7" w:rsidRPr="7E8FD016">
        <w:rPr>
          <w:rFonts w:eastAsia="Calibri"/>
        </w:rPr>
        <w:t xml:space="preserve"> </w:t>
      </w:r>
      <w:r w:rsidR="00A73CFB" w:rsidRPr="7E8FD016">
        <w:rPr>
          <w:rFonts w:eastAsia="Calibri"/>
        </w:rPr>
        <w:t xml:space="preserve">specific sectors </w:t>
      </w:r>
      <w:r w:rsidR="035ACFD0" w:rsidRPr="7E8FD016">
        <w:rPr>
          <w:rFonts w:eastAsia="Calibri"/>
        </w:rPr>
        <w:t xml:space="preserve">which are affected by, and which dually enable, </w:t>
      </w:r>
      <w:r w:rsidR="004361A0" w:rsidRPr="7E8FD016">
        <w:rPr>
          <w:rFonts w:eastAsia="Calibri"/>
        </w:rPr>
        <w:t>increasing levels</w:t>
      </w:r>
      <w:r w:rsidR="00716EEA" w:rsidRPr="7E8FD016">
        <w:rPr>
          <w:rFonts w:eastAsia="Calibri"/>
        </w:rPr>
        <w:t xml:space="preserve"> of digital transformation in the Republic of </w:t>
      </w:r>
      <w:r w:rsidR="004361A0">
        <w:rPr>
          <w:rFonts w:eastAsia="Calibri"/>
        </w:rPr>
        <w:t>Moldova</w:t>
      </w:r>
      <w:r w:rsidR="00716EEA" w:rsidRPr="7E8FD016">
        <w:rPr>
          <w:rFonts w:eastAsia="Calibri"/>
        </w:rPr>
        <w:t xml:space="preserve">. </w:t>
      </w:r>
    </w:p>
    <w:p w14:paraId="1DAC0474" w14:textId="1450A812" w:rsidR="00716EEA" w:rsidRPr="006242B5" w:rsidRDefault="00716EEA" w:rsidP="00CF67DA">
      <w:pPr>
        <w:jc w:val="both"/>
        <w:rPr>
          <w:rFonts w:eastAsia="Calibri"/>
        </w:rPr>
      </w:pPr>
      <w:r w:rsidRPr="7E8FD016">
        <w:rPr>
          <w:rFonts w:eastAsia="Calibri"/>
        </w:rPr>
        <w:t xml:space="preserve">This section will address </w:t>
      </w:r>
      <w:r w:rsidR="6299C922" w:rsidRPr="7E8FD016">
        <w:rPr>
          <w:rFonts w:eastAsia="Calibri"/>
        </w:rPr>
        <w:t>(</w:t>
      </w:r>
      <w:proofErr w:type="spellStart"/>
      <w:r w:rsidRPr="7E8FD016">
        <w:rPr>
          <w:rFonts w:eastAsia="Calibri"/>
        </w:rPr>
        <w:t>i</w:t>
      </w:r>
      <w:proofErr w:type="spellEnd"/>
      <w:r w:rsidRPr="7E8FD016">
        <w:rPr>
          <w:rFonts w:eastAsia="Calibri"/>
        </w:rPr>
        <w:t>) digital agriculture</w:t>
      </w:r>
      <w:r w:rsidR="002718D2" w:rsidRPr="7E8FD016">
        <w:rPr>
          <w:rFonts w:eastAsia="Calibri"/>
        </w:rPr>
        <w:t xml:space="preserve"> as a key productive sector in </w:t>
      </w:r>
      <w:r w:rsidR="004361A0">
        <w:rPr>
          <w:rFonts w:eastAsia="Calibri"/>
        </w:rPr>
        <w:t>Moldova</w:t>
      </w:r>
      <w:r w:rsidRPr="7E8FD016">
        <w:rPr>
          <w:rFonts w:eastAsia="Calibri"/>
        </w:rPr>
        <w:t xml:space="preserve">, </w:t>
      </w:r>
      <w:r w:rsidR="53AA3424" w:rsidRPr="7E8FD016">
        <w:rPr>
          <w:rFonts w:eastAsia="Calibri"/>
        </w:rPr>
        <w:t>(</w:t>
      </w:r>
      <w:r w:rsidRPr="7E8FD016">
        <w:rPr>
          <w:rFonts w:eastAsia="Calibri"/>
        </w:rPr>
        <w:t xml:space="preserve">ii) </w:t>
      </w:r>
      <w:r w:rsidR="004361A0">
        <w:rPr>
          <w:rFonts w:eastAsia="Calibri"/>
        </w:rPr>
        <w:t>di</w:t>
      </w:r>
      <w:r w:rsidR="002718D2" w:rsidRPr="7E8FD016">
        <w:rPr>
          <w:rFonts w:eastAsia="Calibri"/>
        </w:rPr>
        <w:t xml:space="preserve">gital </w:t>
      </w:r>
      <w:r w:rsidRPr="7E8FD016">
        <w:rPr>
          <w:rFonts w:eastAsia="Calibri"/>
        </w:rPr>
        <w:t xml:space="preserve">health </w:t>
      </w:r>
      <w:r w:rsidR="002718D2" w:rsidRPr="7E8FD016">
        <w:rPr>
          <w:rFonts w:eastAsia="Calibri"/>
        </w:rPr>
        <w:t xml:space="preserve">and e-health services </w:t>
      </w:r>
      <w:r w:rsidRPr="7E8FD016">
        <w:rPr>
          <w:rFonts w:eastAsia="Calibri"/>
        </w:rPr>
        <w:t xml:space="preserve">and </w:t>
      </w:r>
      <w:r w:rsidR="6130870C" w:rsidRPr="7E8FD016">
        <w:rPr>
          <w:rFonts w:eastAsia="Calibri"/>
        </w:rPr>
        <w:t>(</w:t>
      </w:r>
      <w:r w:rsidRPr="7E8FD016">
        <w:rPr>
          <w:rFonts w:eastAsia="Calibri"/>
        </w:rPr>
        <w:t xml:space="preserve">iii) the role of SMEs </w:t>
      </w:r>
      <w:r w:rsidR="002718D2" w:rsidRPr="7E8FD016">
        <w:rPr>
          <w:rFonts w:eastAsia="Calibri"/>
        </w:rPr>
        <w:t>in fostering digital transformation</w:t>
      </w:r>
      <w:r w:rsidR="00AC078F" w:rsidRPr="7E8FD016">
        <w:rPr>
          <w:rFonts w:eastAsia="Calibri"/>
        </w:rPr>
        <w:t>.</w:t>
      </w:r>
    </w:p>
    <w:p w14:paraId="33298058" w14:textId="1F473FC2" w:rsidR="008E5397" w:rsidRPr="00CF67DA" w:rsidRDefault="0099740D" w:rsidP="00CF67DA">
      <w:pPr>
        <w:pStyle w:val="Heading3"/>
      </w:pPr>
      <w:bookmarkStart w:id="263" w:name="_Toc74850942"/>
      <w:r w:rsidRPr="00CF67DA">
        <w:t xml:space="preserve">2.4.1 </w:t>
      </w:r>
      <w:r w:rsidR="428451FB" w:rsidRPr="00CF67DA">
        <w:t xml:space="preserve">Digital </w:t>
      </w:r>
      <w:r w:rsidR="00E90073" w:rsidRPr="00CF67DA">
        <w:t>a</w:t>
      </w:r>
      <w:r w:rsidR="428451FB" w:rsidRPr="00CF67DA">
        <w:t>griculture</w:t>
      </w:r>
      <w:bookmarkEnd w:id="263"/>
      <w:r w:rsidR="428451FB" w:rsidRPr="00CF67DA">
        <w:t xml:space="preserve"> </w:t>
      </w:r>
    </w:p>
    <w:p w14:paraId="23F413AA" w14:textId="473FF5D0" w:rsidR="00FA3E8E" w:rsidRPr="00FA3E8E" w:rsidRDefault="00FA3E8E" w:rsidP="00CF67DA">
      <w:pPr>
        <w:jc w:val="both"/>
        <w:rPr>
          <w:rStyle w:val="fontstyle01"/>
          <w:color w:val="auto"/>
        </w:rPr>
      </w:pPr>
      <w:r w:rsidRPr="00FA3E8E">
        <w:rPr>
          <w:rStyle w:val="fontstyle01"/>
          <w:color w:val="auto"/>
        </w:rPr>
        <w:t xml:space="preserve">In the Republic of Moldova, agriculture plays a central role in the country's economy. The arable land represents about three quarters of the total territory of the country and the sector employs about one third of the country population. Despite the large size of the sector, its performance is uneven with the highly variable growth. During the last three years, the </w:t>
      </w:r>
      <w:r w:rsidR="000E277B">
        <w:rPr>
          <w:rStyle w:val="fontstyle01"/>
          <w:color w:val="auto"/>
        </w:rPr>
        <w:t xml:space="preserve">sector </w:t>
      </w:r>
      <w:r w:rsidRPr="00FA3E8E">
        <w:rPr>
          <w:rStyle w:val="fontstyle01"/>
          <w:color w:val="auto"/>
        </w:rPr>
        <w:t>accounts for 10–12% of GDP</w:t>
      </w:r>
      <w:r w:rsidR="000E277B">
        <w:rPr>
          <w:rStyle w:val="fontstyle01"/>
          <w:color w:val="auto"/>
        </w:rPr>
        <w:t>. I</w:t>
      </w:r>
      <w:r w:rsidR="000E277B" w:rsidRPr="00FA3E8E">
        <w:rPr>
          <w:rStyle w:val="fontstyle01"/>
          <w:color w:val="auto"/>
        </w:rPr>
        <w:t>n 2020</w:t>
      </w:r>
      <w:r w:rsidR="000E277B">
        <w:rPr>
          <w:rStyle w:val="fontstyle01"/>
          <w:color w:val="auto"/>
        </w:rPr>
        <w:t xml:space="preserve">, the </w:t>
      </w:r>
      <w:r w:rsidRPr="00FA3E8E">
        <w:rPr>
          <w:rStyle w:val="fontstyle01"/>
          <w:color w:val="auto"/>
        </w:rPr>
        <w:t>share of 9.5%</w:t>
      </w:r>
      <w:r w:rsidR="000E277B">
        <w:rPr>
          <w:rStyle w:val="fontstyle01"/>
          <w:color w:val="auto"/>
        </w:rPr>
        <w:t xml:space="preserve"> of GDP was registered</w:t>
      </w:r>
      <w:r w:rsidRPr="00FA3E8E">
        <w:rPr>
          <w:rStyle w:val="fontstyle01"/>
          <w:color w:val="auto"/>
        </w:rPr>
        <w:t xml:space="preserve"> </w:t>
      </w:r>
      <w:r w:rsidR="000E277B">
        <w:rPr>
          <w:rStyle w:val="fontstyle01"/>
          <w:color w:val="auto"/>
        </w:rPr>
        <w:t xml:space="preserve">preceded </w:t>
      </w:r>
      <w:r w:rsidRPr="00FA3E8E">
        <w:rPr>
          <w:rStyle w:val="fontstyle01"/>
          <w:color w:val="auto"/>
        </w:rPr>
        <w:t xml:space="preserve">by </w:t>
      </w:r>
      <w:r w:rsidR="000E277B">
        <w:rPr>
          <w:rStyle w:val="fontstyle01"/>
          <w:color w:val="auto"/>
        </w:rPr>
        <w:t xml:space="preserve">the </w:t>
      </w:r>
      <w:r w:rsidRPr="00FA3E8E">
        <w:rPr>
          <w:rStyle w:val="fontstyle01"/>
          <w:color w:val="auto"/>
        </w:rPr>
        <w:t xml:space="preserve">2.7% </w:t>
      </w:r>
      <w:r w:rsidR="000E277B">
        <w:rPr>
          <w:rStyle w:val="fontstyle01"/>
          <w:color w:val="auto"/>
        </w:rPr>
        <w:t>decrease in comparison</w:t>
      </w:r>
      <w:r w:rsidRPr="00FA3E8E">
        <w:rPr>
          <w:rStyle w:val="fontstyle01"/>
          <w:color w:val="auto"/>
        </w:rPr>
        <w:t xml:space="preserve"> to the previous year.</w:t>
      </w:r>
      <w:r w:rsidRPr="00FA3E8E">
        <w:rPr>
          <w:rStyle w:val="FootnoteReference"/>
          <w:rFonts w:ascii="Calibri-Light" w:hAnsi="Calibri-Light"/>
        </w:rPr>
        <w:footnoteReference w:id="72"/>
      </w:r>
      <w:r w:rsidRPr="00FA3E8E">
        <w:rPr>
          <w:rStyle w:val="fontstyle01"/>
          <w:color w:val="auto"/>
        </w:rPr>
        <w:t xml:space="preserve"> </w:t>
      </w:r>
    </w:p>
    <w:p w14:paraId="4122FBBB" w14:textId="63A49C0B" w:rsidR="00FA3E8E" w:rsidRPr="00FA3E8E" w:rsidRDefault="00FA3E8E" w:rsidP="00CF67DA">
      <w:pPr>
        <w:jc w:val="both"/>
        <w:rPr>
          <w:rStyle w:val="fontstyle01"/>
          <w:color w:val="auto"/>
        </w:rPr>
      </w:pPr>
      <w:r w:rsidRPr="00FA3E8E">
        <w:rPr>
          <w:rStyle w:val="fontstyle01"/>
          <w:color w:val="auto"/>
        </w:rPr>
        <w:t>Due to the sector’s vulnerability to the weather, setting it on the sustainable development path is challenging but also critical for country economic growth.</w:t>
      </w:r>
      <w:r w:rsidR="00806A4D">
        <w:rPr>
          <w:rStyle w:val="fontstyle01"/>
          <w:color w:val="auto"/>
        </w:rPr>
        <w:t xml:space="preserve"> </w:t>
      </w:r>
      <w:r w:rsidRPr="00FA3E8E">
        <w:rPr>
          <w:rStyle w:val="fontstyle01"/>
          <w:color w:val="auto"/>
        </w:rPr>
        <w:t xml:space="preserve">A small number of largescale farmers are </w:t>
      </w:r>
      <w:r w:rsidRPr="00FA3E8E">
        <w:rPr>
          <w:rStyle w:val="fontstyle01"/>
          <w:color w:val="auto"/>
        </w:rPr>
        <w:lastRenderedPageBreak/>
        <w:t>increasingly able to exploit the expanded opportunities afforded by the free trade agreement with the EU, the country’s main agricultural export destination. Smallholders, however, struggle to comply with the strict EU market requirements and therefore target the more accessible CIS markets. Subsistence farming is on the increase and productivity has fallen, leading a quarter of the young rural population to migrate to cities. Smallholders are particularly vulnerable to accelerating climate change as they are the least equipped to adapt to its effects.</w:t>
      </w:r>
      <w:r w:rsidRPr="00FA3E8E">
        <w:rPr>
          <w:rStyle w:val="FootnoteReference"/>
          <w:rFonts w:ascii="Calibri-Light" w:hAnsi="Calibri-Light"/>
        </w:rPr>
        <w:footnoteReference w:id="73"/>
      </w:r>
    </w:p>
    <w:p w14:paraId="762002DB" w14:textId="69627262" w:rsidR="00FA3E8E" w:rsidRPr="00FA3E8E" w:rsidRDefault="00FA3E8E" w:rsidP="00CF67DA">
      <w:pPr>
        <w:jc w:val="both"/>
      </w:pPr>
      <w:r w:rsidRPr="00FA3E8E">
        <w:rPr>
          <w:rStyle w:val="fontstyle01"/>
          <w:color w:val="auto"/>
        </w:rPr>
        <w:t>To achieve substantial exports to the EU, Moldova's farmers must comply to the high product quality standards and traceability requirements of these markets. Improving the competitiveness of agricultural product will imply improving productivity by upgrading the production processes</w:t>
      </w:r>
      <w:r w:rsidR="00793A97">
        <w:rPr>
          <w:rStyle w:val="fontstyle01"/>
          <w:color w:val="auto"/>
        </w:rPr>
        <w:t xml:space="preserve"> and</w:t>
      </w:r>
      <w:r w:rsidRPr="00FA3E8E">
        <w:t xml:space="preserve"> </w:t>
      </w:r>
      <w:r w:rsidRPr="00FA3E8E">
        <w:rPr>
          <w:rStyle w:val="fontstyle01"/>
          <w:color w:val="auto"/>
        </w:rPr>
        <w:t>increasing quality by improving harvest and post-harvest processes</w:t>
      </w:r>
      <w:r w:rsidRPr="00FA3E8E">
        <w:t xml:space="preserve">. </w:t>
      </w:r>
      <w:r w:rsidR="00793A97">
        <w:t>All of these are complex processes that will require the government support to be achieved.</w:t>
      </w:r>
    </w:p>
    <w:p w14:paraId="25E68FCC" w14:textId="093B4534" w:rsidR="00FA3E8E" w:rsidRPr="00FA3E8E" w:rsidRDefault="00793A97" w:rsidP="00CF67DA">
      <w:pPr>
        <w:jc w:val="both"/>
        <w:rPr>
          <w:rStyle w:val="fontstyle01"/>
          <w:color w:val="auto"/>
        </w:rPr>
      </w:pPr>
      <w:r>
        <w:rPr>
          <w:rStyle w:val="fontstyle01"/>
          <w:color w:val="auto"/>
        </w:rPr>
        <w:t xml:space="preserve">The </w:t>
      </w:r>
      <w:r w:rsidR="00FA3E8E" w:rsidRPr="00FA3E8E">
        <w:rPr>
          <w:rStyle w:val="fontstyle01"/>
          <w:color w:val="auto"/>
        </w:rPr>
        <w:t>ICT-centric innovation ecosystem country review of Moldova performed by ITU in 2017</w:t>
      </w:r>
      <w:r w:rsidR="00FA3E8E" w:rsidRPr="00FA3E8E">
        <w:rPr>
          <w:rStyle w:val="FootnoteReference"/>
          <w:rFonts w:ascii="Calibri-Light" w:hAnsi="Calibri-Light"/>
        </w:rPr>
        <w:footnoteReference w:id="74"/>
      </w:r>
      <w:r w:rsidR="00FA3E8E" w:rsidRPr="00FA3E8E">
        <w:rPr>
          <w:rStyle w:val="fontstyle01"/>
          <w:color w:val="auto"/>
        </w:rPr>
        <w:t xml:space="preserve">, highlighted that the </w:t>
      </w:r>
      <w:r>
        <w:rPr>
          <w:rStyle w:val="fontstyle01"/>
          <w:color w:val="auto"/>
        </w:rPr>
        <w:t xml:space="preserve">country </w:t>
      </w:r>
      <w:r w:rsidR="00FA3E8E" w:rsidRPr="00FA3E8E">
        <w:rPr>
          <w:rStyle w:val="fontstyle01"/>
          <w:color w:val="auto"/>
        </w:rPr>
        <w:t xml:space="preserve">strategies currently focus on international priorities and should instead refocus on national strengths. </w:t>
      </w:r>
      <w:r>
        <w:rPr>
          <w:rStyle w:val="fontstyle01"/>
          <w:color w:val="auto"/>
        </w:rPr>
        <w:t>The</w:t>
      </w:r>
      <w:r w:rsidR="00FA3E8E" w:rsidRPr="00FA3E8E">
        <w:rPr>
          <w:rStyle w:val="fontstyle01"/>
          <w:color w:val="auto"/>
        </w:rPr>
        <w:t xml:space="preserve"> stakeholders interviewed as part of th</w:t>
      </w:r>
      <w:r>
        <w:rPr>
          <w:rStyle w:val="fontstyle01"/>
          <w:color w:val="auto"/>
        </w:rPr>
        <w:t>is</w:t>
      </w:r>
      <w:r w:rsidR="00FA3E8E" w:rsidRPr="00FA3E8E">
        <w:rPr>
          <w:rStyle w:val="fontstyle01"/>
          <w:color w:val="auto"/>
        </w:rPr>
        <w:t xml:space="preserve"> study said that specific ICT areas or other economic sectors or specialized niches should be prioritized under a comprehensive strategy. Some of the suggested areas were nanotechnology, e-agriculture and the aerospace industry. </w:t>
      </w:r>
      <w:r>
        <w:rPr>
          <w:rStyle w:val="fontstyle01"/>
          <w:color w:val="auto"/>
        </w:rPr>
        <w:t>Also, t</w:t>
      </w:r>
      <w:r w:rsidR="00FA3E8E" w:rsidRPr="00FA3E8E">
        <w:rPr>
          <w:rStyle w:val="fontstyle01"/>
          <w:color w:val="auto"/>
        </w:rPr>
        <w:t xml:space="preserve">he smart specialization areas identified in Moldova are ICTs, agriculture and food processing, biomedicine and energy (where agriculture also plays a role). </w:t>
      </w:r>
    </w:p>
    <w:p w14:paraId="1927451A" w14:textId="6A771194" w:rsidR="00FA3E8E" w:rsidRPr="00FA3E8E" w:rsidRDefault="00793A97" w:rsidP="00CF67DA">
      <w:pPr>
        <w:jc w:val="both"/>
        <w:rPr>
          <w:rStyle w:val="fontstyle01"/>
          <w:color w:val="auto"/>
        </w:rPr>
      </w:pPr>
      <w:r>
        <w:rPr>
          <w:rStyle w:val="fontstyle01"/>
          <w:color w:val="auto"/>
        </w:rPr>
        <w:t xml:space="preserve">In this context, among </w:t>
      </w:r>
      <w:r w:rsidR="00FA3E8E" w:rsidRPr="00FA3E8E">
        <w:rPr>
          <w:rStyle w:val="fontstyle01"/>
          <w:color w:val="auto"/>
        </w:rPr>
        <w:t xml:space="preserve">the Government </w:t>
      </w:r>
      <w:r>
        <w:rPr>
          <w:rStyle w:val="fontstyle01"/>
          <w:color w:val="auto"/>
        </w:rPr>
        <w:t>initiatives meant to achieve the</w:t>
      </w:r>
      <w:r w:rsidR="00FA3E8E" w:rsidRPr="00FA3E8E">
        <w:rPr>
          <w:rStyle w:val="fontstyle01"/>
          <w:color w:val="auto"/>
        </w:rPr>
        <w:t xml:space="preserve"> sector transformation can be recalled the Strategic </w:t>
      </w:r>
      <w:proofErr w:type="spellStart"/>
      <w:r w:rsidR="00FA3E8E" w:rsidRPr="00FA3E8E">
        <w:rPr>
          <w:rStyle w:val="fontstyle01"/>
          <w:color w:val="auto"/>
        </w:rPr>
        <w:t>Programme</w:t>
      </w:r>
      <w:proofErr w:type="spellEnd"/>
      <w:r w:rsidR="00FA3E8E" w:rsidRPr="00FA3E8E">
        <w:rPr>
          <w:rStyle w:val="fontstyle01"/>
          <w:color w:val="auto"/>
        </w:rPr>
        <w:t xml:space="preserve"> for technological modernization of development policies in the agro-industrial sector (e-agriculture) approved in 2013. The </w:t>
      </w:r>
      <w:proofErr w:type="spellStart"/>
      <w:r>
        <w:rPr>
          <w:rStyle w:val="fontstyle01"/>
          <w:color w:val="auto"/>
        </w:rPr>
        <w:t>P</w:t>
      </w:r>
      <w:r w:rsidR="00FA3E8E" w:rsidRPr="00FA3E8E">
        <w:rPr>
          <w:rStyle w:val="fontstyle01"/>
          <w:color w:val="auto"/>
        </w:rPr>
        <w:t>rogramme</w:t>
      </w:r>
      <w:proofErr w:type="spellEnd"/>
      <w:r w:rsidR="00FA3E8E" w:rsidRPr="00FA3E8E">
        <w:rPr>
          <w:rStyle w:val="fontstyle01"/>
          <w:color w:val="auto"/>
        </w:rPr>
        <w:t xml:space="preserve"> aimed to digitize the public services provided by the Ministry’s subdivisions, create integrated information systems for preparing and implementing the sector’s development strategies, and develop surveillance information systems to ensure food safety and security. The concept of e-agriculture was devised in the context of State food safety and security, the National Strategy for Agricultural and Rural Development (2014–2020), and the strategic </w:t>
      </w:r>
      <w:proofErr w:type="spellStart"/>
      <w:r w:rsidR="00FA3E8E" w:rsidRPr="00FA3E8E">
        <w:rPr>
          <w:rStyle w:val="fontstyle01"/>
          <w:color w:val="auto"/>
        </w:rPr>
        <w:t>programme</w:t>
      </w:r>
      <w:proofErr w:type="spellEnd"/>
      <w:r w:rsidR="00FA3E8E" w:rsidRPr="00FA3E8E">
        <w:rPr>
          <w:rStyle w:val="fontstyle01"/>
          <w:color w:val="auto"/>
        </w:rPr>
        <w:t xml:space="preserve"> for the technological modernization of the government (e-Transformation).</w:t>
      </w:r>
      <w:r w:rsidR="00FA3E8E" w:rsidRPr="00FA3E8E">
        <w:rPr>
          <w:rStyle w:val="FootnoteReference"/>
          <w:rFonts w:ascii="Calibri-Light" w:hAnsi="Calibri-Light"/>
        </w:rPr>
        <w:footnoteReference w:id="75"/>
      </w:r>
    </w:p>
    <w:p w14:paraId="203FCC64" w14:textId="5592B5D7" w:rsidR="00FA3E8E" w:rsidRPr="00FA3E8E" w:rsidRDefault="00FA3E8E" w:rsidP="007D57A3">
      <w:pPr>
        <w:jc w:val="both"/>
        <w:rPr>
          <w:rStyle w:val="fontstyle01"/>
          <w:color w:val="auto"/>
        </w:rPr>
      </w:pPr>
      <w:r w:rsidRPr="00FA3E8E">
        <w:rPr>
          <w:rStyle w:val="fontstyle01"/>
          <w:color w:val="auto"/>
        </w:rPr>
        <w:t>In order to solve problems in the priority sectoral needs of agriculture and contribute to the implementation of agro-industrial sector development policies, several information systems have</w:t>
      </w:r>
      <w:r w:rsidRPr="00A42331">
        <w:rPr>
          <w:rStyle w:val="fontstyle01"/>
          <w:color w:val="auto"/>
        </w:rPr>
        <w:br/>
      </w:r>
      <w:r w:rsidRPr="00FA3E8E">
        <w:rPr>
          <w:rStyle w:val="fontstyle01"/>
          <w:color w:val="auto"/>
        </w:rPr>
        <w:t>been developed</w:t>
      </w:r>
      <w:r w:rsidR="00381476">
        <w:rPr>
          <w:rStyle w:val="fontstyle01"/>
          <w:color w:val="auto"/>
        </w:rPr>
        <w:t xml:space="preserve"> including: </w:t>
      </w:r>
      <w:r w:rsidRPr="00FA3E8E">
        <w:rPr>
          <w:rStyle w:val="fontstyle01"/>
          <w:color w:val="auto"/>
        </w:rPr>
        <w:t xml:space="preserve">the </w:t>
      </w:r>
      <w:hyperlink r:id="rId25" w:history="1">
        <w:r w:rsidRPr="002F466A">
          <w:rPr>
            <w:rStyle w:val="Hyperlink"/>
            <w:rFonts w:ascii="Calibri" w:hAnsi="Calibri" w:cs="Calibri"/>
          </w:rPr>
          <w:t>Digital Agricultural Register</w:t>
        </w:r>
      </w:hyperlink>
      <w:r w:rsidRPr="002F466A">
        <w:rPr>
          <w:rStyle w:val="fontstyle01"/>
          <w:color w:val="auto"/>
        </w:rPr>
        <w:t xml:space="preserve">; the State Animal Register; </w:t>
      </w:r>
      <w:hyperlink r:id="rId26" w:history="1">
        <w:r w:rsidRPr="002F466A">
          <w:rPr>
            <w:rStyle w:val="Hyperlink"/>
            <w:rFonts w:ascii="Calibri" w:hAnsi="Calibri" w:cs="Calibri"/>
          </w:rPr>
          <w:t>the System of Identification and Traceability of Animals</w:t>
        </w:r>
      </w:hyperlink>
      <w:r w:rsidRPr="002F466A">
        <w:rPr>
          <w:rStyle w:val="fontstyle01"/>
          <w:color w:val="auto"/>
        </w:rPr>
        <w:t xml:space="preserve">; </w:t>
      </w:r>
      <w:r w:rsidR="007D57A3" w:rsidRPr="007D57A3">
        <w:rPr>
          <w:rStyle w:val="fontstyle01"/>
          <w:color w:val="auto"/>
        </w:rPr>
        <w:t>Automated Information System</w:t>
      </w:r>
      <w:r w:rsidR="007D57A3">
        <w:rPr>
          <w:rStyle w:val="fontstyle01"/>
          <w:color w:val="auto"/>
        </w:rPr>
        <w:t xml:space="preserve"> for </w:t>
      </w:r>
      <w:r w:rsidRPr="002F466A">
        <w:rPr>
          <w:rStyle w:val="fontstyle01"/>
          <w:color w:val="auto"/>
        </w:rPr>
        <w:t>Management of Strategic Sanitary-Veterinary Measures; the Agricultural Equipment Register;</w:t>
      </w:r>
      <w:r w:rsidR="004A7A16" w:rsidRPr="004A7A16">
        <w:rPr>
          <w:rStyle w:val="fontstyle01"/>
          <w:color w:val="auto"/>
        </w:rPr>
        <w:t xml:space="preserve"> </w:t>
      </w:r>
      <w:r w:rsidR="004A7A16" w:rsidRPr="00FA3E8E">
        <w:rPr>
          <w:rStyle w:val="fontstyle01"/>
          <w:color w:val="auto"/>
        </w:rPr>
        <w:t>Automated Information System</w:t>
      </w:r>
      <w:r w:rsidR="007D57A3">
        <w:rPr>
          <w:rStyle w:val="fontstyle01"/>
          <w:color w:val="auto"/>
        </w:rPr>
        <w:t xml:space="preserve"> for</w:t>
      </w:r>
      <w:r w:rsidR="004A7A16" w:rsidRPr="00FA3E8E">
        <w:rPr>
          <w:rStyle w:val="fontstyle01"/>
          <w:color w:val="auto"/>
        </w:rPr>
        <w:t xml:space="preserve"> the Evidence of the Applicants and the Beneficiaries</w:t>
      </w:r>
      <w:r w:rsidR="00CA3F26">
        <w:rPr>
          <w:rStyle w:val="fontstyle01"/>
          <w:color w:val="auto"/>
        </w:rPr>
        <w:t xml:space="preserve"> </w:t>
      </w:r>
      <w:r w:rsidR="004A7A16" w:rsidRPr="00FA3E8E">
        <w:rPr>
          <w:rStyle w:val="fontstyle01"/>
          <w:color w:val="auto"/>
        </w:rPr>
        <w:t>of Grants</w:t>
      </w:r>
      <w:r w:rsidR="004A7A16">
        <w:rPr>
          <w:rStyle w:val="fontstyle01"/>
          <w:color w:val="auto"/>
        </w:rPr>
        <w:t xml:space="preserve"> (SIA ESBS)</w:t>
      </w:r>
      <w:r w:rsidRPr="002F466A">
        <w:rPr>
          <w:rStyle w:val="fontstyle01"/>
          <w:color w:val="auto"/>
        </w:rPr>
        <w:t xml:space="preserve">; </w:t>
      </w:r>
      <w:hyperlink r:id="rId27" w:history="1">
        <w:r w:rsidR="00CA3F26" w:rsidRPr="00CA3F26">
          <w:rPr>
            <w:rStyle w:val="Hyperlink"/>
            <w:rFonts w:ascii="Calibri" w:hAnsi="Calibri" w:cs="Calibri"/>
          </w:rPr>
          <w:t xml:space="preserve">Automated information system </w:t>
        </w:r>
        <w:r w:rsidR="00CA3F26" w:rsidRPr="00CA3F26">
          <w:rPr>
            <w:rStyle w:val="Hyperlink"/>
            <w:rFonts w:ascii="Calibri" w:hAnsi="Calibri" w:cs="Calibri"/>
          </w:rPr>
          <w:lastRenderedPageBreak/>
          <w:t>Vine and Wine Register</w:t>
        </w:r>
      </w:hyperlink>
      <w:r w:rsidRPr="002F466A">
        <w:rPr>
          <w:rStyle w:val="fontstyle01"/>
          <w:color w:val="auto"/>
        </w:rPr>
        <w:t xml:space="preserve">; </w:t>
      </w:r>
      <w:r w:rsidR="007D57A3" w:rsidRPr="007D57A3">
        <w:rPr>
          <w:rStyle w:val="fontstyle01"/>
          <w:color w:val="auto"/>
        </w:rPr>
        <w:t>Automated Information System</w:t>
      </w:r>
      <w:r w:rsidR="007D57A3">
        <w:rPr>
          <w:rStyle w:val="fontstyle01"/>
          <w:color w:val="auto"/>
        </w:rPr>
        <w:t xml:space="preserve"> for </w:t>
      </w:r>
      <w:r w:rsidRPr="002F466A">
        <w:rPr>
          <w:rStyle w:val="fontstyle01"/>
          <w:color w:val="auto"/>
        </w:rPr>
        <w:t>Management of the Release of Phytosanitary Certificates</w:t>
      </w:r>
      <w:r w:rsidRPr="00FA3E8E">
        <w:rPr>
          <w:rStyle w:val="FootnoteReference"/>
          <w:rFonts w:ascii="Calibri-Light" w:hAnsi="Calibri-Light"/>
        </w:rPr>
        <w:footnoteReference w:id="76"/>
      </w:r>
      <w:r w:rsidR="00CA3F26">
        <w:rPr>
          <w:rStyle w:val="fontstyle01"/>
          <w:color w:val="auto"/>
        </w:rPr>
        <w:t>.</w:t>
      </w:r>
    </w:p>
    <w:p w14:paraId="3AE32540" w14:textId="019F3170" w:rsidR="00FA3E8E" w:rsidRPr="00FA3E8E" w:rsidRDefault="00FA3E8E" w:rsidP="00CF67DA">
      <w:pPr>
        <w:jc w:val="both"/>
        <w:rPr>
          <w:rStyle w:val="fontstyle01"/>
          <w:color w:val="auto"/>
        </w:rPr>
      </w:pPr>
      <w:r w:rsidRPr="00FA3E8E">
        <w:t>A</w:t>
      </w:r>
      <w:r w:rsidR="00A42331">
        <w:t xml:space="preserve">nother </w:t>
      </w:r>
      <w:r w:rsidRPr="00FA3E8E">
        <w:t>barrier</w:t>
      </w:r>
      <w:r w:rsidR="00A42331">
        <w:t xml:space="preserve"> </w:t>
      </w:r>
      <w:r w:rsidRPr="00FA3E8E">
        <w:t xml:space="preserve">in the sector transformation process </w:t>
      </w:r>
      <w:r w:rsidR="00A42331">
        <w:t>is</w:t>
      </w:r>
      <w:r w:rsidRPr="00FA3E8E">
        <w:t xml:space="preserve"> the limited access to relevant information and poor links between stakeholders of the value chain.</w:t>
      </w:r>
      <w:r w:rsidR="00A42331">
        <w:t xml:space="preserve"> To improve the situation, </w:t>
      </w:r>
      <w:r w:rsidRPr="00FA3E8E">
        <w:rPr>
          <w:rStyle w:val="fontstyle01"/>
          <w:color w:val="auto"/>
        </w:rPr>
        <w:t>an open and interactive access to the statistical data collected by Ministry of Agriculture and Food Industry, the Digital Agriculture Map was launched in 2015.</w:t>
      </w:r>
      <w:r w:rsidRPr="00FA3E8E">
        <w:rPr>
          <w:rStyle w:val="FootnoteReference"/>
          <w:rFonts w:ascii="Calibri-Light" w:hAnsi="Calibri-Light"/>
        </w:rPr>
        <w:footnoteReference w:id="77"/>
      </w:r>
      <w:r w:rsidR="00806A4D">
        <w:rPr>
          <w:rStyle w:val="fontstyle01"/>
          <w:color w:val="auto"/>
        </w:rPr>
        <w:t xml:space="preserve"> </w:t>
      </w:r>
      <w:r w:rsidRPr="00FA3E8E">
        <w:rPr>
          <w:rStyle w:val="fontstyle01"/>
          <w:color w:val="auto"/>
        </w:rPr>
        <w:t>However, this tool doesn’t solve the entire issue and additional implication is required.</w:t>
      </w:r>
    </w:p>
    <w:p w14:paraId="3718C8B0" w14:textId="59094312" w:rsidR="00FA3E8E" w:rsidRPr="00FA3E8E" w:rsidRDefault="00A42331" w:rsidP="00CF67DA">
      <w:pPr>
        <w:jc w:val="both"/>
        <w:rPr>
          <w:rStyle w:val="fontstyle01"/>
          <w:color w:val="auto"/>
        </w:rPr>
      </w:pPr>
      <w:r>
        <w:rPr>
          <w:rStyle w:val="fontstyle01"/>
          <w:color w:val="auto"/>
        </w:rPr>
        <w:t>T</w:t>
      </w:r>
      <w:r w:rsidR="00FA3E8E" w:rsidRPr="00FA3E8E">
        <w:rPr>
          <w:rStyle w:val="fontstyle01"/>
          <w:color w:val="auto"/>
        </w:rPr>
        <w:t>he private companies are also involved in providing digital solutions to farmers, including on agrometeorological data. Orange Moldova has started to introduce digital solutions for farmers, including GPS solutions for fuel control and vehicle monitoring – to optimize costs, save fuel, prevent fraud and promote auto-guidance – and digital tools for collecting, storing and analyzing weather conditions to protect crops. The services are to be accessed using high-speed Internet all over the country.</w:t>
      </w:r>
    </w:p>
    <w:p w14:paraId="4CD7E9DE" w14:textId="26468D9F" w:rsidR="00FA3E8E" w:rsidRPr="00FA3E8E" w:rsidRDefault="00A42331" w:rsidP="00CF67DA">
      <w:pPr>
        <w:jc w:val="both"/>
        <w:rPr>
          <w:rStyle w:val="fontstyle01"/>
          <w:color w:val="auto"/>
        </w:rPr>
      </w:pPr>
      <w:r>
        <w:rPr>
          <w:rStyle w:val="fontstyle01"/>
          <w:color w:val="auto"/>
        </w:rPr>
        <w:t>Besides, t</w:t>
      </w:r>
      <w:r w:rsidR="00FA3E8E" w:rsidRPr="00FA3E8E">
        <w:rPr>
          <w:rStyle w:val="fontstyle01"/>
          <w:color w:val="auto"/>
        </w:rPr>
        <w:t xml:space="preserve">he currently ongoing FAO project will significantly improve data collection and management in respect of Moldovan agricultural and rural statistics from 2020, bringing them in line with international standards and enabling the collection of data on important SDG indicators on </w:t>
      </w:r>
      <w:proofErr w:type="spellStart"/>
      <w:r w:rsidR="00FA3E8E" w:rsidRPr="00FA3E8E">
        <w:rPr>
          <w:rStyle w:val="fontstyle01"/>
          <w:color w:val="auto"/>
        </w:rPr>
        <w:t>labour</w:t>
      </w:r>
      <w:proofErr w:type="spellEnd"/>
      <w:r w:rsidR="00FA3E8E" w:rsidRPr="00FA3E8E">
        <w:rPr>
          <w:rStyle w:val="fontstyle01"/>
          <w:color w:val="auto"/>
        </w:rPr>
        <w:t xml:space="preserve"> productivity and smallholder incomes.</w:t>
      </w:r>
      <w:r w:rsidR="00FA3E8E" w:rsidRPr="00FA3E8E">
        <w:rPr>
          <w:rStyle w:val="FootnoteReference"/>
          <w:rFonts w:ascii="Calibri-Light" w:hAnsi="Calibri-Light"/>
        </w:rPr>
        <w:t xml:space="preserve"> </w:t>
      </w:r>
      <w:r w:rsidR="00FA3E8E" w:rsidRPr="00FA3E8E">
        <w:rPr>
          <w:rStyle w:val="FootnoteReference"/>
          <w:rFonts w:ascii="Calibri-Light" w:hAnsi="Calibri-Light"/>
        </w:rPr>
        <w:footnoteReference w:id="78"/>
      </w:r>
    </w:p>
    <w:p w14:paraId="1233D300" w14:textId="77777777" w:rsidR="00FA3E8E" w:rsidRPr="00FA3E8E" w:rsidRDefault="00FA3E8E" w:rsidP="00CF67DA">
      <w:pPr>
        <w:jc w:val="both"/>
        <w:rPr>
          <w:rFonts w:ascii="Open Sans" w:hAnsi="Open Sans" w:cs="Open Sans"/>
          <w:sz w:val="20"/>
          <w:szCs w:val="20"/>
          <w:shd w:val="clear" w:color="auto" w:fill="FFFFFF"/>
        </w:rPr>
      </w:pPr>
      <w:r w:rsidRPr="77ECB594">
        <w:rPr>
          <w:rStyle w:val="fontstyle01"/>
          <w:rFonts w:cstheme="minorBidi"/>
          <w:color w:val="auto"/>
        </w:rPr>
        <w:t>Another FAO project launched in 2021 is focused on mainstreaming climate change adaptation into the country’s national planning processes for reduced vulnerability to climate change at local and central levels. This three-year project will integrate climate change adaptation responses into the planning processes of the agriculture sector by facilitating the local actions of six selected districts from the country’s southern, central, and northern regions for improved planning and budgeting of climate change adaptation measures</w:t>
      </w:r>
      <w:r w:rsidRPr="00FA3E8E">
        <w:rPr>
          <w:rFonts w:ascii="Open Sans" w:hAnsi="Open Sans" w:cs="Open Sans"/>
          <w:sz w:val="20"/>
          <w:szCs w:val="20"/>
          <w:shd w:val="clear" w:color="auto" w:fill="FFFFFF"/>
        </w:rPr>
        <w:t>. </w:t>
      </w:r>
      <w:r w:rsidRPr="00FA3E8E">
        <w:rPr>
          <w:rStyle w:val="FootnoteReference"/>
          <w:rFonts w:ascii="Open Sans" w:hAnsi="Open Sans" w:cs="Open Sans"/>
          <w:sz w:val="20"/>
          <w:szCs w:val="20"/>
          <w:shd w:val="clear" w:color="auto" w:fill="FFFFFF"/>
        </w:rPr>
        <w:footnoteReference w:id="79"/>
      </w:r>
    </w:p>
    <w:p w14:paraId="6932694F" w14:textId="4801BC9F" w:rsidR="00FA3E8E" w:rsidRPr="00FA3E8E" w:rsidRDefault="00FA3E8E" w:rsidP="00CF67DA">
      <w:pPr>
        <w:jc w:val="both"/>
        <w:rPr>
          <w:rStyle w:val="fontstyle01"/>
          <w:color w:val="auto"/>
        </w:rPr>
      </w:pPr>
      <w:r w:rsidRPr="00FA3E8E">
        <w:rPr>
          <w:rStyle w:val="fontstyle01"/>
          <w:color w:val="auto"/>
        </w:rPr>
        <w:t xml:space="preserve">The </w:t>
      </w:r>
      <w:proofErr w:type="spellStart"/>
      <w:r w:rsidRPr="00FA3E8E">
        <w:rPr>
          <w:rStyle w:val="fontstyle01"/>
          <w:color w:val="auto"/>
        </w:rPr>
        <w:t>Tekwill</w:t>
      </w:r>
      <w:proofErr w:type="spellEnd"/>
      <w:r w:rsidRPr="00FA3E8E">
        <w:rPr>
          <w:rStyle w:val="fontstyle01"/>
          <w:color w:val="auto"/>
        </w:rPr>
        <w:t xml:space="preserve"> Project </w:t>
      </w:r>
      <w:r w:rsidR="00A42331">
        <w:rPr>
          <w:rStyle w:val="fontstyle01"/>
          <w:color w:val="auto"/>
        </w:rPr>
        <w:t>also started to</w:t>
      </w:r>
      <w:r w:rsidRPr="00FA3E8E">
        <w:rPr>
          <w:rStyle w:val="fontstyle01"/>
          <w:color w:val="auto"/>
        </w:rPr>
        <w:t xml:space="preserve"> engage in supporting the strategic sectors of the economy. In this context, supporting the agriculture transformation is one of the 5 business verticals in the framework of the "Startup Moldova" Digital Impact National </w:t>
      </w:r>
      <w:proofErr w:type="spellStart"/>
      <w:r w:rsidRPr="00FA3E8E">
        <w:rPr>
          <w:rStyle w:val="fontstyle01"/>
          <w:color w:val="auto"/>
        </w:rPr>
        <w:t>Programme</w:t>
      </w:r>
      <w:proofErr w:type="spellEnd"/>
      <w:r w:rsidRPr="00FA3E8E">
        <w:rPr>
          <w:rStyle w:val="fontstyle01"/>
          <w:color w:val="auto"/>
        </w:rPr>
        <w:t>. This platform encourages sectoral collaboration between representatives of traditional and IT industries. In line with the program priorities, “</w:t>
      </w:r>
      <w:proofErr w:type="spellStart"/>
      <w:r w:rsidRPr="00FA3E8E">
        <w:rPr>
          <w:rStyle w:val="fontstyle01"/>
          <w:color w:val="auto"/>
        </w:rPr>
        <w:t>AgTech</w:t>
      </w:r>
      <w:proofErr w:type="spellEnd"/>
      <w:r w:rsidRPr="00FA3E8E">
        <w:rPr>
          <w:rStyle w:val="fontstyle01"/>
          <w:color w:val="auto"/>
        </w:rPr>
        <w:t xml:space="preserve"> conference” is organized already a second year in a row</w:t>
      </w:r>
      <w:r w:rsidR="0042438D">
        <w:rPr>
          <w:rStyle w:val="fontstyle01"/>
          <w:color w:val="auto"/>
        </w:rPr>
        <w:t xml:space="preserve"> and it serves for</w:t>
      </w:r>
      <w:r w:rsidRPr="00FA3E8E">
        <w:rPr>
          <w:rStyle w:val="fontstyle01"/>
          <w:color w:val="auto"/>
        </w:rPr>
        <w:t xml:space="preserve"> discussion </w:t>
      </w:r>
      <w:r w:rsidR="0042438D">
        <w:rPr>
          <w:rStyle w:val="fontstyle01"/>
          <w:color w:val="auto"/>
        </w:rPr>
        <w:t>on</w:t>
      </w:r>
      <w:r w:rsidRPr="00FA3E8E">
        <w:rPr>
          <w:rStyle w:val="fontstyle01"/>
          <w:color w:val="auto"/>
        </w:rPr>
        <w:t xml:space="preserve"> promot</w:t>
      </w:r>
      <w:r w:rsidR="0042438D">
        <w:rPr>
          <w:rStyle w:val="fontstyle01"/>
          <w:color w:val="auto"/>
        </w:rPr>
        <w:t>ing</w:t>
      </w:r>
      <w:r w:rsidRPr="00FA3E8E">
        <w:rPr>
          <w:rStyle w:val="fontstyle01"/>
          <w:color w:val="auto"/>
        </w:rPr>
        <w:t xml:space="preserve"> the competitiveness and sustainability of agriculture with the help of information technologies.</w:t>
      </w:r>
      <w:r w:rsidRPr="00FA3E8E">
        <w:rPr>
          <w:rStyle w:val="FootnoteReference"/>
          <w:rFonts w:ascii="Calibri-Light" w:hAnsi="Calibri-Light"/>
        </w:rPr>
        <w:footnoteReference w:id="80"/>
      </w:r>
    </w:p>
    <w:p w14:paraId="6937B42D" w14:textId="53B8D811" w:rsidR="38274B63" w:rsidRPr="00CF67DA" w:rsidRDefault="00483F67" w:rsidP="00CF67DA">
      <w:pPr>
        <w:pStyle w:val="Heading3"/>
      </w:pPr>
      <w:bookmarkStart w:id="264" w:name="_Toc74850943"/>
      <w:r w:rsidRPr="00CF67DA">
        <w:lastRenderedPageBreak/>
        <w:t>2.</w:t>
      </w:r>
      <w:r w:rsidR="0099740D" w:rsidRPr="00CF67DA">
        <w:t>4</w:t>
      </w:r>
      <w:r w:rsidRPr="00CF67DA">
        <w:t>.</w:t>
      </w:r>
      <w:r w:rsidR="0099740D" w:rsidRPr="00CF67DA">
        <w:t>2</w:t>
      </w:r>
      <w:r w:rsidRPr="00CF67DA">
        <w:t xml:space="preserve"> </w:t>
      </w:r>
      <w:r w:rsidR="38274B63" w:rsidRPr="00CF67DA">
        <w:t xml:space="preserve">Digital </w:t>
      </w:r>
      <w:r w:rsidR="00E90073" w:rsidRPr="00CF67DA">
        <w:t>h</w:t>
      </w:r>
      <w:r w:rsidR="38274B63" w:rsidRPr="00CF67DA">
        <w:t>ealth</w:t>
      </w:r>
      <w:bookmarkEnd w:id="264"/>
      <w:r w:rsidR="38274B63" w:rsidRPr="00CF67DA">
        <w:t xml:space="preserve"> </w:t>
      </w:r>
    </w:p>
    <w:p w14:paraId="35E25216" w14:textId="02F34515" w:rsidR="009C358C" w:rsidRDefault="009C358C" w:rsidP="00CF67DA">
      <w:pPr>
        <w:jc w:val="both"/>
        <w:rPr>
          <w:rStyle w:val="fontstyle01"/>
        </w:rPr>
      </w:pPr>
      <w:r w:rsidRPr="001907FF">
        <w:t>In 2013, the country adopted a National Development Strategy “Moldova 2020” which identified health as one of sector key areas for Moldova's sustainable development alongside culture, social security and environmental protection. In line with it, the National Public Health Strategy for 2014-2020 was developed and aimed to implement actions to improve the health of the population, strengthen and promote health system, reduce inequ</w:t>
      </w:r>
      <w:r w:rsidR="000F49FC">
        <w:t>al</w:t>
      </w:r>
      <w:r w:rsidRPr="001907FF">
        <w:t>ities in the health system and create the conditions for the alignment of public health with WHO standards</w:t>
      </w:r>
      <w:r>
        <w:rPr>
          <w:rStyle w:val="fontstyle01"/>
        </w:rPr>
        <w:t>.</w:t>
      </w:r>
    </w:p>
    <w:p w14:paraId="4673ED82" w14:textId="71DBC713" w:rsidR="009C358C" w:rsidRDefault="009C358C" w:rsidP="00CF67DA">
      <w:pPr>
        <w:jc w:val="both"/>
        <w:rPr>
          <w:rFonts w:ascii="ArialMT" w:hAnsi="ArialMT"/>
          <w:color w:val="000000"/>
          <w:sz w:val="20"/>
          <w:szCs w:val="20"/>
        </w:rPr>
      </w:pPr>
      <w:r w:rsidRPr="006A28D9">
        <w:t>One of the initiatives addressed by this strategy was 112 System implementation.</w:t>
      </w:r>
      <w:r>
        <w:t xml:space="preserve"> This service is currently fully functional and is </w:t>
      </w:r>
      <w:r w:rsidRPr="00780EF7">
        <w:t>organized as an integrated structure</w:t>
      </w:r>
      <w:r>
        <w:t>. T</w:t>
      </w:r>
      <w:r w:rsidRPr="00780EF7">
        <w:t xml:space="preserve">he 112 emergency call handling centers ensure the reception of emergency calls throughout the </w:t>
      </w:r>
      <w:r>
        <w:t>country</w:t>
      </w:r>
      <w:r w:rsidRPr="00780EF7">
        <w:t xml:space="preserve">, </w:t>
      </w:r>
      <w:r>
        <w:t>locate</w:t>
      </w:r>
      <w:r w:rsidRPr="00780EF7">
        <w:t xml:space="preserve"> the caller, process</w:t>
      </w:r>
      <w:r w:rsidR="000F49FC">
        <w:t>es</w:t>
      </w:r>
      <w:r w:rsidRPr="00780EF7">
        <w:t xml:space="preserve"> the obtained information through the Automated Information System of the 112 Service, and request</w:t>
      </w:r>
      <w:r w:rsidR="000F49FC">
        <w:t>s</w:t>
      </w:r>
      <w:r w:rsidRPr="00780EF7">
        <w:t xml:space="preserve"> </w:t>
      </w:r>
      <w:r>
        <w:t>interventions</w:t>
      </w:r>
      <w:r w:rsidRPr="00780EF7">
        <w:t xml:space="preserve"> of the Ambulance, Police and Fire Brigades.</w:t>
      </w:r>
      <w:r>
        <w:t xml:space="preserve"> </w:t>
      </w:r>
      <w:r w:rsidR="000F49FC">
        <w:t>By design,</w:t>
      </w:r>
      <w:r>
        <w:t xml:space="preserve"> cooperation among institutions stays at the core of this service.</w:t>
      </w:r>
      <w:r w:rsidRPr="001907FF">
        <w:rPr>
          <w:rStyle w:val="FootnoteReference"/>
          <w:rFonts w:ascii="ArialMT" w:hAnsi="ArialMT"/>
          <w:color w:val="000000"/>
          <w:sz w:val="20"/>
          <w:szCs w:val="20"/>
        </w:rPr>
        <w:t xml:space="preserve"> </w:t>
      </w:r>
      <w:r>
        <w:rPr>
          <w:rStyle w:val="FootnoteReference"/>
          <w:rFonts w:ascii="ArialMT" w:hAnsi="ArialMT"/>
          <w:color w:val="000000"/>
          <w:sz w:val="20"/>
          <w:szCs w:val="20"/>
        </w:rPr>
        <w:footnoteReference w:id="81"/>
      </w:r>
    </w:p>
    <w:p w14:paraId="686B740F" w14:textId="6388682B" w:rsidR="009C358C" w:rsidRDefault="009C358C" w:rsidP="00CF67DA">
      <w:pPr>
        <w:jc w:val="both"/>
      </w:pPr>
      <w:r w:rsidRPr="007A3947">
        <w:t>Another important step was the launch of Automated Information System for Primary Medicine</w:t>
      </w:r>
      <w:r w:rsidR="000F49FC">
        <w:t>. It</w:t>
      </w:r>
      <w:r w:rsidRPr="007A3947">
        <w:t xml:space="preserve"> is designed to automate the flow of information within the Public Health Care Institutions and represents a unique platform at national level that integrates all information related to patient health.</w:t>
      </w:r>
      <w:r w:rsidRPr="003B388E">
        <w:t xml:space="preserve"> </w:t>
      </w:r>
      <w:r w:rsidRPr="007A3947">
        <w:t xml:space="preserve">The system is hosted on the shared government platform – </w:t>
      </w:r>
      <w:proofErr w:type="spellStart"/>
      <w:r w:rsidRPr="007A3947">
        <w:t>mCloud</w:t>
      </w:r>
      <w:proofErr w:type="spellEnd"/>
      <w:r w:rsidRPr="003B388E">
        <w:t xml:space="preserve"> </w:t>
      </w:r>
      <w:r w:rsidRPr="007A3947">
        <w:t>which allows significant financial savings at national level.</w:t>
      </w:r>
      <w:r w:rsidRPr="003B388E">
        <w:t xml:space="preserve"> </w:t>
      </w:r>
      <w:r w:rsidRPr="007A3947">
        <w:t>The patient's electronic medical record is the core of this system and provides a convenient means of storing medical information to facilitate decision-making and the processing of personal data. Even though the health care professionals’ portal is operational, a patient portal is not implemented.</w:t>
      </w:r>
      <w:r w:rsidRPr="007A3947">
        <w:rPr>
          <w:vertAlign w:val="superscript"/>
        </w:rPr>
        <w:footnoteReference w:id="82"/>
      </w:r>
    </w:p>
    <w:p w14:paraId="7D504980" w14:textId="77777777" w:rsidR="009C358C" w:rsidRPr="00CB0CF6" w:rsidRDefault="009C358C" w:rsidP="00CF67DA">
      <w:pPr>
        <w:jc w:val="both"/>
      </w:pPr>
      <w:r w:rsidRPr="00CB0CF6">
        <w:t>Since 2017, the automated information system enabling hospitals to manage in real time the information on the flow of funds, supply of medicines, sanitary materials and even data on the health condition of each patient was introduced. It now successfully operates in 15 hospitals across the country.</w:t>
      </w:r>
      <w:r>
        <w:rPr>
          <w:rStyle w:val="FootnoteReference"/>
        </w:rPr>
        <w:footnoteReference w:id="83"/>
      </w:r>
    </w:p>
    <w:p w14:paraId="0C209C7A" w14:textId="0A9970FB" w:rsidR="009C358C" w:rsidRDefault="009C358C" w:rsidP="00CF67DA">
      <w:pPr>
        <w:jc w:val="both"/>
      </w:pPr>
      <w:r w:rsidRPr="00DB6D5D">
        <w:t>Also, Moldova’s National Medical Insurance Company (CNAM) roll</w:t>
      </w:r>
      <w:r>
        <w:t>ed</w:t>
      </w:r>
      <w:r w:rsidRPr="00DB6D5D">
        <w:t xml:space="preserve"> out </w:t>
      </w:r>
      <w:r>
        <w:t xml:space="preserve">a number of </w:t>
      </w:r>
      <w:r w:rsidRPr="00DB6D5D">
        <w:t xml:space="preserve">online </w:t>
      </w:r>
      <w:r>
        <w:t xml:space="preserve">services like: </w:t>
      </w:r>
      <w:r w:rsidRPr="00DB6D5D">
        <w:t>information system for reporting and keeping track of medical services</w:t>
      </w:r>
      <w:r>
        <w:t xml:space="preserve">, possibility of online payment through </w:t>
      </w:r>
      <w:proofErr w:type="spellStart"/>
      <w:r>
        <w:t>MPay</w:t>
      </w:r>
      <w:proofErr w:type="spellEnd"/>
      <w:r>
        <w:t xml:space="preserve"> </w:t>
      </w:r>
      <w:r w:rsidR="000F49FC">
        <w:t>for</w:t>
      </w:r>
      <w:r>
        <w:t xml:space="preserve"> the c</w:t>
      </w:r>
      <w:r w:rsidRPr="00DB6D5D">
        <w:t>ompulsory health insurance</w:t>
      </w:r>
      <w:r>
        <w:t>, v</w:t>
      </w:r>
      <w:r w:rsidRPr="00DB6D5D">
        <w:t xml:space="preserve">erification of </w:t>
      </w:r>
      <w:r>
        <w:t xml:space="preserve">the patient </w:t>
      </w:r>
      <w:r w:rsidRPr="00DB6D5D">
        <w:t>status in the compulsory health insurance system</w:t>
      </w:r>
      <w:r>
        <w:t xml:space="preserve">. CNAM services are integrated with the </w:t>
      </w:r>
      <w:r w:rsidR="009A6322">
        <w:t>governmental</w:t>
      </w:r>
      <w:r>
        <w:t xml:space="preserve"> portal “servicii.gov.md” and the newly launched citizen governmental portal.</w:t>
      </w:r>
      <w:r>
        <w:rPr>
          <w:rStyle w:val="FootnoteReference"/>
        </w:rPr>
        <w:footnoteReference w:id="84"/>
      </w:r>
    </w:p>
    <w:p w14:paraId="5A1FBA3A" w14:textId="77777777" w:rsidR="009C358C" w:rsidRPr="007A3947" w:rsidRDefault="009C358C" w:rsidP="00CF67DA">
      <w:pPr>
        <w:jc w:val="both"/>
      </w:pPr>
      <w:r>
        <w:t>In line with the above-mentioned initiatives, an</w:t>
      </w:r>
      <w:r w:rsidRPr="007A3947">
        <w:t xml:space="preserve"> important fact </w:t>
      </w:r>
      <w:r>
        <w:t>that should be highlighted is</w:t>
      </w:r>
      <w:r w:rsidRPr="007A3947">
        <w:t xml:space="preserve"> that the personal medical information is regulated under the Personal Data Protection Laws without a separate </w:t>
      </w:r>
      <w:r w:rsidRPr="007A3947">
        <w:lastRenderedPageBreak/>
        <w:t>health data regulation. However, the data protection regulation is in the process of harmonization with the EU GDPR.</w:t>
      </w:r>
      <w:r w:rsidRPr="007A3947">
        <w:rPr>
          <w:rStyle w:val="FootnoteReference"/>
          <w:rFonts w:ascii="ArialMT" w:hAnsi="ArialMT"/>
          <w:color w:val="000000"/>
          <w:sz w:val="20"/>
          <w:szCs w:val="20"/>
        </w:rPr>
        <w:t xml:space="preserve"> </w:t>
      </w:r>
      <w:r>
        <w:rPr>
          <w:rStyle w:val="FootnoteReference"/>
          <w:rFonts w:ascii="ArialMT" w:hAnsi="ArialMT"/>
          <w:color w:val="000000"/>
          <w:sz w:val="20"/>
          <w:szCs w:val="20"/>
        </w:rPr>
        <w:footnoteReference w:id="85"/>
      </w:r>
    </w:p>
    <w:p w14:paraId="0E382EF8" w14:textId="77777777" w:rsidR="009C358C" w:rsidRDefault="009C358C" w:rsidP="00CF67DA">
      <w:pPr>
        <w:jc w:val="both"/>
      </w:pPr>
      <w:r w:rsidRPr="007A3947">
        <w:t>Even though the country health system transformation still requires significant interventions, a lot of initiatives were implemented to support the sector digitization in response to the covid-19 crisis.</w:t>
      </w:r>
      <w:r>
        <w:t xml:space="preserve"> </w:t>
      </w:r>
    </w:p>
    <w:p w14:paraId="1C6EA927" w14:textId="77777777" w:rsidR="009C358C" w:rsidRDefault="009C358C" w:rsidP="00CF67DA">
      <w:pPr>
        <w:jc w:val="both"/>
      </w:pPr>
      <w:r>
        <w:t>One of them was the p</w:t>
      </w:r>
      <w:r w:rsidRPr="007A3947">
        <w:t>latform</w:t>
      </w:r>
      <w:r>
        <w:t xml:space="preserve"> with an </w:t>
      </w:r>
      <w:r w:rsidRPr="00DB6D5D">
        <w:t xml:space="preserve">active map of COVID-19 cases </w:t>
      </w:r>
      <w:r>
        <w:t xml:space="preserve">that </w:t>
      </w:r>
      <w:r w:rsidRPr="00DB6D5D">
        <w:t>ensures transparency and accessibility of information in real time.</w:t>
      </w:r>
      <w:r>
        <w:rPr>
          <w:rStyle w:val="FootnoteReference"/>
        </w:rPr>
        <w:footnoteReference w:id="86"/>
      </w:r>
    </w:p>
    <w:p w14:paraId="5C5BF477" w14:textId="5051ED8F" w:rsidR="009C358C" w:rsidRPr="00CB0CF6" w:rsidRDefault="009C358C" w:rsidP="00CF67DA">
      <w:pPr>
        <w:jc w:val="both"/>
      </w:pPr>
      <w:r w:rsidRPr="00CB0CF6">
        <w:t xml:space="preserve">Another </w:t>
      </w:r>
      <w:r w:rsidR="000F49FC">
        <w:t xml:space="preserve">way to </w:t>
      </w:r>
      <w:r w:rsidRPr="00CB0CF6">
        <w:t xml:space="preserve">facilitate the work of healthcare staff </w:t>
      </w:r>
      <w:r w:rsidR="000F49FC">
        <w:t xml:space="preserve">was implementation of </w:t>
      </w:r>
      <w:r w:rsidRPr="00CB0CF6">
        <w:t>a national system that offered a possibility of reporting COVID-19 data to the National Agency for Public Health. Every person passing the covid-19 test was attributed with an identification code and the results were submitted</w:t>
      </w:r>
      <w:r w:rsidR="000F49FC">
        <w:t xml:space="preserve"> automatically</w:t>
      </w:r>
      <w:r w:rsidRPr="00CB0CF6">
        <w:t xml:space="preserve"> to the database of people confirmed with SARS-CoV-2.</w:t>
      </w:r>
    </w:p>
    <w:p w14:paraId="4EBE5504" w14:textId="0E7343B2" w:rsidR="009C358C" w:rsidRPr="00C26AAB" w:rsidRDefault="009C358C" w:rsidP="00CF67DA">
      <w:pPr>
        <w:jc w:val="both"/>
      </w:pPr>
      <w:r w:rsidRPr="00C26AAB">
        <w:t xml:space="preserve">Also, an online application called the </w:t>
      </w:r>
      <w:r w:rsidR="000F49FC">
        <w:t>“</w:t>
      </w:r>
      <w:proofErr w:type="spellStart"/>
      <w:r w:rsidRPr="00C26AAB">
        <w:t>Medcast</w:t>
      </w:r>
      <w:proofErr w:type="spellEnd"/>
      <w:r w:rsidRPr="00C26AAB">
        <w:t xml:space="preserve"> chatbot</w:t>
      </w:r>
      <w:r w:rsidR="000F49FC">
        <w:t>”</w:t>
      </w:r>
      <w:r w:rsidRPr="00C26AAB">
        <w:t xml:space="preserve"> was developed by a group of volunteer IT experts. It allows users a possibility to pre-diagnose COVID-19, monitor their symptoms, and report the data to their family doctor. </w:t>
      </w:r>
      <w:r w:rsidR="000F49FC">
        <w:t xml:space="preserve">Medical workers with credentials can as well </w:t>
      </w:r>
      <w:r w:rsidR="000F49FC" w:rsidRPr="00C26AAB">
        <w:t>obtain information from patients under monitoring and download reports on their health</w:t>
      </w:r>
      <w:r w:rsidR="000F49FC">
        <w:t>. At the same time, t</w:t>
      </w:r>
      <w:r w:rsidRPr="00C26AAB">
        <w:t xml:space="preserve">he platform provides details about the rules imposed during the state of emergency and </w:t>
      </w:r>
      <w:r w:rsidR="00463454" w:rsidRPr="00C26AAB">
        <w:t>lockdown.</w:t>
      </w:r>
      <w:r w:rsidRPr="00C26AAB">
        <w:rPr>
          <w:vertAlign w:val="superscript"/>
        </w:rPr>
        <w:footnoteReference w:id="87"/>
      </w:r>
    </w:p>
    <w:p w14:paraId="76D067D8" w14:textId="142A1700" w:rsidR="009C358C" w:rsidRDefault="00463454" w:rsidP="00CF67DA">
      <w:pPr>
        <w:jc w:val="both"/>
        <w:rPr>
          <w:rStyle w:val="fontstyle01"/>
        </w:rPr>
      </w:pPr>
      <w:r>
        <w:t>As the emergency situation caused by the global pandemic crisis starts to slowly alleviate, the</w:t>
      </w:r>
      <w:r w:rsidR="009C358C" w:rsidRPr="00C26AAB">
        <w:t xml:space="preserve"> next step</w:t>
      </w:r>
      <w:r>
        <w:t>s</w:t>
      </w:r>
      <w:r w:rsidR="009C358C" w:rsidRPr="00C26AAB">
        <w:t xml:space="preserve"> of the health system transformation in Moldova are to be provided by the eHealth strategy which is currently in the drafting phase. During its implementation, the existing eGovernment services and infrastructure is planned to be re-used to support the eHealth digital enablement</w:t>
      </w:r>
      <w:r w:rsidR="009C358C">
        <w:rPr>
          <w:rStyle w:val="fontstyle01"/>
        </w:rPr>
        <w:t>.</w:t>
      </w:r>
      <w:r w:rsidR="009C358C">
        <w:rPr>
          <w:rStyle w:val="FootnoteReference"/>
          <w:rFonts w:ascii="ArialMT" w:hAnsi="ArialMT"/>
          <w:color w:val="000000"/>
          <w:sz w:val="20"/>
          <w:szCs w:val="20"/>
        </w:rPr>
        <w:footnoteReference w:id="88"/>
      </w:r>
    </w:p>
    <w:p w14:paraId="1BD10EFC" w14:textId="7D0E82BE" w:rsidR="546F69ED" w:rsidRPr="00CF67DA" w:rsidRDefault="0099740D" w:rsidP="00CF67DA">
      <w:pPr>
        <w:pStyle w:val="Heading3"/>
      </w:pPr>
      <w:bookmarkStart w:id="265" w:name="_Toc74850944"/>
      <w:r w:rsidRPr="00CF67DA">
        <w:t xml:space="preserve">2.4.3 </w:t>
      </w:r>
      <w:r w:rsidR="0043669A" w:rsidRPr="00CF67DA">
        <w:t>T</w:t>
      </w:r>
      <w:r w:rsidR="546F69ED" w:rsidRPr="00CF67DA">
        <w:t>he role of SMEs</w:t>
      </w:r>
      <w:bookmarkEnd w:id="265"/>
      <w:r w:rsidR="546F69ED" w:rsidRPr="00CF67DA">
        <w:t xml:space="preserve"> </w:t>
      </w:r>
    </w:p>
    <w:p w14:paraId="7F567D0B" w14:textId="77777777" w:rsidR="001A0FE8" w:rsidRPr="001A0FE8" w:rsidRDefault="001A0FE8" w:rsidP="00CF67DA">
      <w:pPr>
        <w:jc w:val="both"/>
        <w:rPr>
          <w:rFonts w:eastAsiaTheme="minorHAnsi"/>
        </w:rPr>
      </w:pPr>
      <w:r w:rsidRPr="001A0FE8">
        <w:rPr>
          <w:rFonts w:eastAsiaTheme="minorHAnsi"/>
        </w:rPr>
        <w:t xml:space="preserve">In Moldova, SMEs are main drivers of the economy. According to the National Bureau of Statistics, in 2019 they represented about 98,6% from the total number of enterprises, generated 39,5% of sales revenue in economy and employed 61,6% of people working for the enterprises.  </w:t>
      </w:r>
    </w:p>
    <w:p w14:paraId="340801B6" w14:textId="2459C7A6" w:rsidR="001A0FE8" w:rsidRPr="001A0FE8" w:rsidRDefault="001A0FE8" w:rsidP="00CF67DA">
      <w:pPr>
        <w:jc w:val="both"/>
        <w:rPr>
          <w:rFonts w:eastAsiaTheme="minorHAnsi"/>
        </w:rPr>
      </w:pPr>
      <w:r w:rsidRPr="77ECB594">
        <w:t>In 2019, the majority of SMEs were active in trade</w:t>
      </w:r>
      <w:r w:rsidR="008B36CA" w:rsidRPr="77ECB594">
        <w:t>. Their number reached</w:t>
      </w:r>
      <w:r w:rsidRPr="77ECB594">
        <w:t xml:space="preserve"> 20.3 thousand enterprises</w:t>
      </w:r>
      <w:r w:rsidR="008B36CA" w:rsidRPr="77ECB594">
        <w:t xml:space="preserve"> and re</w:t>
      </w:r>
      <w:r w:rsidRPr="77ECB594">
        <w:t>present</w:t>
      </w:r>
      <w:r w:rsidR="008B36CA" w:rsidRPr="77ECB594">
        <w:t>ed</w:t>
      </w:r>
      <w:r w:rsidRPr="77ECB594">
        <w:t xml:space="preserve"> 36.3% of all SMEs. Another 17.1% of all small and medium-sized enterprises were working in the manufacturing industry (8.4%) and were active in professional, scientific and technical activities (8.7%).</w:t>
      </w:r>
      <w:r w:rsidRPr="77ECB594">
        <w:rPr>
          <w:vertAlign w:val="superscript"/>
        </w:rPr>
        <w:footnoteReference w:id="89"/>
      </w:r>
    </w:p>
    <w:p w14:paraId="3236808E" w14:textId="7856D21E" w:rsidR="001A0FE8" w:rsidRPr="001A0FE8" w:rsidRDefault="008B36CA" w:rsidP="00CF67DA">
      <w:pPr>
        <w:jc w:val="both"/>
        <w:rPr>
          <w:rFonts w:eastAsiaTheme="minorHAnsi"/>
        </w:rPr>
      </w:pPr>
      <w:r w:rsidRPr="77ECB594">
        <w:lastRenderedPageBreak/>
        <w:t>In order to properly respond to the SMEs needs, t</w:t>
      </w:r>
      <w:r w:rsidR="001A0FE8" w:rsidRPr="77ECB594">
        <w:t xml:space="preserve">he long-term and medium-term policy framework </w:t>
      </w:r>
      <w:r w:rsidRPr="77ECB594">
        <w:t>was provided</w:t>
      </w:r>
      <w:r w:rsidR="001A0FE8" w:rsidRPr="77ECB594">
        <w:t xml:space="preserve"> by the Strategy for the Development of the Small and Medium-Sized Enterprise Sector for 2012-2020. This document </w:t>
      </w:r>
      <w:r w:rsidRPr="77ECB594">
        <w:t xml:space="preserve">aims to generate a </w:t>
      </w:r>
      <w:r w:rsidR="001A0FE8" w:rsidRPr="77ECB594">
        <w:t>shift from the consumption-based economic development model to a new paradigm oriented towards exports, investment and innovation, the political desire for European integration and global economic trends.</w:t>
      </w:r>
      <w:r w:rsidR="001A0FE8" w:rsidRPr="77ECB594">
        <w:rPr>
          <w:vertAlign w:val="superscript"/>
        </w:rPr>
        <w:footnoteReference w:id="90"/>
      </w:r>
    </w:p>
    <w:p w14:paraId="6FEE8E77" w14:textId="27B37C22" w:rsidR="001A0FE8" w:rsidRPr="001A0FE8" w:rsidRDefault="001A0FE8" w:rsidP="00CF67DA">
      <w:pPr>
        <w:jc w:val="both"/>
        <w:rPr>
          <w:rFonts w:eastAsiaTheme="minorHAnsi"/>
        </w:rPr>
      </w:pPr>
      <w:r w:rsidRPr="77ECB594">
        <w:t>This Strategy was followed by the Support Program for businesses with high potential of growth and internationalization</w:t>
      </w:r>
      <w:r w:rsidR="008B36CA" w:rsidRPr="77ECB594">
        <w:t xml:space="preserve"> </w:t>
      </w:r>
      <w:r w:rsidRPr="77ECB594">
        <w:t xml:space="preserve">approved in 2020. Its </w:t>
      </w:r>
      <w:r w:rsidR="008B36CA" w:rsidRPr="77ECB594">
        <w:t>goal</w:t>
      </w:r>
      <w:r w:rsidR="00057A38" w:rsidRPr="77ECB594">
        <w:t>s are</w:t>
      </w:r>
      <w:r w:rsidRPr="77ECB594">
        <w:t xml:space="preserve"> to generate an increase of SMEs sales revenue through applying new business models and implementation of modern technologies, to empower SMEs to promote their products and services through national and international electronic platforms, and </w:t>
      </w:r>
      <w:r w:rsidR="00057A38" w:rsidRPr="77ECB594">
        <w:t xml:space="preserve">to </w:t>
      </w:r>
      <w:r w:rsidRPr="77ECB594">
        <w:t xml:space="preserve">facilitate </w:t>
      </w:r>
      <w:r w:rsidR="00057A38" w:rsidRPr="77ECB594">
        <w:t xml:space="preserve">SMEs </w:t>
      </w:r>
      <w:r w:rsidRPr="77ECB594">
        <w:t>access to finance.</w:t>
      </w:r>
      <w:r w:rsidRPr="77ECB594">
        <w:rPr>
          <w:vertAlign w:val="superscript"/>
        </w:rPr>
        <w:footnoteReference w:id="91"/>
      </w:r>
    </w:p>
    <w:p w14:paraId="2DDC64FE" w14:textId="4E923F5E" w:rsidR="001A0FE8" w:rsidRPr="001A0FE8" w:rsidRDefault="001A0FE8" w:rsidP="00CF67DA">
      <w:pPr>
        <w:jc w:val="both"/>
        <w:rPr>
          <w:rFonts w:eastAsiaTheme="minorHAnsi"/>
        </w:rPr>
      </w:pPr>
      <w:r w:rsidRPr="77ECB594">
        <w:t xml:space="preserve">Based on these strategic documents, the Government </w:t>
      </w:r>
      <w:r w:rsidR="00057A38" w:rsidRPr="77ECB594">
        <w:t>has put in place</w:t>
      </w:r>
      <w:r w:rsidRPr="77ECB594">
        <w:t xml:space="preserve"> a wide range of projects</w:t>
      </w:r>
      <w:r w:rsidR="00057A38" w:rsidRPr="77ECB594">
        <w:t xml:space="preserve"> to support SMEs like</w:t>
      </w:r>
      <w:r w:rsidRPr="77ECB594">
        <w:t xml:space="preserve">: Efficient Business Management </w:t>
      </w:r>
      <w:proofErr w:type="spellStart"/>
      <w:r w:rsidRPr="77ECB594">
        <w:t>Programme</w:t>
      </w:r>
      <w:proofErr w:type="spellEnd"/>
      <w:r w:rsidRPr="77ECB594">
        <w:t xml:space="preserve">, "PARE 1+1" </w:t>
      </w:r>
      <w:proofErr w:type="spellStart"/>
      <w:r w:rsidRPr="77ECB594">
        <w:t>Programme</w:t>
      </w:r>
      <w:proofErr w:type="spellEnd"/>
      <w:r w:rsidRPr="77ECB594">
        <w:t xml:space="preserve">, Women in Business </w:t>
      </w:r>
      <w:proofErr w:type="spellStart"/>
      <w:r w:rsidRPr="77ECB594">
        <w:t>Programme</w:t>
      </w:r>
      <w:proofErr w:type="spellEnd"/>
      <w:r w:rsidRPr="77ECB594">
        <w:t xml:space="preserve">, Start for Youth </w:t>
      </w:r>
      <w:proofErr w:type="spellStart"/>
      <w:r w:rsidRPr="77ECB594">
        <w:t>Programme</w:t>
      </w:r>
      <w:proofErr w:type="spellEnd"/>
      <w:r w:rsidRPr="77ECB594">
        <w:t>, etc.</w:t>
      </w:r>
      <w:r w:rsidRPr="77ECB594">
        <w:rPr>
          <w:vertAlign w:val="superscript"/>
        </w:rPr>
        <w:footnoteReference w:id="92"/>
      </w:r>
    </w:p>
    <w:p w14:paraId="7B1B1E31" w14:textId="77777777" w:rsidR="001A0FE8" w:rsidRPr="001A0FE8" w:rsidRDefault="001A0FE8" w:rsidP="00CF67DA">
      <w:pPr>
        <w:jc w:val="both"/>
        <w:rPr>
          <w:rFonts w:eastAsiaTheme="minorHAnsi"/>
        </w:rPr>
      </w:pPr>
      <w:r w:rsidRPr="77ECB594">
        <w:t>Overall, the market offers favorable conditions and instruments for the SMEs growth and efficient interaction with the government authorities. However, according to the latest surveys of ODIMM, less than 17% of SMEs have successfully integrated digital technologies in their work, which unveil huge untapped potential but also highlights an urgent need for SMEs to transform their businesses.</w:t>
      </w:r>
      <w:r w:rsidRPr="77ECB594">
        <w:rPr>
          <w:vertAlign w:val="superscript"/>
        </w:rPr>
        <w:footnoteReference w:id="93"/>
      </w:r>
    </w:p>
    <w:p w14:paraId="5347C13B" w14:textId="070606FE" w:rsidR="00057A38" w:rsidRDefault="001A0FE8" w:rsidP="00CF67DA">
      <w:pPr>
        <w:jc w:val="both"/>
        <w:rPr>
          <w:rFonts w:eastAsiaTheme="minorHAnsi"/>
        </w:rPr>
      </w:pPr>
      <w:r w:rsidRPr="001A0FE8">
        <w:rPr>
          <w:rFonts w:eastAsiaTheme="minorHAnsi"/>
        </w:rPr>
        <w:t xml:space="preserve">COVID pandemic has </w:t>
      </w:r>
      <w:r w:rsidR="00057A38">
        <w:rPr>
          <w:rFonts w:eastAsiaTheme="minorHAnsi"/>
        </w:rPr>
        <w:t>amplified</w:t>
      </w:r>
      <w:r w:rsidRPr="001A0FE8">
        <w:rPr>
          <w:rFonts w:eastAsiaTheme="minorHAnsi"/>
        </w:rPr>
        <w:t xml:space="preserve"> the importance of enterprises digitization </w:t>
      </w:r>
      <w:r w:rsidR="00057A38">
        <w:rPr>
          <w:rFonts w:eastAsiaTheme="minorHAnsi"/>
        </w:rPr>
        <w:t>and a</w:t>
      </w:r>
      <w:r w:rsidRPr="001A0FE8">
        <w:rPr>
          <w:rFonts w:eastAsiaTheme="minorHAnsi"/>
        </w:rPr>
        <w:t xml:space="preserve"> special focus </w:t>
      </w:r>
      <w:r w:rsidR="00057A38">
        <w:rPr>
          <w:rFonts w:eastAsiaTheme="minorHAnsi"/>
        </w:rPr>
        <w:t xml:space="preserve">was put </w:t>
      </w:r>
      <w:r w:rsidRPr="001A0FE8">
        <w:rPr>
          <w:rFonts w:eastAsiaTheme="minorHAnsi"/>
        </w:rPr>
        <w:t>on e-commerce</w:t>
      </w:r>
      <w:r w:rsidR="00057A38">
        <w:rPr>
          <w:rFonts w:eastAsiaTheme="minorHAnsi"/>
        </w:rPr>
        <w:t xml:space="preserve"> as a large share of country </w:t>
      </w:r>
      <w:proofErr w:type="gramStart"/>
      <w:r w:rsidR="00057A38">
        <w:rPr>
          <w:rFonts w:eastAsiaTheme="minorHAnsi"/>
        </w:rPr>
        <w:t>SME’s</w:t>
      </w:r>
      <w:proofErr w:type="gramEnd"/>
      <w:r w:rsidR="00057A38">
        <w:rPr>
          <w:rFonts w:eastAsiaTheme="minorHAnsi"/>
        </w:rPr>
        <w:t xml:space="preserve"> are active in trade</w:t>
      </w:r>
      <w:r w:rsidRPr="001A0FE8">
        <w:rPr>
          <w:rFonts w:eastAsiaTheme="minorHAnsi"/>
        </w:rPr>
        <w:t xml:space="preserve">. </w:t>
      </w:r>
    </w:p>
    <w:p w14:paraId="5A62274C" w14:textId="797F3575" w:rsidR="001A0FE8" w:rsidRPr="001A0FE8" w:rsidRDefault="00057A38" w:rsidP="00CF67DA">
      <w:pPr>
        <w:jc w:val="both"/>
        <w:rPr>
          <w:rFonts w:eastAsiaTheme="minorHAnsi"/>
        </w:rPr>
      </w:pPr>
      <w:r w:rsidRPr="77ECB594">
        <w:t>To support</w:t>
      </w:r>
      <w:r w:rsidR="001A0FE8" w:rsidRPr="77ECB594">
        <w:t xml:space="preserve"> SMEs in th</w:t>
      </w:r>
      <w:r w:rsidRPr="77ECB594">
        <w:t>e</w:t>
      </w:r>
      <w:r w:rsidR="001A0FE8" w:rsidRPr="77ECB594">
        <w:t xml:space="preserve"> process</w:t>
      </w:r>
      <w:r w:rsidRPr="77ECB594">
        <w:t xml:space="preserve"> of adjusting to new realities</w:t>
      </w:r>
      <w:r w:rsidR="001A0FE8" w:rsidRPr="77ECB594">
        <w:t xml:space="preserve">, the "SME </w:t>
      </w:r>
      <w:proofErr w:type="spellStart"/>
      <w:r w:rsidR="001A0FE8" w:rsidRPr="77ECB594">
        <w:t>Digitisation</w:t>
      </w:r>
      <w:proofErr w:type="spellEnd"/>
      <w:r w:rsidR="001A0FE8" w:rsidRPr="77ECB594">
        <w:t xml:space="preserve"> Support Instrument" was launched in June 2020. Until now, 175 business vouchers worth 3.4 million lei</w:t>
      </w:r>
      <w:r w:rsidR="00680899">
        <w:t xml:space="preserve"> (approx. 160 thousand EUR)</w:t>
      </w:r>
      <w:r w:rsidR="001A0FE8" w:rsidRPr="77ECB594">
        <w:t xml:space="preserve"> and 103 grants totaling 16.4 million lei</w:t>
      </w:r>
      <w:r w:rsidR="00680899">
        <w:t xml:space="preserve"> (approx. </w:t>
      </w:r>
      <w:r w:rsidR="00680899" w:rsidRPr="00680899">
        <w:t>772</w:t>
      </w:r>
      <w:r w:rsidR="00680899">
        <w:t xml:space="preserve"> thousand EUR)</w:t>
      </w:r>
      <w:r w:rsidR="001A0FE8" w:rsidRPr="77ECB594">
        <w:t xml:space="preserve"> were offered.</w:t>
      </w:r>
      <w:r w:rsidR="001A0FE8" w:rsidRPr="77ECB594">
        <w:rPr>
          <w:vertAlign w:val="superscript"/>
        </w:rPr>
        <w:footnoteReference w:id="94"/>
      </w:r>
      <w:r w:rsidR="001A0FE8" w:rsidRPr="77ECB594">
        <w:t xml:space="preserve"> This Program is ongoing and currently a new call was launched aiming to support women entrepreneurs and diaspora holding a business in the rural area and willing to digitally transform their business. The financial support in the form of a grant (200 000 lei</w:t>
      </w:r>
      <w:r w:rsidR="00680899">
        <w:t xml:space="preserve"> or approx.</w:t>
      </w:r>
      <w:r w:rsidR="00680899" w:rsidRPr="00680899">
        <w:t xml:space="preserve"> 942</w:t>
      </w:r>
      <w:r w:rsidR="00680899">
        <w:t>7 EUR</w:t>
      </w:r>
      <w:r w:rsidR="001A0FE8" w:rsidRPr="77ECB594">
        <w:t xml:space="preserve">) </w:t>
      </w:r>
      <w:r w:rsidRPr="77ECB594">
        <w:t>is</w:t>
      </w:r>
      <w:r w:rsidR="001A0FE8" w:rsidRPr="77ECB594">
        <w:t xml:space="preserve"> provided for the purchase of equipment and software to innovate and introduce new technologies in the context of the digitization of SMEs, </w:t>
      </w:r>
      <w:r w:rsidR="001A0FE8" w:rsidRPr="77ECB594">
        <w:lastRenderedPageBreak/>
        <w:t>consultancy in the specific steps required to implement software solutions and custom software solutions developed specifically for the enterprise, such as websites, online shops, etc.</w:t>
      </w:r>
      <w:r w:rsidR="00680899" w:rsidRPr="00680899">
        <w:rPr>
          <w:rStyle w:val="FootnoteReference"/>
        </w:rPr>
        <w:t xml:space="preserve"> </w:t>
      </w:r>
      <w:r w:rsidR="00680899">
        <w:rPr>
          <w:rStyle w:val="FootnoteReference"/>
        </w:rPr>
        <w:footnoteReference w:id="95"/>
      </w:r>
      <w:r w:rsidR="001A0FE8" w:rsidRPr="77ECB594">
        <w:rPr>
          <w:vertAlign w:val="superscript"/>
        </w:rPr>
        <w:footnoteReference w:id="96"/>
      </w:r>
    </w:p>
    <w:p w14:paraId="028A853A" w14:textId="77777777" w:rsidR="001A0FE8" w:rsidRPr="001A0FE8" w:rsidRDefault="001A0FE8" w:rsidP="00CF67DA">
      <w:pPr>
        <w:jc w:val="both"/>
        <w:rPr>
          <w:rFonts w:eastAsiaTheme="minorHAnsi"/>
        </w:rPr>
      </w:pPr>
      <w:r w:rsidRPr="77ECB594">
        <w:t xml:space="preserve">As part of SME </w:t>
      </w:r>
      <w:proofErr w:type="spellStart"/>
      <w:r w:rsidRPr="77ECB594">
        <w:t>Digitisation</w:t>
      </w:r>
      <w:proofErr w:type="spellEnd"/>
      <w:r w:rsidRPr="77ECB594">
        <w:t xml:space="preserve"> Support Instrument, about 100 entrepreneurs were trained for a month to grow their successful online business. Digital education was carried out through the “Digital Upgrade” training program, implemented by ODIMM in partnership with Startup Academy. </w:t>
      </w:r>
      <w:r w:rsidRPr="77ECB594">
        <w:rPr>
          <w:vertAlign w:val="superscript"/>
        </w:rPr>
        <w:footnoteReference w:id="97"/>
      </w:r>
      <w:r w:rsidRPr="77ECB594">
        <w:t xml:space="preserve">  </w:t>
      </w:r>
    </w:p>
    <w:p w14:paraId="1725A3CA" w14:textId="29C99AD4" w:rsidR="001A0FE8" w:rsidRPr="001A0FE8" w:rsidRDefault="00057A38" w:rsidP="00CF67DA">
      <w:pPr>
        <w:jc w:val="both"/>
        <w:rPr>
          <w:rFonts w:eastAsiaTheme="minorHAnsi"/>
        </w:rPr>
      </w:pPr>
      <w:r w:rsidRPr="77ECB594">
        <w:t>Also, in</w:t>
      </w:r>
      <w:r w:rsidR="001A0FE8" w:rsidRPr="77ECB594">
        <w:t xml:space="preserve"> order to facilitate the interactions between IT and non-IT companies, Moldova IT Park developed a Catalogue of local suppliers of IT solutions for e-commerce</w:t>
      </w:r>
      <w:r w:rsidR="001A0FE8" w:rsidRPr="77ECB594">
        <w:rPr>
          <w:vertAlign w:val="superscript"/>
        </w:rPr>
        <w:footnoteReference w:id="98"/>
      </w:r>
      <w:r w:rsidR="001A0FE8" w:rsidRPr="77ECB594">
        <w:t xml:space="preserve"> and partnered with ODIMM and </w:t>
      </w:r>
      <w:proofErr w:type="spellStart"/>
      <w:r w:rsidR="001A0FE8" w:rsidRPr="77ECB594">
        <w:t>Tekwill’s</w:t>
      </w:r>
      <w:proofErr w:type="spellEnd"/>
      <w:r w:rsidR="001A0FE8" w:rsidRPr="77ECB594">
        <w:t xml:space="preserve"> Startup Moldova Project</w:t>
      </w:r>
      <w:r w:rsidRPr="77ECB594">
        <w:t xml:space="preserve"> to </w:t>
      </w:r>
      <w:r w:rsidR="001A0FE8" w:rsidRPr="77ECB594">
        <w:t>boost non-tech industries assimilation of technological innovation.</w:t>
      </w:r>
      <w:r w:rsidR="001A0FE8" w:rsidRPr="77ECB594">
        <w:rPr>
          <w:vertAlign w:val="superscript"/>
        </w:rPr>
        <w:footnoteReference w:id="99"/>
      </w:r>
    </w:p>
    <w:p w14:paraId="75074E98" w14:textId="36FEE6D8" w:rsidR="0099740D" w:rsidRPr="001A0FE8" w:rsidRDefault="001A0FE8" w:rsidP="00CF67DA">
      <w:pPr>
        <w:jc w:val="both"/>
        <w:rPr>
          <w:rFonts w:eastAsiaTheme="minorHAnsi"/>
        </w:rPr>
      </w:pPr>
      <w:r w:rsidRPr="77ECB594">
        <w:t>Despite all the</w:t>
      </w:r>
      <w:r w:rsidR="00706109" w:rsidRPr="77ECB594">
        <w:t>se</w:t>
      </w:r>
      <w:r w:rsidRPr="77ECB594">
        <w:t xml:space="preserve"> efforts, a number of barriers particularly related to e-commerce </w:t>
      </w:r>
      <w:r w:rsidR="00706109" w:rsidRPr="77ECB594">
        <w:t xml:space="preserve">are </w:t>
      </w:r>
      <w:r w:rsidRPr="77ECB594">
        <w:t xml:space="preserve">still </w:t>
      </w:r>
      <w:r w:rsidR="00706109" w:rsidRPr="77ECB594">
        <w:t xml:space="preserve">considered as </w:t>
      </w:r>
      <w:r w:rsidRPr="77ECB594">
        <w:t>limit</w:t>
      </w:r>
      <w:r w:rsidR="00706109" w:rsidRPr="77ECB594">
        <w:t>ing ones in</w:t>
      </w:r>
      <w:r w:rsidRPr="77ECB594">
        <w:t xml:space="preserve"> the SMEs transformation</w:t>
      </w:r>
      <w:r w:rsidR="00706109" w:rsidRPr="77ECB594">
        <w:t xml:space="preserve"> process</w:t>
      </w:r>
      <w:r w:rsidRPr="77ECB594">
        <w:t xml:space="preserve">. Among them is an evident lack of e-fulfillment solutions and export processes are slow and costly. </w:t>
      </w:r>
      <w:r w:rsidR="00706109" w:rsidRPr="77ECB594">
        <w:t>Also, t</w:t>
      </w:r>
      <w:r w:rsidRPr="77ECB594">
        <w:t>here is low cross-border e-commerce flow and Moldova is under-represented on international marketplaces.</w:t>
      </w:r>
      <w:r w:rsidRPr="77ECB594">
        <w:rPr>
          <w:vertAlign w:val="superscript"/>
        </w:rPr>
        <w:footnoteReference w:id="100"/>
      </w:r>
    </w:p>
    <w:p w14:paraId="614302CB" w14:textId="45C3C377" w:rsidR="008E5397" w:rsidRPr="00CF67DA" w:rsidRDefault="0099740D" w:rsidP="00CF67DA">
      <w:pPr>
        <w:pStyle w:val="Heading2"/>
      </w:pPr>
      <w:bookmarkStart w:id="266" w:name="_Toc74850945"/>
      <w:r w:rsidRPr="00CF67DA">
        <w:t xml:space="preserve">2.5 </w:t>
      </w:r>
      <w:r w:rsidR="4FB17FB3" w:rsidRPr="00CF67DA">
        <w:t xml:space="preserve">Building block 5 - </w:t>
      </w:r>
      <w:r w:rsidR="008E5397" w:rsidRPr="00CF67DA">
        <w:t>Digital centric innovation ecosystem</w:t>
      </w:r>
      <w:bookmarkEnd w:id="266"/>
    </w:p>
    <w:p w14:paraId="32093F91" w14:textId="14A59D2C" w:rsidR="00030294" w:rsidRDefault="004F3727" w:rsidP="00CF67DA">
      <w:pPr>
        <w:jc w:val="both"/>
        <w:rPr>
          <w:rFonts w:eastAsia="Calibri"/>
        </w:rPr>
      </w:pPr>
      <w:r w:rsidRPr="7E8FD016">
        <w:rPr>
          <w:rFonts w:eastAsia="Calibri"/>
        </w:rPr>
        <w:t>Digital innovation is both a</w:t>
      </w:r>
      <w:r w:rsidR="663749C2" w:rsidRPr="7E8FD016">
        <w:rPr>
          <w:rFonts w:eastAsia="Calibri"/>
        </w:rPr>
        <w:t>n</w:t>
      </w:r>
      <w:r w:rsidRPr="7E8FD016">
        <w:rPr>
          <w:rFonts w:eastAsia="Calibri"/>
        </w:rPr>
        <w:t xml:space="preserve"> </w:t>
      </w:r>
      <w:r w:rsidR="00E8630C" w:rsidRPr="7E8FD016">
        <w:rPr>
          <w:rFonts w:eastAsia="Calibri"/>
        </w:rPr>
        <w:t>enabler of</w:t>
      </w:r>
      <w:r w:rsidRPr="7E8FD016">
        <w:rPr>
          <w:rFonts w:eastAsia="Calibri"/>
        </w:rPr>
        <w:t xml:space="preserve"> digital transformation in all dimensions addressed above</w:t>
      </w:r>
      <w:r w:rsidR="6893D849" w:rsidRPr="7E8FD016">
        <w:rPr>
          <w:rFonts w:eastAsia="Calibri"/>
        </w:rPr>
        <w:t xml:space="preserve"> and</w:t>
      </w:r>
      <w:r w:rsidRPr="7E8FD016">
        <w:rPr>
          <w:rFonts w:eastAsia="Calibri"/>
        </w:rPr>
        <w:t xml:space="preserve"> also a measure of the robustness of digital development at the country level. A good level of digital innovation in a given country also underpins endogenous digital development, rather than development that depends on foreign markets.</w:t>
      </w:r>
    </w:p>
    <w:p w14:paraId="799EE199" w14:textId="77FAC935" w:rsidR="004F3727" w:rsidRPr="00097B0B" w:rsidRDefault="007B631D" w:rsidP="00CF67DA">
      <w:pPr>
        <w:jc w:val="both"/>
        <w:rPr>
          <w:rFonts w:eastAsia="Calibri"/>
        </w:rPr>
      </w:pPr>
      <w:r>
        <w:rPr>
          <w:rFonts w:eastAsia="Calibri"/>
        </w:rPr>
        <w:t xml:space="preserve">This section addresses the importance of innovation ecosystems as </w:t>
      </w:r>
      <w:r w:rsidR="00367BA7">
        <w:rPr>
          <w:rFonts w:eastAsia="Calibri"/>
        </w:rPr>
        <w:t xml:space="preserve">local </w:t>
      </w:r>
      <w:r w:rsidR="00E8630C">
        <w:rPr>
          <w:rFonts w:eastAsia="Calibri"/>
        </w:rPr>
        <w:t xml:space="preserve">catalyzers </w:t>
      </w:r>
      <w:r w:rsidR="00367BA7">
        <w:rPr>
          <w:rFonts w:eastAsia="Calibri"/>
        </w:rPr>
        <w:t>of creativ</w:t>
      </w:r>
      <w:r w:rsidR="00444A42">
        <w:rPr>
          <w:rFonts w:eastAsia="Calibri"/>
        </w:rPr>
        <w:t xml:space="preserve">ity in the use of </w:t>
      </w:r>
      <w:r w:rsidR="00367BA7">
        <w:rPr>
          <w:rFonts w:eastAsia="Calibri"/>
        </w:rPr>
        <w:t>digital technologies</w:t>
      </w:r>
      <w:r w:rsidR="00444A42">
        <w:rPr>
          <w:rFonts w:eastAsia="Calibri"/>
        </w:rPr>
        <w:t xml:space="preserve"> for business.</w:t>
      </w:r>
    </w:p>
    <w:p w14:paraId="3D71C4EF" w14:textId="7F674717" w:rsidR="005D1363" w:rsidRPr="00CF67DA" w:rsidRDefault="0099740D" w:rsidP="00CF67DA">
      <w:pPr>
        <w:pStyle w:val="Heading3"/>
      </w:pPr>
      <w:bookmarkStart w:id="267" w:name="_Toc74850946"/>
      <w:r w:rsidRPr="00CF67DA">
        <w:t xml:space="preserve">2.5.1 </w:t>
      </w:r>
      <w:r w:rsidR="005D1363" w:rsidRPr="00CF67DA">
        <w:t xml:space="preserve">Digital </w:t>
      </w:r>
      <w:r w:rsidR="00E90073" w:rsidRPr="00CF67DA">
        <w:t>i</w:t>
      </w:r>
      <w:r w:rsidR="005D1363" w:rsidRPr="00CF67DA">
        <w:t xml:space="preserve">nnovation </w:t>
      </w:r>
      <w:r w:rsidR="00E90073" w:rsidRPr="00CF67DA">
        <w:t>e</w:t>
      </w:r>
      <w:r w:rsidR="005D1363" w:rsidRPr="00CF67DA">
        <w:t>cosystem</w:t>
      </w:r>
      <w:bookmarkEnd w:id="267"/>
    </w:p>
    <w:p w14:paraId="3CA75009" w14:textId="4B444A29" w:rsidR="00B504B7" w:rsidRPr="00AD20D0" w:rsidRDefault="00B504B7" w:rsidP="00CF67DA">
      <w:pPr>
        <w:jc w:val="both"/>
        <w:rPr>
          <w:rFonts w:eastAsia="Calibri"/>
        </w:rPr>
      </w:pPr>
      <w:r w:rsidRPr="00B615E7">
        <w:rPr>
          <w:rFonts w:eastAsia="Calibri"/>
        </w:rPr>
        <w:t>Moldova ranks above average on key international rankings on entrepreneurship, innovation and technology. The Global Innovation Index (2020) ranks the country 59th out of 131 countries, and the Global Entrepreneurship Index (201</w:t>
      </w:r>
      <w:r w:rsidR="003F065B">
        <w:rPr>
          <w:rFonts w:eastAsia="Calibri"/>
        </w:rPr>
        <w:t>9</w:t>
      </w:r>
      <w:r w:rsidRPr="00B615E7">
        <w:rPr>
          <w:rFonts w:eastAsia="Calibri"/>
        </w:rPr>
        <w:t>) 9</w:t>
      </w:r>
      <w:r w:rsidR="003F065B">
        <w:rPr>
          <w:rFonts w:eastAsia="Calibri"/>
        </w:rPr>
        <w:t>4</w:t>
      </w:r>
      <w:r w:rsidRPr="00B615E7">
        <w:rPr>
          <w:rFonts w:eastAsia="Calibri"/>
        </w:rPr>
        <w:t>th out of 137 countries. These performances are translated into similar competitiveness for the country as Moldova ranks 86nd out of 141 countries in the Global Competitiveness Index (2019).</w:t>
      </w:r>
      <w:r w:rsidRPr="00AD20D0">
        <w:rPr>
          <w:rFonts w:eastAsia="Calibri"/>
          <w:vertAlign w:val="superscript"/>
        </w:rPr>
        <w:footnoteReference w:id="101"/>
      </w:r>
      <w:r w:rsidRPr="00AD20D0" w:rsidDel="00A3743F">
        <w:rPr>
          <w:rFonts w:eastAsia="Calibri"/>
          <w:vertAlign w:val="superscript"/>
        </w:rPr>
        <w:t xml:space="preserve"> </w:t>
      </w:r>
    </w:p>
    <w:p w14:paraId="79B64102" w14:textId="1B9E9020" w:rsidR="00B504B7" w:rsidRDefault="00B504B7" w:rsidP="00CF67DA">
      <w:pPr>
        <w:jc w:val="both"/>
        <w:rPr>
          <w:rFonts w:eastAsia="Calibri"/>
        </w:rPr>
      </w:pPr>
      <w:r w:rsidRPr="00862C43">
        <w:rPr>
          <w:rFonts w:eastAsia="Calibri"/>
        </w:rPr>
        <w:lastRenderedPageBreak/>
        <w:t>Moldova is in the process of developing a robust ICT centric innovation ecosystem. There are clear</w:t>
      </w:r>
      <w:r>
        <w:rPr>
          <w:rFonts w:eastAsia="Calibri"/>
        </w:rPr>
        <w:t xml:space="preserve"> </w:t>
      </w:r>
      <w:r w:rsidRPr="00862C43">
        <w:rPr>
          <w:rFonts w:eastAsia="Calibri"/>
        </w:rPr>
        <w:t>strengths to build on. The country has done excellent work in preserving primary education and</w:t>
      </w:r>
      <w:r>
        <w:rPr>
          <w:rFonts w:eastAsia="Calibri"/>
        </w:rPr>
        <w:t xml:space="preserve"> </w:t>
      </w:r>
      <w:r w:rsidRPr="00862C43">
        <w:rPr>
          <w:rFonts w:eastAsia="Calibri"/>
        </w:rPr>
        <w:t xml:space="preserve">research activities and has strong communication infrastructure. </w:t>
      </w:r>
      <w:r>
        <w:rPr>
          <w:rStyle w:val="FootnoteReference"/>
          <w:rFonts w:ascii="Calibri" w:eastAsia="Calibri" w:hAnsi="Calibri" w:cs="Calibri"/>
        </w:rPr>
        <w:footnoteReference w:id="102"/>
      </w:r>
      <w:r>
        <w:rPr>
          <w:rFonts w:eastAsia="Calibri"/>
        </w:rPr>
        <w:t xml:space="preserve"> </w:t>
      </w:r>
    </w:p>
    <w:p w14:paraId="5FE8DE77" w14:textId="77777777" w:rsidR="00B504B7" w:rsidRDefault="00B504B7" w:rsidP="00CF67DA">
      <w:pPr>
        <w:jc w:val="both"/>
        <w:rPr>
          <w:rFonts w:eastAsia="Calibri"/>
        </w:rPr>
      </w:pPr>
      <w:r w:rsidRPr="00862C43">
        <w:rPr>
          <w:rFonts w:eastAsia="Calibri"/>
        </w:rPr>
        <w:t>There are also positive signs</w:t>
      </w:r>
      <w:r>
        <w:rPr>
          <w:rFonts w:eastAsia="Calibri"/>
        </w:rPr>
        <w:t xml:space="preserve"> </w:t>
      </w:r>
      <w:r w:rsidRPr="00862C43">
        <w:rPr>
          <w:rFonts w:eastAsia="Calibri"/>
        </w:rPr>
        <w:t>to be seen in the way the country is moving.</w:t>
      </w:r>
      <w:r w:rsidRPr="00F01E58">
        <w:rPr>
          <w:rStyle w:val="FootnoteReference"/>
          <w:rFonts w:ascii="Calibri" w:eastAsia="Calibri" w:hAnsi="Calibri" w:cs="Calibri"/>
        </w:rPr>
        <w:t xml:space="preserve"> </w:t>
      </w:r>
      <w:r>
        <w:rPr>
          <w:rFonts w:eastAsia="Calibri"/>
        </w:rPr>
        <w:t>As t</w:t>
      </w:r>
      <w:r w:rsidRPr="00F01E58">
        <w:rPr>
          <w:rFonts w:eastAsia="Calibri"/>
        </w:rPr>
        <w:t>he market in Moldova is supported by free trade agreements</w:t>
      </w:r>
      <w:r>
        <w:rPr>
          <w:rFonts w:eastAsia="Calibri"/>
        </w:rPr>
        <w:t>, t</w:t>
      </w:r>
      <w:r w:rsidRPr="00F01E58">
        <w:rPr>
          <w:rFonts w:eastAsia="Calibri"/>
        </w:rPr>
        <w:t>he ability to work together with regional and global ecosystems provides significant opportunities to innovators. Networks are doing good work in terms of representing, connecting and supporting the ecosystem, but should be better coordinated and leveraged.</w:t>
      </w:r>
      <w:r>
        <w:rPr>
          <w:rFonts w:eastAsia="Calibri"/>
        </w:rPr>
        <w:t xml:space="preserve"> </w:t>
      </w:r>
    </w:p>
    <w:p w14:paraId="03AB5513" w14:textId="39AF072A" w:rsidR="00B504B7" w:rsidRDefault="00B504B7" w:rsidP="009A6322">
      <w:pPr>
        <w:jc w:val="both"/>
        <w:rPr>
          <w:rFonts w:eastAsia="Calibri"/>
        </w:rPr>
      </w:pPr>
      <w:r w:rsidRPr="00862C43">
        <w:rPr>
          <w:rFonts w:eastAsia="Calibri"/>
        </w:rPr>
        <w:t>There are widespread efforts at policy reform and steps</w:t>
      </w:r>
      <w:r>
        <w:rPr>
          <w:rFonts w:eastAsia="Calibri"/>
        </w:rPr>
        <w:t xml:space="preserve"> </w:t>
      </w:r>
      <w:r w:rsidRPr="00862C43">
        <w:rPr>
          <w:rFonts w:eastAsia="Calibri"/>
        </w:rPr>
        <w:t>toward the development of soft infrastructure resources.</w:t>
      </w:r>
      <w:r>
        <w:rPr>
          <w:rFonts w:eastAsia="Calibri"/>
        </w:rPr>
        <w:t xml:space="preserve"> </w:t>
      </w:r>
      <w:r w:rsidRPr="002A0A44">
        <w:rPr>
          <w:rFonts w:eastAsia="Calibri"/>
        </w:rPr>
        <w:t>The primary strategy in Moldova related to the ICT centric innovation ecosystem is called Moldova</w:t>
      </w:r>
      <w:r>
        <w:rPr>
          <w:rFonts w:eastAsia="Calibri"/>
        </w:rPr>
        <w:t xml:space="preserve"> </w:t>
      </w:r>
      <w:r w:rsidRPr="002A0A44">
        <w:rPr>
          <w:rFonts w:eastAsia="Calibri"/>
        </w:rPr>
        <w:t>2020, and subsequently the Digital Moldova 2020, which is based on it</w:t>
      </w:r>
      <w:r w:rsidRPr="00AD20D0">
        <w:rPr>
          <w:rFonts w:eastAsia="Calibri"/>
        </w:rPr>
        <w:t xml:space="preserve">. Its priorities taken together had a large-scale positive impact on the innovation ecosystem and, more broadly, the economy of Moldova. </w:t>
      </w:r>
      <w:r w:rsidRPr="002A0A44">
        <w:rPr>
          <w:rFonts w:eastAsia="Calibri"/>
        </w:rPr>
        <w:t>However, these</w:t>
      </w:r>
      <w:r>
        <w:rPr>
          <w:rFonts w:eastAsia="Calibri"/>
        </w:rPr>
        <w:t xml:space="preserve"> </w:t>
      </w:r>
      <w:r w:rsidRPr="002A0A44">
        <w:rPr>
          <w:rFonts w:eastAsia="Calibri"/>
        </w:rPr>
        <w:t xml:space="preserve">strategies generally represent a vision just for the government of the </w:t>
      </w:r>
      <w:proofErr w:type="gramStart"/>
      <w:r w:rsidRPr="002A0A44">
        <w:rPr>
          <w:rFonts w:eastAsia="Calibri"/>
        </w:rPr>
        <w:t>country</w:t>
      </w:r>
      <w:r w:rsidR="009A6322">
        <w:rPr>
          <w:rFonts w:eastAsia="Calibri"/>
        </w:rPr>
        <w:t xml:space="preserve">  as</w:t>
      </w:r>
      <w:proofErr w:type="gramEnd"/>
      <w:r w:rsidR="009A6322">
        <w:rPr>
          <w:rFonts w:eastAsia="Calibri"/>
        </w:rPr>
        <w:t xml:space="preserve"> they </w:t>
      </w:r>
      <w:r w:rsidR="009A6322" w:rsidRPr="009A6322">
        <w:rPr>
          <w:rFonts w:eastAsia="Calibri"/>
        </w:rPr>
        <w:t>provide little</w:t>
      </w:r>
      <w:r w:rsidR="009A6322">
        <w:rPr>
          <w:rFonts w:eastAsia="Calibri"/>
        </w:rPr>
        <w:t xml:space="preserve"> </w:t>
      </w:r>
      <w:r w:rsidR="009A6322" w:rsidRPr="009A6322">
        <w:rPr>
          <w:rFonts w:eastAsia="Calibri"/>
        </w:rPr>
        <w:t>place for the private sector or other stakeholders to take up a role other than passive beneficiary or</w:t>
      </w:r>
      <w:r w:rsidR="009A6322">
        <w:rPr>
          <w:rFonts w:eastAsia="Calibri"/>
        </w:rPr>
        <w:t xml:space="preserve"> </w:t>
      </w:r>
      <w:r w:rsidR="009A6322" w:rsidRPr="009A6322">
        <w:rPr>
          <w:rFonts w:eastAsia="Calibri"/>
        </w:rPr>
        <w:t>service provider.</w:t>
      </w:r>
      <w:r w:rsidR="009A6322" w:rsidRPr="009A6322">
        <w:rPr>
          <w:rStyle w:val="FootnoteReference"/>
          <w:rFonts w:ascii="Calibri" w:eastAsia="Calibri" w:hAnsi="Calibri" w:cs="Calibri"/>
        </w:rPr>
        <w:t xml:space="preserve"> </w:t>
      </w:r>
      <w:r>
        <w:rPr>
          <w:rStyle w:val="FootnoteReference"/>
          <w:rFonts w:ascii="Calibri" w:eastAsia="Calibri" w:hAnsi="Calibri" w:cs="Calibri"/>
        </w:rPr>
        <w:footnoteReference w:id="103"/>
      </w:r>
    </w:p>
    <w:p w14:paraId="5EEB6536" w14:textId="049916E9" w:rsidR="00B504B7" w:rsidRDefault="00B504B7" w:rsidP="00CF67DA">
      <w:pPr>
        <w:jc w:val="both"/>
        <w:rPr>
          <w:rFonts w:eastAsia="Calibri"/>
        </w:rPr>
      </w:pPr>
      <w:r w:rsidRPr="02567566">
        <w:rPr>
          <w:rFonts w:eastAsia="Calibri"/>
        </w:rPr>
        <w:t>Based on the results of the strateg</w:t>
      </w:r>
      <w:r w:rsidR="112A27AE" w:rsidRPr="02567566">
        <w:rPr>
          <w:rFonts w:eastAsia="Calibri"/>
        </w:rPr>
        <w:t>ies</w:t>
      </w:r>
      <w:r w:rsidRPr="02567566">
        <w:rPr>
          <w:rFonts w:eastAsia="Calibri"/>
        </w:rPr>
        <w:t xml:space="preserve"> implement</w:t>
      </w:r>
      <w:r w:rsidR="32C40F8A" w:rsidRPr="02567566">
        <w:rPr>
          <w:rFonts w:eastAsia="Calibri"/>
        </w:rPr>
        <w:t>ed</w:t>
      </w:r>
      <w:r w:rsidRPr="02567566">
        <w:rPr>
          <w:rFonts w:eastAsia="Calibri"/>
        </w:rPr>
        <w:t xml:space="preserve"> and the identified gaps, the strategic framework was completed by the Strategy for the “IT Industry Competitiveness and Growth” for 2015-2021 which was followed by the Strategy on information technology industry and digital innovation ecosystem development for 2018-2023.</w:t>
      </w:r>
    </w:p>
    <w:p w14:paraId="0796A203" w14:textId="77777777" w:rsidR="00B504B7" w:rsidRDefault="00B504B7" w:rsidP="00CF67DA">
      <w:pPr>
        <w:jc w:val="both"/>
        <w:rPr>
          <w:rFonts w:eastAsia="Calibri"/>
        </w:rPr>
      </w:pPr>
      <w:r w:rsidRPr="00AF6C13">
        <w:rPr>
          <w:rFonts w:eastAsia="Calibri"/>
        </w:rPr>
        <w:t>The initiatives launched as a result of th</w:t>
      </w:r>
      <w:r>
        <w:rPr>
          <w:rFonts w:eastAsia="Calibri"/>
        </w:rPr>
        <w:t xml:space="preserve">e </w:t>
      </w:r>
      <w:r w:rsidRPr="00AF6C13">
        <w:rPr>
          <w:rFonts w:eastAsia="Calibri"/>
        </w:rPr>
        <w:t>Strategies implementation target the transparency and bureaucracy barriers to start-ups, trust gaps that prevent collaboration and the</w:t>
      </w:r>
      <w:r>
        <w:rPr>
          <w:rFonts w:eastAsia="Calibri"/>
        </w:rPr>
        <w:t xml:space="preserve"> </w:t>
      </w:r>
      <w:r w:rsidRPr="00AF6C13">
        <w:rPr>
          <w:rFonts w:eastAsia="Calibri"/>
        </w:rPr>
        <w:t xml:space="preserve">development of strong communities among stakeholders, brain drain, and upskilling of the labor. </w:t>
      </w:r>
    </w:p>
    <w:p w14:paraId="38D1F4F4" w14:textId="54E3336B" w:rsidR="00B504B7" w:rsidRPr="00F01E58" w:rsidRDefault="00B504B7" w:rsidP="00CF67DA">
      <w:pPr>
        <w:jc w:val="both"/>
        <w:rPr>
          <w:rFonts w:eastAsia="Calibri"/>
        </w:rPr>
      </w:pPr>
      <w:r w:rsidRPr="02567566">
        <w:rPr>
          <w:rFonts w:eastAsia="Calibri"/>
        </w:rPr>
        <w:t xml:space="preserve">However, </w:t>
      </w:r>
      <w:r w:rsidR="707C9A46" w:rsidRPr="02567566">
        <w:rPr>
          <w:rFonts w:eastAsia="Calibri"/>
        </w:rPr>
        <w:t>most of the</w:t>
      </w:r>
      <w:r w:rsidRPr="02567566">
        <w:rPr>
          <w:rFonts w:eastAsia="Calibri"/>
        </w:rPr>
        <w:t xml:space="preserve"> currently existing soft infrastructure, such as </w:t>
      </w:r>
      <w:proofErr w:type="spellStart"/>
      <w:r w:rsidRPr="02567566">
        <w:rPr>
          <w:rFonts w:eastAsia="Calibri"/>
        </w:rPr>
        <w:t>Tekwill</w:t>
      </w:r>
      <w:proofErr w:type="spellEnd"/>
      <w:r w:rsidRPr="02567566">
        <w:rPr>
          <w:rFonts w:eastAsia="Calibri"/>
        </w:rPr>
        <w:t>,</w:t>
      </w:r>
      <w:r w:rsidR="00D42994">
        <w:rPr>
          <w:rFonts w:eastAsia="Calibri"/>
        </w:rPr>
        <w:t xml:space="preserve"> </w:t>
      </w:r>
      <w:proofErr w:type="spellStart"/>
      <w:r w:rsidR="00D42994">
        <w:rPr>
          <w:rFonts w:eastAsia="Calibri"/>
        </w:rPr>
        <w:t>ArtCOR</w:t>
      </w:r>
      <w:proofErr w:type="spellEnd"/>
      <w:r w:rsidR="00D42994">
        <w:rPr>
          <w:rFonts w:eastAsia="Calibri"/>
        </w:rPr>
        <w:t>,</w:t>
      </w:r>
      <w:r w:rsidRPr="02567566">
        <w:rPr>
          <w:rFonts w:eastAsia="Calibri"/>
        </w:rPr>
        <w:t xml:space="preserve"> </w:t>
      </w:r>
      <w:proofErr w:type="spellStart"/>
      <w:r w:rsidRPr="02567566">
        <w:rPr>
          <w:rFonts w:eastAsia="Calibri"/>
        </w:rPr>
        <w:t>Dreamups</w:t>
      </w:r>
      <w:proofErr w:type="spellEnd"/>
      <w:r w:rsidRPr="02567566">
        <w:rPr>
          <w:rFonts w:eastAsia="Calibri"/>
        </w:rPr>
        <w:t xml:space="preserve">, XY Partners, Generator Hub, </w:t>
      </w:r>
      <w:proofErr w:type="spellStart"/>
      <w:r w:rsidRPr="02567566">
        <w:rPr>
          <w:rFonts w:eastAsia="Calibri"/>
        </w:rPr>
        <w:t>iHub</w:t>
      </w:r>
      <w:proofErr w:type="spellEnd"/>
      <w:r w:rsidRPr="02567566">
        <w:rPr>
          <w:rFonts w:eastAsia="Calibri"/>
        </w:rPr>
        <w:t xml:space="preserve">, </w:t>
      </w:r>
      <w:proofErr w:type="spellStart"/>
      <w:r w:rsidR="00D42994">
        <w:rPr>
          <w:rFonts w:eastAsia="Calibri"/>
        </w:rPr>
        <w:t>Fab</w:t>
      </w:r>
      <w:r w:rsidR="009E016A">
        <w:rPr>
          <w:rFonts w:eastAsia="Calibri"/>
        </w:rPr>
        <w:t>l</w:t>
      </w:r>
      <w:r w:rsidR="00D42994">
        <w:rPr>
          <w:rFonts w:eastAsia="Calibri"/>
        </w:rPr>
        <w:t>ab</w:t>
      </w:r>
      <w:proofErr w:type="spellEnd"/>
      <w:r w:rsidR="00D42994">
        <w:rPr>
          <w:rFonts w:eastAsia="Calibri"/>
        </w:rPr>
        <w:t xml:space="preserve">, </w:t>
      </w:r>
      <w:r w:rsidRPr="02567566">
        <w:rPr>
          <w:rFonts w:eastAsia="Calibri"/>
        </w:rPr>
        <w:t xml:space="preserve">the </w:t>
      </w:r>
      <w:proofErr w:type="spellStart"/>
      <w:r w:rsidRPr="02567566">
        <w:rPr>
          <w:rFonts w:eastAsia="Calibri"/>
        </w:rPr>
        <w:t>Starnet</w:t>
      </w:r>
      <w:proofErr w:type="spellEnd"/>
      <w:r w:rsidRPr="02567566">
        <w:rPr>
          <w:rFonts w:eastAsia="Calibri"/>
        </w:rPr>
        <w:t xml:space="preserve"> Academy Plus </w:t>
      </w:r>
      <w:proofErr w:type="spellStart"/>
      <w:r w:rsidRPr="02567566">
        <w:rPr>
          <w:rFonts w:eastAsia="Calibri"/>
        </w:rPr>
        <w:t>programme</w:t>
      </w:r>
      <w:proofErr w:type="spellEnd"/>
      <w:r w:rsidRPr="02567566">
        <w:rPr>
          <w:rFonts w:eastAsia="Calibri"/>
        </w:rPr>
        <w:t xml:space="preserve">, and Digital Park </w:t>
      </w:r>
      <w:r w:rsidRPr="00BD227F">
        <w:rPr>
          <w:rFonts w:eastAsia="Calibri"/>
        </w:rPr>
        <w:t>are</w:t>
      </w:r>
      <w:r w:rsidRPr="02567566">
        <w:rPr>
          <w:rFonts w:eastAsia="Calibri"/>
        </w:rPr>
        <w:t xml:space="preserve"> clustered in Chisinau. </w:t>
      </w:r>
      <w:r w:rsidR="00841C56">
        <w:rPr>
          <w:rFonts w:eastAsia="Calibri"/>
        </w:rPr>
        <w:t xml:space="preserve">This list is continuously expanding, bringing new soft infrastructure elements to the ecosystem like </w:t>
      </w:r>
      <w:proofErr w:type="spellStart"/>
      <w:r w:rsidR="00841C56" w:rsidRPr="00841C56">
        <w:rPr>
          <w:rFonts w:ascii="Calibri" w:hAnsi="Calibri" w:cs="Calibri"/>
          <w:shd w:val="clear" w:color="auto" w:fill="FFFFFF"/>
        </w:rPr>
        <w:t>MediaCOR</w:t>
      </w:r>
      <w:proofErr w:type="spellEnd"/>
      <w:r w:rsidR="00841C56">
        <w:rPr>
          <w:rFonts w:ascii="Calibri" w:hAnsi="Calibri" w:cs="Calibri"/>
          <w:shd w:val="clear" w:color="auto" w:fill="FFFFFF"/>
        </w:rPr>
        <w:t xml:space="preserve"> </w:t>
      </w:r>
      <w:r w:rsidR="008144C1">
        <w:rPr>
          <w:rFonts w:ascii="Calibri" w:hAnsi="Calibri" w:cs="Calibri"/>
          <w:shd w:val="clear" w:color="auto" w:fill="FFFFFF"/>
        </w:rPr>
        <w:t>that will be</w:t>
      </w:r>
      <w:r w:rsidR="00841C56">
        <w:rPr>
          <w:rFonts w:ascii="Calibri" w:hAnsi="Calibri" w:cs="Calibri"/>
          <w:shd w:val="clear" w:color="auto" w:fill="FFFFFF"/>
        </w:rPr>
        <w:t xml:space="preserve"> launched in 2021.</w:t>
      </w:r>
      <w:r w:rsidR="00841C56" w:rsidRPr="02567566">
        <w:rPr>
          <w:rFonts w:eastAsia="Calibri"/>
        </w:rPr>
        <w:t xml:space="preserve"> </w:t>
      </w:r>
      <w:r w:rsidRPr="02567566">
        <w:rPr>
          <w:rFonts w:eastAsia="Calibri"/>
        </w:rPr>
        <w:t>Each has a specific role that they seek to play, and fits into needs identified in terms of business culture, skills training, entrepreneurial support and other areas.</w:t>
      </w:r>
      <w:r w:rsidR="00C423E8">
        <w:rPr>
          <w:rFonts w:eastAsia="Calibri"/>
        </w:rPr>
        <w:t xml:space="preserve"> For example, </w:t>
      </w:r>
      <w:proofErr w:type="spellStart"/>
      <w:r w:rsidR="00C423E8">
        <w:rPr>
          <w:rFonts w:eastAsia="Calibri"/>
        </w:rPr>
        <w:t>ArtCOR</w:t>
      </w:r>
      <w:proofErr w:type="spellEnd"/>
      <w:r w:rsidR="00C423E8">
        <w:rPr>
          <w:rFonts w:eastAsia="Calibri"/>
        </w:rPr>
        <w:t xml:space="preserve"> and </w:t>
      </w:r>
      <w:proofErr w:type="spellStart"/>
      <w:r w:rsidR="00C423E8">
        <w:rPr>
          <w:rFonts w:eastAsia="Calibri"/>
        </w:rPr>
        <w:t>MediaCOR</w:t>
      </w:r>
      <w:proofErr w:type="spellEnd"/>
      <w:r w:rsidR="00C423E8">
        <w:rPr>
          <w:rFonts w:eastAsia="Calibri"/>
        </w:rPr>
        <w:t xml:space="preserve"> are considered c</w:t>
      </w:r>
      <w:r w:rsidR="00C423E8" w:rsidRPr="00C423E8">
        <w:rPr>
          <w:rFonts w:eastAsia="Calibri"/>
        </w:rPr>
        <w:t xml:space="preserve">reative </w:t>
      </w:r>
      <w:r w:rsidR="00C423E8">
        <w:rPr>
          <w:rFonts w:eastAsia="Calibri"/>
        </w:rPr>
        <w:t>i</w:t>
      </w:r>
      <w:r w:rsidR="00C423E8" w:rsidRPr="00C423E8">
        <w:rPr>
          <w:rFonts w:eastAsia="Calibri"/>
        </w:rPr>
        <w:t xml:space="preserve">ndustries </w:t>
      </w:r>
      <w:r w:rsidR="00C423E8">
        <w:rPr>
          <w:rFonts w:eastAsia="Calibri"/>
        </w:rPr>
        <w:t>c</w:t>
      </w:r>
      <w:r w:rsidR="00C423E8" w:rsidRPr="00C423E8">
        <w:rPr>
          <w:rFonts w:eastAsia="Calibri"/>
        </w:rPr>
        <w:t>ollider in Moldova</w:t>
      </w:r>
      <w:r w:rsidR="00C423E8">
        <w:rPr>
          <w:rFonts w:eastAsia="Calibri"/>
        </w:rPr>
        <w:t xml:space="preserve">, that help reinvent the creative industry through </w:t>
      </w:r>
      <w:r w:rsidR="00CB0488">
        <w:rPr>
          <w:rFonts w:eastAsia="Calibri"/>
        </w:rPr>
        <w:t xml:space="preserve">its </w:t>
      </w:r>
      <w:r w:rsidR="00C423E8">
        <w:rPr>
          <w:rFonts w:eastAsia="Calibri"/>
        </w:rPr>
        <w:t>merge with technologies</w:t>
      </w:r>
      <w:r w:rsidR="00CB0488">
        <w:rPr>
          <w:rFonts w:eastAsia="Calibri"/>
        </w:rPr>
        <w:t xml:space="preserve"> and innovation</w:t>
      </w:r>
      <w:r w:rsidR="00C423E8">
        <w:rPr>
          <w:rFonts w:eastAsia="Calibri"/>
        </w:rPr>
        <w:t xml:space="preserve">. </w:t>
      </w:r>
    </w:p>
    <w:p w14:paraId="69AF0064" w14:textId="331B54A9" w:rsidR="00B504B7" w:rsidRPr="00AD20D0" w:rsidRDefault="00B504B7" w:rsidP="00CF67DA">
      <w:pPr>
        <w:jc w:val="both"/>
        <w:rPr>
          <w:rFonts w:eastAsia="Calibri"/>
        </w:rPr>
      </w:pPr>
      <w:r w:rsidRPr="00B504B7">
        <w:rPr>
          <w:rFonts w:eastAsia="Calibri"/>
        </w:rPr>
        <w:t>Getting outside of the city of Chisinau</w:t>
      </w:r>
      <w:r>
        <w:rPr>
          <w:rFonts w:eastAsia="Calibri"/>
        </w:rPr>
        <w:t xml:space="preserve">, </w:t>
      </w:r>
      <w:r w:rsidRPr="00AD20D0">
        <w:rPr>
          <w:rFonts w:eastAsia="Calibri"/>
        </w:rPr>
        <w:t xml:space="preserve">two strategic initiatives are in the development phase. The regional Centre for Innovation and Technology Transfer is already under construction on the Balti University premises. EU4MOLDOVA Start-up City Cahul project (2020-2023) is currently in the launch phase and is aimed to create a Regional Innovation and Technology Centre, the STEM promotion campaign and </w:t>
      </w:r>
      <w:r w:rsidRPr="00AD20D0">
        <w:rPr>
          <w:rFonts w:eastAsia="Calibri"/>
        </w:rPr>
        <w:lastRenderedPageBreak/>
        <w:t xml:space="preserve">development </w:t>
      </w:r>
      <w:proofErr w:type="spellStart"/>
      <w:r w:rsidRPr="00AD20D0">
        <w:rPr>
          <w:rFonts w:eastAsia="Calibri"/>
        </w:rPr>
        <w:t>programmes</w:t>
      </w:r>
      <w:proofErr w:type="spellEnd"/>
      <w:r w:rsidRPr="00AD20D0">
        <w:rPr>
          <w:rFonts w:eastAsia="Calibri"/>
        </w:rPr>
        <w:t xml:space="preserve">, as well as develop a seed funding and acceleration </w:t>
      </w:r>
      <w:proofErr w:type="spellStart"/>
      <w:r w:rsidRPr="00AD20D0">
        <w:rPr>
          <w:rFonts w:eastAsia="Calibri"/>
        </w:rPr>
        <w:t>programme</w:t>
      </w:r>
      <w:proofErr w:type="spellEnd"/>
      <w:r w:rsidRPr="00AD20D0">
        <w:rPr>
          <w:rFonts w:eastAsia="Calibri"/>
        </w:rPr>
        <w:t xml:space="preserve"> for ICT related start-ups.</w:t>
      </w:r>
      <w:r>
        <w:rPr>
          <w:rStyle w:val="FootnoteReference"/>
          <w:rFonts w:ascii="Calibri" w:eastAsia="Calibri" w:hAnsi="Calibri" w:cs="Calibri"/>
        </w:rPr>
        <w:footnoteReference w:id="104"/>
      </w:r>
      <w:r w:rsidR="00D42994" w:rsidRPr="00D42994">
        <w:rPr>
          <w:rFonts w:ascii="Calibri" w:hAnsi="Calibri" w:cs="Calibri"/>
          <w:shd w:val="clear" w:color="auto" w:fill="FFFFFF"/>
        </w:rPr>
        <w:t xml:space="preserve"> </w:t>
      </w:r>
    </w:p>
    <w:p w14:paraId="79AEEEAA" w14:textId="3AF4F485" w:rsidR="00B504B7" w:rsidRDefault="00B504B7" w:rsidP="00CF67DA">
      <w:pPr>
        <w:jc w:val="both"/>
        <w:rPr>
          <w:rStyle w:val="fontstyle01"/>
        </w:rPr>
      </w:pPr>
      <w:r>
        <w:rPr>
          <w:rFonts w:eastAsia="Calibri"/>
        </w:rPr>
        <w:t>Besides, there are also several initiatives covering the entire country. One of t</w:t>
      </w:r>
      <w:r w:rsidRPr="00FA4D33">
        <w:rPr>
          <w:rFonts w:eastAsia="Calibri"/>
        </w:rPr>
        <w:t xml:space="preserve">he </w:t>
      </w:r>
      <w:r>
        <w:rPr>
          <w:rFonts w:eastAsia="Calibri"/>
        </w:rPr>
        <w:t xml:space="preserve">examples is the </w:t>
      </w:r>
      <w:proofErr w:type="spellStart"/>
      <w:r w:rsidRPr="00FA4D33">
        <w:rPr>
          <w:rFonts w:eastAsia="Calibri"/>
        </w:rPr>
        <w:t>Novateca</w:t>
      </w:r>
      <w:proofErr w:type="spellEnd"/>
      <w:r w:rsidRPr="00FA4D33">
        <w:rPr>
          <w:rFonts w:eastAsia="Calibri"/>
        </w:rPr>
        <w:t xml:space="preserve"> Libraries </w:t>
      </w:r>
      <w:proofErr w:type="spellStart"/>
      <w:r w:rsidRPr="00FA4D33">
        <w:rPr>
          <w:rFonts w:eastAsia="Calibri"/>
        </w:rPr>
        <w:t>Programme</w:t>
      </w:r>
      <w:proofErr w:type="spellEnd"/>
      <w:r>
        <w:rPr>
          <w:rFonts w:eastAsia="Calibri"/>
        </w:rPr>
        <w:t xml:space="preserve"> which</w:t>
      </w:r>
      <w:r w:rsidRPr="00FA4D33">
        <w:rPr>
          <w:rFonts w:eastAsia="Calibri"/>
        </w:rPr>
        <w:t xml:space="preserve"> create</w:t>
      </w:r>
      <w:r>
        <w:rPr>
          <w:rFonts w:eastAsia="Calibri"/>
        </w:rPr>
        <w:t>d</w:t>
      </w:r>
      <w:r w:rsidRPr="00FA4D33">
        <w:rPr>
          <w:rFonts w:eastAsia="Calibri"/>
        </w:rPr>
        <w:t xml:space="preserve"> a network of resource </w:t>
      </w:r>
      <w:proofErr w:type="spellStart"/>
      <w:r w:rsidRPr="00FA4D33">
        <w:rPr>
          <w:rFonts w:eastAsia="Calibri"/>
        </w:rPr>
        <w:t>centres</w:t>
      </w:r>
      <w:proofErr w:type="spellEnd"/>
      <w:r w:rsidRPr="00FA4D33">
        <w:rPr>
          <w:rFonts w:eastAsia="Calibri"/>
        </w:rPr>
        <w:t xml:space="preserve"> throughout the country, building on the existing space in libraries.</w:t>
      </w:r>
      <w:r>
        <w:rPr>
          <w:rFonts w:eastAsia="Calibri"/>
        </w:rPr>
        <w:t xml:space="preserve"> </w:t>
      </w:r>
      <w:r w:rsidRPr="00FA4D33">
        <w:rPr>
          <w:rFonts w:eastAsia="Calibri"/>
        </w:rPr>
        <w:t>Another example is the Moldova IT Park which Is a virtual IT park that provides fiscal incentives in a form of the single tax of 7% to IT companies across the country and supports the skilled workforce attraction to the country through the IT Visa Program. Yet,</w:t>
      </w:r>
      <w:r>
        <w:rPr>
          <w:rFonts w:eastAsia="Calibri"/>
        </w:rPr>
        <w:t xml:space="preserve"> about</w:t>
      </w:r>
      <w:r w:rsidRPr="00FA4D33">
        <w:rPr>
          <w:rFonts w:eastAsia="Calibri"/>
        </w:rPr>
        <w:t xml:space="preserve"> 97% of all the Park residents </w:t>
      </w:r>
      <w:r w:rsidR="2B0876F8" w:rsidRPr="00FA4D33">
        <w:rPr>
          <w:rFonts w:eastAsia="Calibri"/>
        </w:rPr>
        <w:t>are in</w:t>
      </w:r>
      <w:r w:rsidRPr="00FA4D33">
        <w:rPr>
          <w:rFonts w:eastAsia="Calibri"/>
        </w:rPr>
        <w:t xml:space="preserve"> the capital city</w:t>
      </w:r>
      <w:r>
        <w:rPr>
          <w:rStyle w:val="fontstyle01"/>
        </w:rPr>
        <w:t>.</w:t>
      </w:r>
      <w:r>
        <w:rPr>
          <w:rStyle w:val="FootnoteReference"/>
          <w:rFonts w:ascii="Calibri-Light" w:hAnsi="Calibri-Light"/>
          <w:color w:val="403F41"/>
        </w:rPr>
        <w:footnoteReference w:id="105"/>
      </w:r>
    </w:p>
    <w:p w14:paraId="4706F701" w14:textId="62556E07" w:rsidR="00B504B7" w:rsidRPr="00AD20D0" w:rsidRDefault="00B504B7" w:rsidP="00CF67DA">
      <w:pPr>
        <w:jc w:val="both"/>
        <w:rPr>
          <w:rFonts w:eastAsia="Calibri"/>
        </w:rPr>
      </w:pPr>
      <w:r w:rsidRPr="02567566">
        <w:rPr>
          <w:rFonts w:eastAsia="Calibri"/>
        </w:rPr>
        <w:t>There is interest in entrepreneurship in Moldova and many young people, especially in the tech</w:t>
      </w:r>
      <w:r>
        <w:br/>
      </w:r>
      <w:r w:rsidRPr="02567566">
        <w:rPr>
          <w:rFonts w:eastAsia="Calibri"/>
        </w:rPr>
        <w:t xml:space="preserve">sector </w:t>
      </w:r>
      <w:proofErr w:type="gramStart"/>
      <w:r w:rsidRPr="02567566">
        <w:rPr>
          <w:rFonts w:eastAsia="Calibri"/>
        </w:rPr>
        <w:t>are</w:t>
      </w:r>
      <w:proofErr w:type="gramEnd"/>
      <w:r w:rsidRPr="02567566">
        <w:rPr>
          <w:rFonts w:eastAsia="Calibri"/>
        </w:rPr>
        <w:t xml:space="preserve"> interested in developing innovations and businesses. However, there is a substantial brain drain, either through graduates seeking opportunities abroad, or through businesses incorporating in EU, USA or CIS to avoid barriers to entry. </w:t>
      </w:r>
      <w:r w:rsidR="7FF1C391" w:rsidRPr="02567566">
        <w:rPr>
          <w:rFonts w:eastAsia="Calibri"/>
        </w:rPr>
        <w:t>Consequently</w:t>
      </w:r>
      <w:r w:rsidRPr="02567566">
        <w:rPr>
          <w:rFonts w:eastAsia="Calibri"/>
        </w:rPr>
        <w:t>, there is a small talent pool with the skills to allow Moldova to compete effectively on a global level.</w:t>
      </w:r>
    </w:p>
    <w:p w14:paraId="621E124F" w14:textId="786C6291" w:rsidR="001637A3" w:rsidRDefault="00B504B7" w:rsidP="00CF67DA">
      <w:pPr>
        <w:jc w:val="both"/>
        <w:rPr>
          <w:rFonts w:eastAsia="Calibri"/>
        </w:rPr>
      </w:pPr>
      <w:r w:rsidRPr="02567566">
        <w:rPr>
          <w:rFonts w:eastAsia="Calibri"/>
        </w:rPr>
        <w:t xml:space="preserve">For further ecosystem development, </w:t>
      </w:r>
      <w:r w:rsidR="7F81C6D0" w:rsidRPr="02567566">
        <w:rPr>
          <w:rFonts w:eastAsia="Calibri"/>
        </w:rPr>
        <w:t>several</w:t>
      </w:r>
      <w:r w:rsidRPr="02567566">
        <w:rPr>
          <w:rFonts w:eastAsia="Calibri"/>
        </w:rPr>
        <w:t xml:space="preserve"> issues still </w:t>
      </w:r>
      <w:r w:rsidR="01D63E39" w:rsidRPr="02567566">
        <w:rPr>
          <w:rFonts w:eastAsia="Calibri"/>
        </w:rPr>
        <w:t>must</w:t>
      </w:r>
      <w:r w:rsidRPr="02567566">
        <w:rPr>
          <w:rFonts w:eastAsia="Calibri"/>
        </w:rPr>
        <w:t xml:space="preserve"> be approached. For instance, soft skills are not well represented, and technical skills are often mismatched to the experience required. Moreover, financing for all phases of innovation is broadly unavailable, and there is no local VC fund in Moldova. </w:t>
      </w:r>
    </w:p>
    <w:p w14:paraId="4A78FA97" w14:textId="49785418" w:rsidR="005005A5" w:rsidRPr="006242B5" w:rsidRDefault="1C14AF41" w:rsidP="008915B2">
      <w:pPr>
        <w:pStyle w:val="Heading1"/>
        <w:numPr>
          <w:ilvl w:val="0"/>
          <w:numId w:val="9"/>
        </w:numPr>
        <w:ind w:left="567" w:hanging="567"/>
        <w:rPr>
          <w:rFonts w:eastAsia="Calibri" w:cstheme="majorHAnsi"/>
          <w:color w:val="4472C4" w:themeColor="accent1"/>
        </w:rPr>
      </w:pPr>
      <w:bookmarkStart w:id="268" w:name="_Toc74850947"/>
      <w:r w:rsidRPr="006242B5">
        <w:rPr>
          <w:rFonts w:eastAsia="Calibri" w:cstheme="majorHAnsi"/>
          <w:color w:val="4472C4" w:themeColor="accent1"/>
        </w:rPr>
        <w:t>Conclusions</w:t>
      </w:r>
      <w:bookmarkEnd w:id="268"/>
    </w:p>
    <w:p w14:paraId="52042419" w14:textId="256B48E0" w:rsidR="005005A5" w:rsidRDefault="00A3743F" w:rsidP="004B3583">
      <w:pPr>
        <w:jc w:val="both"/>
      </w:pPr>
      <w:r>
        <w:br/>
      </w:r>
      <w:r w:rsidR="4D437C26">
        <w:t xml:space="preserve">This document has provided a framework </w:t>
      </w:r>
      <w:r w:rsidR="007369CF">
        <w:t xml:space="preserve">to unravel </w:t>
      </w:r>
      <w:r w:rsidR="4D437C26">
        <w:t>digital development</w:t>
      </w:r>
      <w:r w:rsidR="007369CF">
        <w:t xml:space="preserve"> that</w:t>
      </w:r>
      <w:r w:rsidR="4D437C26">
        <w:t xml:space="preserve"> includ</w:t>
      </w:r>
      <w:r w:rsidR="007369CF">
        <w:t>es</w:t>
      </w:r>
      <w:r w:rsidR="4D437C26">
        <w:t xml:space="preserve"> five</w:t>
      </w:r>
      <w:r w:rsidR="004B3583">
        <w:t xml:space="preserve"> identified</w:t>
      </w:r>
      <w:r w:rsidR="4D437C26">
        <w:t xml:space="preserve"> dimensions of digital transformation</w:t>
      </w:r>
      <w:r w:rsidR="007369CF">
        <w:t xml:space="preserve">. </w:t>
      </w:r>
      <w:r w:rsidR="59253F0E">
        <w:t>It has</w:t>
      </w:r>
      <w:r w:rsidR="4D437C26">
        <w:t xml:space="preserve"> provided information </w:t>
      </w:r>
      <w:r w:rsidR="6E753BAF">
        <w:t xml:space="preserve">about </w:t>
      </w:r>
      <w:r w:rsidR="00BA7277">
        <w:t>Moldova</w:t>
      </w:r>
      <w:r w:rsidR="6E753BAF">
        <w:t xml:space="preserve"> </w:t>
      </w:r>
      <w:r w:rsidR="6C2D2FD0">
        <w:t xml:space="preserve">for </w:t>
      </w:r>
      <w:r w:rsidR="6E753BAF">
        <w:t>each domain, based on the experiences and activit</w:t>
      </w:r>
      <w:r w:rsidR="6E47BAE7">
        <w:t>i</w:t>
      </w:r>
      <w:r w:rsidR="6E753BAF">
        <w:t>es of the ITU and other stakeholders operating in the country and wider region.</w:t>
      </w:r>
    </w:p>
    <w:p w14:paraId="3C9E6172" w14:textId="5BC13F74" w:rsidR="00E6663C" w:rsidRPr="003845AA" w:rsidRDefault="00E6663C" w:rsidP="006242B5">
      <w:pPr>
        <w:jc w:val="both"/>
      </w:pPr>
      <w:r>
        <w:t xml:space="preserve">This report will serve as a reference for discussions on digital development at the country level </w:t>
      </w:r>
      <w:r w:rsidR="00A25CA9">
        <w:t xml:space="preserve">as well as stock taking of relevant activities, initiatives and projects </w:t>
      </w:r>
      <w:r w:rsidR="49C2D650">
        <w:t>and</w:t>
      </w:r>
      <w:r w:rsidR="00DB3513">
        <w:t xml:space="preserve"> </w:t>
      </w:r>
      <w:r w:rsidR="007432B3">
        <w:t xml:space="preserve">experiences </w:t>
      </w:r>
      <w:r w:rsidR="2BAE6FD1">
        <w:t>developed</w:t>
      </w:r>
      <w:r w:rsidR="001E3F37">
        <w:t xml:space="preserve"> </w:t>
      </w:r>
      <w:r w:rsidR="007432B3">
        <w:t xml:space="preserve">by UN agencies involved </w:t>
      </w:r>
      <w:r w:rsidR="00DB3513">
        <w:t>in digital transformation work</w:t>
      </w:r>
      <w:r w:rsidR="007432B3">
        <w:t xml:space="preserve"> </w:t>
      </w:r>
      <w:r w:rsidR="00FF5906">
        <w:t xml:space="preserve">in </w:t>
      </w:r>
      <w:r w:rsidR="00BA7277">
        <w:t>Moldova</w:t>
      </w:r>
      <w:r w:rsidR="00A25CA9">
        <w:t xml:space="preserve">. It </w:t>
      </w:r>
      <w:r w:rsidR="0088758E">
        <w:t xml:space="preserve">will serve as a guide for future </w:t>
      </w:r>
      <w:r w:rsidR="00DB3513">
        <w:t xml:space="preserve">dialogue with country stakeholders </w:t>
      </w:r>
      <w:r w:rsidR="00C561A7">
        <w:t>and pave the way for increasingly fit</w:t>
      </w:r>
      <w:r w:rsidR="3B5F585C">
        <w:t>-</w:t>
      </w:r>
      <w:r w:rsidR="00C561A7">
        <w:t>for</w:t>
      </w:r>
      <w:r w:rsidR="0B0049C4">
        <w:t>-</w:t>
      </w:r>
      <w:r w:rsidR="00C561A7">
        <w:t>purpose engagements of the UN system in the country.</w:t>
      </w:r>
    </w:p>
    <w:p w14:paraId="4DFE9843" w14:textId="5F918789" w:rsidR="005005A5" w:rsidRPr="006242B5" w:rsidRDefault="005005A5" w:rsidP="147885A2">
      <w:pPr>
        <w:rPr>
          <w:highlight w:val="yellow"/>
        </w:rPr>
      </w:pPr>
    </w:p>
    <w:sectPr w:rsidR="005005A5" w:rsidRPr="006242B5" w:rsidSect="006242B5">
      <w:headerReference w:type="default" r:id="rId28"/>
      <w:footerReference w:type="default" r:id="rId29"/>
      <w:footerReference w:type="first" r:id="rId30"/>
      <w:pgSz w:w="12240" w:h="15840" w:code="1"/>
      <w:pgMar w:top="1440" w:right="1440" w:bottom="1440" w:left="1440" w:header="720" w:footer="720" w:gutter="0"/>
      <w:pgBorders w:display="firstPage"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CCDC" w14:textId="77777777" w:rsidR="0020682B" w:rsidRDefault="0020682B" w:rsidP="008E2ADF">
      <w:r>
        <w:separator/>
      </w:r>
    </w:p>
  </w:endnote>
  <w:endnote w:type="continuationSeparator" w:id="0">
    <w:p w14:paraId="48BC1C7A" w14:textId="77777777" w:rsidR="0020682B" w:rsidRDefault="0020682B" w:rsidP="008E2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B8176" w14:textId="77777777" w:rsidR="00075A4B" w:rsidRDefault="00075A4B" w:rsidP="00417B9F">
    <w:pPr>
      <w:pStyle w:val="Footer"/>
      <w:jc w:val="right"/>
    </w:pPr>
  </w:p>
  <w:p w14:paraId="04682FE4" w14:textId="3F83817D" w:rsidR="00417B9F" w:rsidRDefault="02567566" w:rsidP="00417B9F">
    <w:pPr>
      <w:pStyle w:val="Footer"/>
      <w:jc w:val="right"/>
    </w:pPr>
    <w:r>
      <w:rPr>
        <w:noProof/>
      </w:rPr>
      <w:drawing>
        <wp:inline distT="0" distB="0" distL="0" distR="0" wp14:anchorId="6FDE38F4" wp14:editId="2AFF79EE">
          <wp:extent cx="380365" cy="3803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80365" cy="3803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E39F" w14:textId="77777777" w:rsidR="00637AE8" w:rsidRDefault="00637AE8" w:rsidP="00637AE8">
    <w:r w:rsidRPr="147885A2">
      <w:rPr>
        <w:rFonts w:ascii="Calibri" w:eastAsia="Calibri" w:hAnsi="Calibri" w:cs="Calibri"/>
        <w:color w:val="5B9BD5" w:themeColor="accent5"/>
      </w:rPr>
      <w:t xml:space="preserve">With the contribution of: </w:t>
    </w:r>
  </w:p>
  <w:p w14:paraId="7E945693" w14:textId="77777777" w:rsidR="00637AE8" w:rsidRDefault="00637AE8" w:rsidP="00637AE8">
    <w:r w:rsidRPr="147885A2">
      <w:rPr>
        <w:rFonts w:ascii="Calibri" w:eastAsia="Calibri" w:hAnsi="Calibri" w:cs="Calibri"/>
        <w:color w:val="5B9BD5" w:themeColor="accent5"/>
      </w:rPr>
      <w:t>[logos of UN Agencies contributing to the document]</w:t>
    </w:r>
  </w:p>
  <w:p w14:paraId="3354B1F1" w14:textId="77777777" w:rsidR="00637AE8" w:rsidRDefault="00637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483C" w14:textId="77777777" w:rsidR="0020682B" w:rsidRDefault="0020682B" w:rsidP="008E2ADF">
      <w:r>
        <w:separator/>
      </w:r>
    </w:p>
  </w:footnote>
  <w:footnote w:type="continuationSeparator" w:id="0">
    <w:p w14:paraId="629DA3A4" w14:textId="77777777" w:rsidR="0020682B" w:rsidRDefault="0020682B" w:rsidP="008E2ADF">
      <w:r>
        <w:continuationSeparator/>
      </w:r>
    </w:p>
  </w:footnote>
  <w:footnote w:id="1">
    <w:p w14:paraId="3C3B4DB6" w14:textId="2134E4B1" w:rsidR="77ECB594" w:rsidRDefault="77ECB594" w:rsidP="007B0CF8">
      <w:pPr>
        <w:pStyle w:val="FootnoteText"/>
      </w:pPr>
      <w:r w:rsidRPr="007B0CF8">
        <w:rPr>
          <w:rStyle w:val="FootnoteReference"/>
        </w:rPr>
        <w:footnoteRef/>
      </w:r>
      <w:r w:rsidRPr="007B0CF8">
        <w:rPr>
          <w:rStyle w:val="FootnoteReference"/>
        </w:rPr>
        <w:t xml:space="preserve"> </w:t>
      </w:r>
      <w:r w:rsidRPr="007B0CF8">
        <w:rPr>
          <w:rFonts w:asciiTheme="majorHAnsi" w:hAnsiTheme="majorHAnsi" w:cstheme="majorHAnsi"/>
          <w:sz w:val="18"/>
          <w:szCs w:val="18"/>
        </w:rPr>
        <w:t>Latest official data available.</w:t>
      </w:r>
    </w:p>
  </w:footnote>
  <w:footnote w:id="2">
    <w:p w14:paraId="65AD1940" w14:textId="367302AF" w:rsidR="007B0CF8" w:rsidRPr="007B0CF8" w:rsidRDefault="007B0CF8" w:rsidP="007B0CF8">
      <w:pPr>
        <w:pStyle w:val="FootnoteText"/>
        <w:rPr>
          <w:rFonts w:asciiTheme="majorHAnsi" w:hAnsiTheme="majorHAnsi" w:cstheme="majorHAnsi"/>
          <w:sz w:val="18"/>
          <w:szCs w:val="18"/>
        </w:rPr>
      </w:pPr>
      <w:r>
        <w:rPr>
          <w:rStyle w:val="FootnoteReference"/>
        </w:rPr>
        <w:footnoteRef/>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2020”, p.4, retrieved from</w:t>
      </w:r>
      <w:r w:rsidR="002A6CE1" w:rsidRPr="00127388">
        <w:rPr>
          <w:rFonts w:asciiTheme="majorHAnsi" w:hAnsiTheme="majorHAnsi" w:cstheme="majorHAnsi"/>
          <w:sz w:val="18"/>
          <w:szCs w:val="18"/>
        </w:rPr>
        <w:t xml:space="preserve"> </w:t>
      </w:r>
      <w:r w:rsidR="002A6CE1" w:rsidRPr="002A6CE1">
        <w:rPr>
          <w:rFonts w:asciiTheme="majorHAnsi" w:hAnsiTheme="majorHAnsi" w:cstheme="majorHAnsi"/>
          <w:sz w:val="18"/>
          <w:szCs w:val="18"/>
        </w:rPr>
        <w:t>https://anrceti.md/files/filefield/Anuar%20statistic_2020.pdf</w:t>
      </w:r>
    </w:p>
  </w:footnote>
  <w:footnote w:id="3">
    <w:p w14:paraId="5807F9E8" w14:textId="00FA0565" w:rsidR="00952686" w:rsidRPr="007B0CF8" w:rsidRDefault="00952686" w:rsidP="00952686">
      <w:pPr>
        <w:pStyle w:val="FootnoteText"/>
        <w:rPr>
          <w:rFonts w:asciiTheme="majorHAnsi" w:hAnsiTheme="majorHAnsi" w:cstheme="majorHAnsi"/>
          <w:sz w:val="18"/>
          <w:szCs w:val="18"/>
        </w:rPr>
      </w:pPr>
      <w:r>
        <w:rPr>
          <w:rStyle w:val="FootnoteReference"/>
        </w:rPr>
        <w:footnoteRef/>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2020”, p</w:t>
      </w:r>
      <w:r w:rsidR="000A2518">
        <w:rPr>
          <w:rFonts w:asciiTheme="majorHAnsi" w:hAnsiTheme="majorHAnsi" w:cstheme="majorHAnsi"/>
          <w:sz w:val="18"/>
          <w:szCs w:val="18"/>
        </w:rPr>
        <w:t>p</w:t>
      </w:r>
      <w:r w:rsidRPr="007B0CF8">
        <w:rPr>
          <w:rFonts w:asciiTheme="majorHAnsi" w:hAnsiTheme="majorHAnsi" w:cstheme="majorHAnsi"/>
          <w:sz w:val="18"/>
          <w:szCs w:val="18"/>
        </w:rPr>
        <w:t>.</w:t>
      </w:r>
      <w:r w:rsidR="000A2518">
        <w:rPr>
          <w:rFonts w:asciiTheme="majorHAnsi" w:hAnsiTheme="majorHAnsi" w:cstheme="majorHAnsi"/>
          <w:sz w:val="18"/>
          <w:szCs w:val="18"/>
        </w:rPr>
        <w:t xml:space="preserve"> 4,</w:t>
      </w:r>
      <w:r w:rsidR="00372F07">
        <w:rPr>
          <w:rFonts w:asciiTheme="majorHAnsi" w:hAnsiTheme="majorHAnsi" w:cstheme="majorHAnsi"/>
          <w:sz w:val="18"/>
          <w:szCs w:val="18"/>
        </w:rPr>
        <w:t>30</w:t>
      </w:r>
      <w:r w:rsidRPr="007B0CF8">
        <w:rPr>
          <w:rFonts w:asciiTheme="majorHAnsi" w:hAnsiTheme="majorHAnsi" w:cstheme="majorHAnsi"/>
          <w:sz w:val="18"/>
          <w:szCs w:val="18"/>
        </w:rPr>
        <w:t>, retrieved from</w:t>
      </w:r>
      <w:r w:rsidRPr="00127388">
        <w:rPr>
          <w:rFonts w:asciiTheme="majorHAnsi" w:hAnsiTheme="majorHAnsi" w:cstheme="majorHAnsi"/>
          <w:sz w:val="18"/>
          <w:szCs w:val="18"/>
        </w:rPr>
        <w:t xml:space="preserve"> </w:t>
      </w:r>
      <w:r w:rsidRPr="002A6CE1">
        <w:rPr>
          <w:rFonts w:asciiTheme="majorHAnsi" w:hAnsiTheme="majorHAnsi" w:cstheme="majorHAnsi"/>
          <w:sz w:val="18"/>
          <w:szCs w:val="18"/>
        </w:rPr>
        <w:t>https://anrceti.md/files/filefield/Anuar%20statistic_2020.pdf</w:t>
      </w:r>
    </w:p>
  </w:footnote>
  <w:footnote w:id="4">
    <w:p w14:paraId="09E90778" w14:textId="6D2DFAE7" w:rsidR="008567EC" w:rsidRPr="007B0CF8" w:rsidRDefault="008567EC" w:rsidP="008567EC">
      <w:pPr>
        <w:pStyle w:val="FootnoteText"/>
        <w:rPr>
          <w:rFonts w:asciiTheme="majorHAnsi" w:hAnsiTheme="majorHAnsi" w:cstheme="majorHAnsi"/>
          <w:sz w:val="18"/>
          <w:szCs w:val="18"/>
        </w:rPr>
      </w:pPr>
      <w:r>
        <w:rPr>
          <w:rStyle w:val="FootnoteReference"/>
        </w:rPr>
        <w:footnoteRef/>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2020”, p</w:t>
      </w:r>
      <w:r w:rsidR="005E3AF2">
        <w:rPr>
          <w:rFonts w:asciiTheme="majorHAnsi" w:hAnsiTheme="majorHAnsi" w:cstheme="majorHAnsi"/>
          <w:sz w:val="18"/>
          <w:szCs w:val="18"/>
        </w:rPr>
        <w:t>p</w:t>
      </w:r>
      <w:r w:rsidRPr="007B0CF8">
        <w:rPr>
          <w:rFonts w:asciiTheme="majorHAnsi" w:hAnsiTheme="majorHAnsi" w:cstheme="majorHAnsi"/>
          <w:sz w:val="18"/>
          <w:szCs w:val="18"/>
        </w:rPr>
        <w:t>.</w:t>
      </w:r>
      <w:r w:rsidR="005E3AF2">
        <w:rPr>
          <w:rFonts w:asciiTheme="majorHAnsi" w:hAnsiTheme="majorHAnsi" w:cstheme="majorHAnsi"/>
          <w:sz w:val="18"/>
          <w:szCs w:val="18"/>
        </w:rPr>
        <w:t xml:space="preserve"> 4,</w:t>
      </w:r>
      <w:r w:rsidR="00372F07">
        <w:rPr>
          <w:rFonts w:asciiTheme="majorHAnsi" w:hAnsiTheme="majorHAnsi" w:cstheme="majorHAnsi"/>
          <w:sz w:val="18"/>
          <w:szCs w:val="18"/>
        </w:rPr>
        <w:t>34</w:t>
      </w:r>
      <w:r w:rsidRPr="007B0CF8">
        <w:rPr>
          <w:rFonts w:asciiTheme="majorHAnsi" w:hAnsiTheme="majorHAnsi" w:cstheme="majorHAnsi"/>
          <w:sz w:val="18"/>
          <w:szCs w:val="18"/>
        </w:rPr>
        <w:t>, retrieved from</w:t>
      </w:r>
      <w:r w:rsidRPr="002A6CE1">
        <w:t xml:space="preserve"> </w:t>
      </w:r>
      <w:r w:rsidRPr="002A6CE1">
        <w:rPr>
          <w:rFonts w:asciiTheme="majorHAnsi" w:hAnsiTheme="majorHAnsi" w:cstheme="majorHAnsi"/>
          <w:sz w:val="18"/>
          <w:szCs w:val="18"/>
        </w:rPr>
        <w:t>https://anrceti.md/files/filefield/Anuar%20statistic_2020.pdf</w:t>
      </w:r>
    </w:p>
  </w:footnote>
  <w:footnote w:id="5">
    <w:p w14:paraId="5CD29A4A" w14:textId="6370D9CD" w:rsidR="00372F07" w:rsidRPr="007B0CF8" w:rsidRDefault="00372F07" w:rsidP="00372F07">
      <w:pPr>
        <w:pStyle w:val="FootnoteText"/>
        <w:rPr>
          <w:rFonts w:asciiTheme="majorHAnsi" w:hAnsiTheme="majorHAnsi" w:cstheme="majorHAnsi"/>
          <w:sz w:val="18"/>
          <w:szCs w:val="18"/>
        </w:rPr>
      </w:pPr>
      <w:r>
        <w:rPr>
          <w:rStyle w:val="FootnoteReference"/>
        </w:rPr>
        <w:footnoteRef/>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w:t>
      </w:r>
      <w:r>
        <w:rPr>
          <w:rFonts w:asciiTheme="majorHAnsi" w:hAnsiTheme="majorHAnsi" w:cstheme="majorHAnsi"/>
          <w:sz w:val="18"/>
          <w:szCs w:val="18"/>
        </w:rPr>
        <w:t>19</w:t>
      </w:r>
      <w:r w:rsidRPr="007B0CF8">
        <w:rPr>
          <w:rFonts w:asciiTheme="majorHAnsi" w:hAnsiTheme="majorHAnsi" w:cstheme="majorHAnsi"/>
          <w:sz w:val="18"/>
          <w:szCs w:val="18"/>
        </w:rPr>
        <w:t>”, p.4, retrieved from</w:t>
      </w:r>
      <w:r w:rsidRPr="002A6CE1">
        <w:t xml:space="preserve"> </w:t>
      </w:r>
      <w:r w:rsidRPr="00372F07">
        <w:rPr>
          <w:rFonts w:asciiTheme="majorHAnsi" w:hAnsiTheme="majorHAnsi" w:cstheme="majorHAnsi"/>
          <w:sz w:val="18"/>
          <w:szCs w:val="18"/>
        </w:rPr>
        <w:t>https://anrceti.md/files/filefield/Anuar%20statistic%202019_22aprilie_2020.pdf</w:t>
      </w:r>
    </w:p>
  </w:footnote>
  <w:footnote w:id="6">
    <w:p w14:paraId="433EDE8A" w14:textId="60E4AC8D" w:rsidR="00B87759" w:rsidRDefault="00B87759" w:rsidP="00B87759">
      <w:pPr>
        <w:pStyle w:val="FootnoteText"/>
      </w:pPr>
      <w:r>
        <w:rPr>
          <w:rStyle w:val="FootnoteReference"/>
        </w:rPr>
        <w:footnoteRef/>
      </w:r>
      <w:r>
        <w:t xml:space="preserve"> </w:t>
      </w:r>
      <w:r w:rsidR="008567EC" w:rsidRPr="00127388">
        <w:rPr>
          <w:rFonts w:asciiTheme="majorHAnsi" w:hAnsiTheme="majorHAnsi" w:cstheme="majorHAnsi"/>
          <w:sz w:val="18"/>
          <w:szCs w:val="18"/>
        </w:rPr>
        <w:t>ANRCETI Report “</w:t>
      </w:r>
      <w:proofErr w:type="spellStart"/>
      <w:r w:rsidR="008567EC" w:rsidRPr="00127388">
        <w:rPr>
          <w:rFonts w:asciiTheme="majorHAnsi" w:hAnsiTheme="majorHAnsi" w:cstheme="majorHAnsi"/>
          <w:sz w:val="18"/>
          <w:szCs w:val="18"/>
        </w:rPr>
        <w:t>A</w:t>
      </w:r>
      <w:r w:rsidR="008567EC" w:rsidRPr="007B0CF8">
        <w:rPr>
          <w:rFonts w:asciiTheme="majorHAnsi" w:hAnsiTheme="majorHAnsi" w:cstheme="majorHAnsi"/>
          <w:sz w:val="18"/>
          <w:szCs w:val="18"/>
        </w:rPr>
        <w:t>nuar</w:t>
      </w:r>
      <w:proofErr w:type="spellEnd"/>
      <w:r w:rsidR="008567EC" w:rsidRPr="007B0CF8">
        <w:rPr>
          <w:rFonts w:asciiTheme="majorHAnsi" w:hAnsiTheme="majorHAnsi" w:cstheme="majorHAnsi"/>
          <w:sz w:val="18"/>
          <w:szCs w:val="18"/>
        </w:rPr>
        <w:t xml:space="preserve"> statistic </w:t>
      </w:r>
      <w:proofErr w:type="spellStart"/>
      <w:r w:rsidR="008567EC" w:rsidRPr="007B0CF8">
        <w:rPr>
          <w:rFonts w:asciiTheme="majorHAnsi" w:hAnsiTheme="majorHAnsi" w:cstheme="majorHAnsi"/>
          <w:sz w:val="18"/>
          <w:szCs w:val="18"/>
        </w:rPr>
        <w:t>dezvoltarea</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comunicaţiilor</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electronice</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în</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republica</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moldova</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pentru</w:t>
      </w:r>
      <w:proofErr w:type="spellEnd"/>
      <w:r w:rsidR="008567EC" w:rsidRPr="007B0CF8">
        <w:rPr>
          <w:rFonts w:asciiTheme="majorHAnsi" w:hAnsiTheme="majorHAnsi" w:cstheme="majorHAnsi"/>
          <w:sz w:val="18"/>
          <w:szCs w:val="18"/>
        </w:rPr>
        <w:t xml:space="preserve"> </w:t>
      </w:r>
      <w:proofErr w:type="spellStart"/>
      <w:r w:rsidR="008567EC" w:rsidRPr="007B0CF8">
        <w:rPr>
          <w:rFonts w:asciiTheme="majorHAnsi" w:hAnsiTheme="majorHAnsi" w:cstheme="majorHAnsi"/>
          <w:sz w:val="18"/>
          <w:szCs w:val="18"/>
        </w:rPr>
        <w:t>anul</w:t>
      </w:r>
      <w:proofErr w:type="spellEnd"/>
      <w:r w:rsidR="008567EC" w:rsidRPr="007B0CF8">
        <w:rPr>
          <w:rFonts w:asciiTheme="majorHAnsi" w:hAnsiTheme="majorHAnsi" w:cstheme="majorHAnsi"/>
          <w:sz w:val="18"/>
          <w:szCs w:val="18"/>
        </w:rPr>
        <w:t xml:space="preserve"> 2020”, p.4, retrieved from</w:t>
      </w:r>
      <w:r w:rsidR="008567EC" w:rsidRPr="00127388">
        <w:rPr>
          <w:rFonts w:asciiTheme="majorHAnsi" w:hAnsiTheme="majorHAnsi" w:cstheme="majorHAnsi"/>
          <w:sz w:val="18"/>
          <w:szCs w:val="18"/>
        </w:rPr>
        <w:t xml:space="preserve"> </w:t>
      </w:r>
      <w:r w:rsidR="008567EC" w:rsidRPr="002A6CE1">
        <w:rPr>
          <w:rFonts w:asciiTheme="majorHAnsi" w:hAnsiTheme="majorHAnsi" w:cstheme="majorHAnsi"/>
          <w:sz w:val="18"/>
          <w:szCs w:val="18"/>
        </w:rPr>
        <w:t>https://anrceti.md/files/filefield/Anuar%20statistic_2020.pdf</w:t>
      </w:r>
    </w:p>
  </w:footnote>
  <w:footnote w:id="7">
    <w:p w14:paraId="50FCAC20" w14:textId="5C10F8A7" w:rsidR="147885A2" w:rsidRPr="007904E7" w:rsidRDefault="147885A2" w:rsidP="007904E7">
      <w:pPr>
        <w:pStyle w:val="FootnoteText"/>
        <w:spacing w:after="120"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https://www.itu.int/en/ITU-D/Regional-Presence/Europe/Pages/MemberCountriesinEurope.aspx</w:t>
      </w:r>
    </w:p>
  </w:footnote>
  <w:footnote w:id="8">
    <w:p w14:paraId="6F5C7EEB" w14:textId="06FB360B" w:rsidR="005F1C51" w:rsidRPr="007904E7" w:rsidRDefault="005F1C51" w:rsidP="007904E7">
      <w:pPr>
        <w:pStyle w:val="FootnoteText"/>
        <w:spacing w:after="120"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1" w:history="1">
        <w:r w:rsidRPr="007904E7">
          <w:rPr>
            <w:rFonts w:asciiTheme="majorHAnsi" w:hAnsiTheme="majorHAnsi" w:cstheme="majorHAnsi"/>
            <w:sz w:val="18"/>
            <w:szCs w:val="18"/>
          </w:rPr>
          <w:t>https://www.itu.int/en/ITU-D/Statistics/Documents/publications/misr2018/MISR-2018-Vol-2-E.pdf</w:t>
        </w:r>
      </w:hyperlink>
      <w:r w:rsidRPr="007904E7">
        <w:rPr>
          <w:rFonts w:asciiTheme="majorHAnsi" w:hAnsiTheme="majorHAnsi" w:cstheme="majorHAnsi"/>
          <w:sz w:val="18"/>
          <w:szCs w:val="18"/>
        </w:rPr>
        <w:t>, p. 1</w:t>
      </w:r>
      <w:r w:rsidR="00A97BF5">
        <w:rPr>
          <w:rFonts w:asciiTheme="majorHAnsi" w:hAnsiTheme="majorHAnsi" w:cstheme="majorHAnsi"/>
          <w:sz w:val="18"/>
          <w:szCs w:val="18"/>
        </w:rPr>
        <w:t>27</w:t>
      </w:r>
      <w:r w:rsidRPr="007904E7">
        <w:rPr>
          <w:rFonts w:asciiTheme="majorHAnsi" w:hAnsiTheme="majorHAnsi" w:cstheme="majorHAnsi"/>
          <w:sz w:val="18"/>
          <w:szCs w:val="18"/>
        </w:rPr>
        <w:t>.</w:t>
      </w:r>
    </w:p>
  </w:footnote>
  <w:footnote w:id="9">
    <w:p w14:paraId="3A93E5DC" w14:textId="77A1D50C" w:rsidR="00074F9E" w:rsidRDefault="00074F9E">
      <w:pPr>
        <w:pStyle w:val="FootnoteText"/>
      </w:pPr>
      <w:r>
        <w:rPr>
          <w:rStyle w:val="FootnoteReference"/>
        </w:rPr>
        <w:footnoteRef/>
      </w:r>
      <w:r>
        <w:t xml:space="preserve"> </w:t>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2020”, p.</w:t>
      </w:r>
      <w:r>
        <w:rPr>
          <w:rFonts w:asciiTheme="majorHAnsi" w:hAnsiTheme="majorHAnsi" w:cstheme="majorHAnsi"/>
          <w:sz w:val="18"/>
          <w:szCs w:val="18"/>
        </w:rPr>
        <w:t>2</w:t>
      </w:r>
      <w:r w:rsidRPr="007B0CF8">
        <w:rPr>
          <w:rFonts w:asciiTheme="majorHAnsi" w:hAnsiTheme="majorHAnsi" w:cstheme="majorHAnsi"/>
          <w:sz w:val="18"/>
          <w:szCs w:val="18"/>
        </w:rPr>
        <w:t>4, retrieved from</w:t>
      </w:r>
      <w:r w:rsidRPr="002A6CE1">
        <w:t xml:space="preserve"> </w:t>
      </w:r>
      <w:r w:rsidRPr="002A6CE1">
        <w:rPr>
          <w:rFonts w:asciiTheme="majorHAnsi" w:hAnsiTheme="majorHAnsi" w:cstheme="majorHAnsi"/>
          <w:sz w:val="18"/>
          <w:szCs w:val="18"/>
        </w:rPr>
        <w:t>https://anrceti.md/files/filefield/Anuar%20statistic_2020.pdf</w:t>
      </w:r>
    </w:p>
  </w:footnote>
  <w:footnote w:id="10">
    <w:p w14:paraId="0CF2F810" w14:textId="44013A3A" w:rsidR="008500E2" w:rsidRDefault="008500E2">
      <w:pPr>
        <w:pStyle w:val="FootnoteText"/>
      </w:pPr>
      <w:r>
        <w:rPr>
          <w:rStyle w:val="FootnoteReference"/>
        </w:rPr>
        <w:footnoteRef/>
      </w:r>
      <w:r>
        <w:t xml:space="preserve"> </w:t>
      </w:r>
      <w:r w:rsidRPr="00127388">
        <w:rPr>
          <w:rFonts w:asciiTheme="majorHAnsi" w:hAnsiTheme="majorHAnsi" w:cstheme="majorHAnsi"/>
          <w:sz w:val="18"/>
          <w:szCs w:val="18"/>
        </w:rPr>
        <w:t>ANRCETI Report “</w:t>
      </w:r>
      <w:proofErr w:type="spellStart"/>
      <w:r w:rsidRPr="00127388">
        <w:rPr>
          <w:rFonts w:asciiTheme="majorHAnsi" w:hAnsiTheme="majorHAnsi" w:cstheme="majorHAnsi"/>
          <w:sz w:val="18"/>
          <w:szCs w:val="18"/>
        </w:rPr>
        <w:t>A</w:t>
      </w:r>
      <w:r w:rsidRPr="007B0CF8">
        <w:rPr>
          <w:rFonts w:asciiTheme="majorHAnsi" w:hAnsiTheme="majorHAnsi" w:cstheme="majorHAnsi"/>
          <w:sz w:val="18"/>
          <w:szCs w:val="18"/>
        </w:rPr>
        <w:t>nuar</w:t>
      </w:r>
      <w:proofErr w:type="spellEnd"/>
      <w:r w:rsidRPr="007B0CF8">
        <w:rPr>
          <w:rFonts w:asciiTheme="majorHAnsi" w:hAnsiTheme="majorHAnsi" w:cstheme="majorHAnsi"/>
          <w:sz w:val="18"/>
          <w:szCs w:val="18"/>
        </w:rPr>
        <w:t xml:space="preserve"> statistic </w:t>
      </w:r>
      <w:proofErr w:type="spellStart"/>
      <w:r w:rsidRPr="007B0CF8">
        <w:rPr>
          <w:rFonts w:asciiTheme="majorHAnsi" w:hAnsiTheme="majorHAnsi" w:cstheme="majorHAnsi"/>
          <w:sz w:val="18"/>
          <w:szCs w:val="18"/>
        </w:rPr>
        <w:t>dezvoltarea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comunicaţiilor</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electronice</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în</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republica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moldova</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pentru</w:t>
      </w:r>
      <w:proofErr w:type="spellEnd"/>
      <w:r w:rsidRPr="007B0CF8">
        <w:rPr>
          <w:rFonts w:asciiTheme="majorHAnsi" w:hAnsiTheme="majorHAnsi" w:cstheme="majorHAnsi"/>
          <w:sz w:val="18"/>
          <w:szCs w:val="18"/>
        </w:rPr>
        <w:t xml:space="preserve"> </w:t>
      </w:r>
      <w:proofErr w:type="spellStart"/>
      <w:r w:rsidRPr="007B0CF8">
        <w:rPr>
          <w:rFonts w:asciiTheme="majorHAnsi" w:hAnsiTheme="majorHAnsi" w:cstheme="majorHAnsi"/>
          <w:sz w:val="18"/>
          <w:szCs w:val="18"/>
        </w:rPr>
        <w:t>anul</w:t>
      </w:r>
      <w:proofErr w:type="spellEnd"/>
      <w:r w:rsidRPr="007B0CF8">
        <w:rPr>
          <w:rFonts w:asciiTheme="majorHAnsi" w:hAnsiTheme="majorHAnsi" w:cstheme="majorHAnsi"/>
          <w:sz w:val="18"/>
          <w:szCs w:val="18"/>
        </w:rPr>
        <w:t xml:space="preserve"> 2020”, p.</w:t>
      </w:r>
      <w:r>
        <w:rPr>
          <w:rFonts w:asciiTheme="majorHAnsi" w:hAnsiTheme="majorHAnsi" w:cstheme="majorHAnsi"/>
          <w:sz w:val="18"/>
          <w:szCs w:val="18"/>
        </w:rPr>
        <w:t>26</w:t>
      </w:r>
      <w:r w:rsidRPr="007B0CF8">
        <w:rPr>
          <w:rFonts w:asciiTheme="majorHAnsi" w:hAnsiTheme="majorHAnsi" w:cstheme="majorHAnsi"/>
          <w:sz w:val="18"/>
          <w:szCs w:val="18"/>
        </w:rPr>
        <w:t>, retrieved from</w:t>
      </w:r>
      <w:r w:rsidRPr="002A6CE1">
        <w:t xml:space="preserve"> </w:t>
      </w:r>
      <w:r w:rsidRPr="002A6CE1">
        <w:rPr>
          <w:rFonts w:asciiTheme="majorHAnsi" w:hAnsiTheme="majorHAnsi" w:cstheme="majorHAnsi"/>
          <w:sz w:val="18"/>
          <w:szCs w:val="18"/>
        </w:rPr>
        <w:t>https://anrceti.md/files/filefield/Anuar%20statistic_2020.pdf</w:t>
      </w:r>
    </w:p>
  </w:footnote>
  <w:footnote w:id="11">
    <w:p w14:paraId="595085A5" w14:textId="77777777" w:rsidR="00680899" w:rsidRDefault="00680899" w:rsidP="00680899">
      <w:pPr>
        <w:pStyle w:val="FootnoteText"/>
      </w:pPr>
      <w:r>
        <w:rPr>
          <w:rStyle w:val="FootnoteReference"/>
        </w:rPr>
        <w:footnoteRef/>
      </w:r>
      <w:r>
        <w:t xml:space="preserve"> </w:t>
      </w:r>
      <w:r w:rsidRPr="00DD13DE">
        <w:rPr>
          <w:rFonts w:asciiTheme="majorHAnsi" w:hAnsiTheme="majorHAnsi" w:cstheme="majorHAnsi"/>
          <w:sz w:val="18"/>
          <w:szCs w:val="18"/>
        </w:rPr>
        <w:t xml:space="preserve">Using the current exchange rate of the National Bank of Moldova of 21.2165 as of 20.06.2021, </w:t>
      </w:r>
      <w:r w:rsidRPr="007B0CF8">
        <w:rPr>
          <w:rFonts w:asciiTheme="majorHAnsi" w:hAnsiTheme="majorHAnsi" w:cstheme="majorHAnsi"/>
          <w:sz w:val="18"/>
          <w:szCs w:val="18"/>
        </w:rPr>
        <w:t>retrieved from</w:t>
      </w:r>
      <w:r>
        <w:rPr>
          <w:rFonts w:asciiTheme="majorHAnsi" w:hAnsiTheme="majorHAnsi" w:cstheme="majorHAnsi"/>
          <w:sz w:val="18"/>
          <w:szCs w:val="18"/>
        </w:rPr>
        <w:t xml:space="preserve"> </w:t>
      </w:r>
      <w:r w:rsidRPr="00DD13DE">
        <w:rPr>
          <w:rFonts w:asciiTheme="majorHAnsi" w:hAnsiTheme="majorHAnsi" w:cstheme="majorHAnsi"/>
          <w:sz w:val="18"/>
          <w:szCs w:val="18"/>
        </w:rPr>
        <w:t>https://www.bnm.md</w:t>
      </w:r>
    </w:p>
  </w:footnote>
  <w:footnote w:id="12">
    <w:p w14:paraId="0973C32C" w14:textId="1335C3D8" w:rsidR="00DD6E86" w:rsidRDefault="00DD6E86" w:rsidP="00DD6E86">
      <w:pPr>
        <w:pStyle w:val="FootnoteText"/>
      </w:pPr>
      <w:r>
        <w:rPr>
          <w:rStyle w:val="FootnoteReference"/>
        </w:rPr>
        <w:footnoteRef/>
      </w:r>
      <w:r>
        <w:t xml:space="preserve"> </w:t>
      </w:r>
      <w:r w:rsidR="00127388" w:rsidRPr="00127388">
        <w:rPr>
          <w:rFonts w:asciiTheme="majorHAnsi" w:hAnsiTheme="majorHAnsi" w:cstheme="majorHAnsi"/>
          <w:sz w:val="18"/>
          <w:szCs w:val="18"/>
        </w:rPr>
        <w:t>ANRCETI Report “</w:t>
      </w:r>
      <w:proofErr w:type="spellStart"/>
      <w:r w:rsidR="00127388" w:rsidRPr="00127388">
        <w:rPr>
          <w:rFonts w:asciiTheme="majorHAnsi" w:hAnsiTheme="majorHAnsi" w:cstheme="majorHAnsi"/>
          <w:sz w:val="18"/>
          <w:szCs w:val="18"/>
        </w:rPr>
        <w:t>A</w:t>
      </w:r>
      <w:r w:rsidR="00127388" w:rsidRPr="007B0CF8">
        <w:rPr>
          <w:rFonts w:asciiTheme="majorHAnsi" w:hAnsiTheme="majorHAnsi" w:cstheme="majorHAnsi"/>
          <w:sz w:val="18"/>
          <w:szCs w:val="18"/>
        </w:rPr>
        <w:t>nuar</w:t>
      </w:r>
      <w:proofErr w:type="spellEnd"/>
      <w:r w:rsidR="00127388" w:rsidRPr="007B0CF8">
        <w:rPr>
          <w:rFonts w:asciiTheme="majorHAnsi" w:hAnsiTheme="majorHAnsi" w:cstheme="majorHAnsi"/>
          <w:sz w:val="18"/>
          <w:szCs w:val="18"/>
        </w:rPr>
        <w:t xml:space="preserve"> statistic </w:t>
      </w:r>
      <w:proofErr w:type="spellStart"/>
      <w:r w:rsidR="00127388" w:rsidRPr="007B0CF8">
        <w:rPr>
          <w:rFonts w:asciiTheme="majorHAnsi" w:hAnsiTheme="majorHAnsi" w:cstheme="majorHAnsi"/>
          <w:sz w:val="18"/>
          <w:szCs w:val="18"/>
        </w:rPr>
        <w:t>dezvoltarea</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comunicaţiilor</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electronice</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în</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republica</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moldova</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pentru</w:t>
      </w:r>
      <w:proofErr w:type="spellEnd"/>
      <w:r w:rsidR="00127388" w:rsidRPr="007B0CF8">
        <w:rPr>
          <w:rFonts w:asciiTheme="majorHAnsi" w:hAnsiTheme="majorHAnsi" w:cstheme="majorHAnsi"/>
          <w:sz w:val="18"/>
          <w:szCs w:val="18"/>
        </w:rPr>
        <w:t xml:space="preserve"> </w:t>
      </w:r>
      <w:proofErr w:type="spellStart"/>
      <w:r w:rsidR="00127388" w:rsidRPr="007B0CF8">
        <w:rPr>
          <w:rFonts w:asciiTheme="majorHAnsi" w:hAnsiTheme="majorHAnsi" w:cstheme="majorHAnsi"/>
          <w:sz w:val="18"/>
          <w:szCs w:val="18"/>
        </w:rPr>
        <w:t>anul</w:t>
      </w:r>
      <w:proofErr w:type="spellEnd"/>
      <w:r w:rsidR="00127388" w:rsidRPr="007B0CF8">
        <w:rPr>
          <w:rFonts w:asciiTheme="majorHAnsi" w:hAnsiTheme="majorHAnsi" w:cstheme="majorHAnsi"/>
          <w:sz w:val="18"/>
          <w:szCs w:val="18"/>
        </w:rPr>
        <w:t xml:space="preserve"> 2020”, p</w:t>
      </w:r>
      <w:r w:rsidR="0022003B">
        <w:rPr>
          <w:rFonts w:asciiTheme="majorHAnsi" w:hAnsiTheme="majorHAnsi" w:cstheme="majorHAnsi"/>
          <w:sz w:val="18"/>
          <w:szCs w:val="18"/>
        </w:rPr>
        <w:t>p</w:t>
      </w:r>
      <w:r w:rsidR="00127388" w:rsidRPr="007B0CF8">
        <w:rPr>
          <w:rFonts w:asciiTheme="majorHAnsi" w:hAnsiTheme="majorHAnsi" w:cstheme="majorHAnsi"/>
          <w:sz w:val="18"/>
          <w:szCs w:val="18"/>
        </w:rPr>
        <w:t>.</w:t>
      </w:r>
      <w:r w:rsidR="0022003B">
        <w:rPr>
          <w:rFonts w:asciiTheme="majorHAnsi" w:hAnsiTheme="majorHAnsi" w:cstheme="majorHAnsi"/>
          <w:sz w:val="18"/>
          <w:szCs w:val="18"/>
        </w:rPr>
        <w:t xml:space="preserve"> 5,</w:t>
      </w:r>
      <w:r w:rsidR="00164362">
        <w:rPr>
          <w:rFonts w:asciiTheme="majorHAnsi" w:hAnsiTheme="majorHAnsi" w:cstheme="majorHAnsi"/>
          <w:sz w:val="18"/>
          <w:szCs w:val="18"/>
        </w:rPr>
        <w:t>23</w:t>
      </w:r>
      <w:r w:rsidR="00127388" w:rsidRPr="007B0CF8">
        <w:rPr>
          <w:rFonts w:asciiTheme="majorHAnsi" w:hAnsiTheme="majorHAnsi" w:cstheme="majorHAnsi"/>
          <w:sz w:val="18"/>
          <w:szCs w:val="18"/>
        </w:rPr>
        <w:t>, retrieved from</w:t>
      </w:r>
      <w:r w:rsidR="00127388" w:rsidRPr="002A6CE1">
        <w:t xml:space="preserve"> </w:t>
      </w:r>
      <w:r w:rsidR="00127388" w:rsidRPr="002A6CE1">
        <w:rPr>
          <w:rFonts w:asciiTheme="majorHAnsi" w:hAnsiTheme="majorHAnsi" w:cstheme="majorHAnsi"/>
          <w:sz w:val="18"/>
          <w:szCs w:val="18"/>
        </w:rPr>
        <w:t>https://anrceti.md/files/filefield/Anuar%20statistic_2020.pdf</w:t>
      </w:r>
    </w:p>
  </w:footnote>
  <w:footnote w:id="13">
    <w:p w14:paraId="64A0138B" w14:textId="2E09942B" w:rsidR="147885A2" w:rsidRPr="007904E7" w:rsidRDefault="147885A2" w:rsidP="007904E7">
      <w:pPr>
        <w:pStyle w:val="FootnoteText"/>
        <w:spacing w:after="120"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2" w:history="1">
        <w:r w:rsidR="007C6670" w:rsidRPr="007904E7">
          <w:rPr>
            <w:rFonts w:asciiTheme="majorHAnsi" w:hAnsiTheme="majorHAnsi" w:cstheme="majorHAnsi"/>
            <w:sz w:val="18"/>
            <w:szCs w:val="18"/>
          </w:rPr>
          <w:t>https://www.itu.int/en/ITU-D/Regional-Presence/Europe/Pages/Events/2021/MC/Default.aspx</w:t>
        </w:r>
      </w:hyperlink>
      <w:r w:rsidR="007C6670" w:rsidRPr="007904E7">
        <w:rPr>
          <w:rFonts w:asciiTheme="majorHAnsi" w:hAnsiTheme="majorHAnsi" w:cstheme="majorHAnsi"/>
          <w:sz w:val="18"/>
          <w:szCs w:val="18"/>
        </w:rPr>
        <w:t xml:space="preserve"> </w:t>
      </w:r>
    </w:p>
  </w:footnote>
  <w:footnote w:id="14">
    <w:p w14:paraId="44B123FB" w14:textId="0BBBCB80" w:rsidR="00554EF2" w:rsidRDefault="00554EF2">
      <w:pPr>
        <w:pStyle w:val="FootnoteText"/>
      </w:pPr>
      <w:r>
        <w:rPr>
          <w:rStyle w:val="FootnoteReference"/>
        </w:rPr>
        <w:footnoteRef/>
      </w:r>
      <w:r w:rsidR="006D7E17" w:rsidRPr="006D7E17">
        <w:rPr>
          <w:rFonts w:asciiTheme="majorHAnsi" w:hAnsiTheme="majorHAnsi" w:cstheme="majorHAnsi"/>
          <w:sz w:val="18"/>
          <w:szCs w:val="18"/>
        </w:rPr>
        <w:t xml:space="preserve">ITU Report “Measuring digital development ICT price trends”, pp. </w:t>
      </w:r>
      <w:r w:rsidR="006D7E17">
        <w:rPr>
          <w:rFonts w:asciiTheme="majorHAnsi" w:hAnsiTheme="majorHAnsi" w:cstheme="majorHAnsi"/>
          <w:sz w:val="18"/>
          <w:szCs w:val="18"/>
        </w:rPr>
        <w:t>12, 24</w:t>
      </w:r>
      <w:r w:rsidR="006D7E17" w:rsidRPr="006D7E17">
        <w:rPr>
          <w:rFonts w:asciiTheme="majorHAnsi" w:hAnsiTheme="majorHAnsi" w:cstheme="majorHAnsi"/>
          <w:sz w:val="18"/>
          <w:szCs w:val="18"/>
        </w:rPr>
        <w:t>, retrieved from https://www.itu.int/en/ITU-D/Statistics/Pages/ICTprices/default.aspx</w:t>
      </w:r>
    </w:p>
  </w:footnote>
  <w:footnote w:id="15">
    <w:p w14:paraId="6FE40C1B" w14:textId="23400500" w:rsidR="006D7E17" w:rsidRPr="006D7E17" w:rsidRDefault="006D7E17" w:rsidP="006D7E17">
      <w:pPr>
        <w:pStyle w:val="FootnoteText"/>
        <w:rPr>
          <w:rFonts w:asciiTheme="majorHAnsi" w:hAnsiTheme="majorHAnsi" w:cstheme="majorHAnsi"/>
          <w:sz w:val="18"/>
          <w:szCs w:val="18"/>
        </w:rPr>
      </w:pPr>
      <w:r>
        <w:rPr>
          <w:rStyle w:val="FootnoteReference"/>
        </w:rPr>
        <w:footnoteRef/>
      </w:r>
      <w:r>
        <w:t xml:space="preserve"> </w:t>
      </w:r>
      <w:r w:rsidRPr="006D7E17">
        <w:rPr>
          <w:rFonts w:asciiTheme="majorHAnsi" w:hAnsiTheme="majorHAnsi" w:cstheme="majorHAnsi"/>
          <w:sz w:val="18"/>
          <w:szCs w:val="18"/>
        </w:rPr>
        <w:t xml:space="preserve">ITU Report </w:t>
      </w:r>
      <w:r>
        <w:rPr>
          <w:rFonts w:asciiTheme="majorHAnsi" w:hAnsiTheme="majorHAnsi" w:cstheme="majorHAnsi"/>
          <w:sz w:val="18"/>
          <w:szCs w:val="18"/>
        </w:rPr>
        <w:t>“</w:t>
      </w:r>
      <w:r w:rsidRPr="006D7E17">
        <w:rPr>
          <w:rFonts w:asciiTheme="majorHAnsi" w:hAnsiTheme="majorHAnsi" w:cstheme="majorHAnsi"/>
          <w:sz w:val="18"/>
          <w:szCs w:val="18"/>
        </w:rPr>
        <w:t>Measuring digital development</w:t>
      </w:r>
      <w:r>
        <w:rPr>
          <w:rFonts w:asciiTheme="majorHAnsi" w:hAnsiTheme="majorHAnsi" w:cstheme="majorHAnsi"/>
          <w:sz w:val="18"/>
          <w:szCs w:val="18"/>
        </w:rPr>
        <w:t xml:space="preserve"> </w:t>
      </w:r>
      <w:r w:rsidRPr="006D7E17">
        <w:rPr>
          <w:rFonts w:asciiTheme="majorHAnsi" w:hAnsiTheme="majorHAnsi" w:cstheme="majorHAnsi"/>
          <w:sz w:val="18"/>
          <w:szCs w:val="18"/>
        </w:rPr>
        <w:t>ICT price trends</w:t>
      </w:r>
      <w:r>
        <w:rPr>
          <w:rFonts w:asciiTheme="majorHAnsi" w:hAnsiTheme="majorHAnsi" w:cstheme="majorHAnsi"/>
          <w:sz w:val="18"/>
          <w:szCs w:val="18"/>
        </w:rPr>
        <w:t xml:space="preserve">”, pp. 66-77, </w:t>
      </w:r>
      <w:r w:rsidRPr="006D7E17">
        <w:rPr>
          <w:rFonts w:asciiTheme="majorHAnsi" w:hAnsiTheme="majorHAnsi" w:cstheme="majorHAnsi"/>
          <w:sz w:val="18"/>
          <w:szCs w:val="18"/>
        </w:rPr>
        <w:t>retrieved from https://www.itu.int/en/ITU-D/Statistics/Pages/ICTprices/default.aspx</w:t>
      </w:r>
    </w:p>
  </w:footnote>
  <w:footnote w:id="16">
    <w:p w14:paraId="32F327D1" w14:textId="2F02E7A7" w:rsidR="00AD25DC" w:rsidRDefault="00AD25DC" w:rsidP="00AD25DC">
      <w:pPr>
        <w:pStyle w:val="FootnoteText"/>
      </w:pPr>
      <w:r>
        <w:rPr>
          <w:rStyle w:val="FootnoteReference"/>
        </w:rPr>
        <w:footnoteRef/>
      </w:r>
      <w:r w:rsidRPr="00AD25DC">
        <w:rPr>
          <w:rFonts w:asciiTheme="majorHAnsi" w:hAnsiTheme="majorHAnsi" w:cstheme="majorHAnsi"/>
          <w:sz w:val="18"/>
          <w:szCs w:val="18"/>
        </w:rPr>
        <w:t>https://mei.gov.md/sites/default/files/raport_de_evaluare_moldova_digitala_2020.semnat.pdf?fbclid=IwAR3Ei7fhzkxuWCH9UotCqF3lQx_jUbBzgEwjYbUJkhRZDNKozwXNnEUnSxQ</w:t>
      </w:r>
    </w:p>
  </w:footnote>
  <w:footnote w:id="17">
    <w:p w14:paraId="354B45AF" w14:textId="77777777" w:rsidR="00AD25DC" w:rsidRPr="00AD25DC" w:rsidRDefault="00AD25DC" w:rsidP="00AD25DC">
      <w:pPr>
        <w:pStyle w:val="FootnoteText"/>
        <w:rPr>
          <w:rFonts w:asciiTheme="majorHAnsi" w:hAnsiTheme="majorHAnsi" w:cstheme="majorHAnsi"/>
          <w:sz w:val="18"/>
          <w:szCs w:val="18"/>
        </w:rPr>
      </w:pPr>
      <w:r>
        <w:rPr>
          <w:rStyle w:val="FootnoteReference"/>
        </w:rPr>
        <w:footnoteRef/>
      </w:r>
      <w:r w:rsidRPr="00AD25DC">
        <w:rPr>
          <w:rFonts w:asciiTheme="majorHAnsi" w:hAnsiTheme="majorHAnsi" w:cstheme="majorHAnsi"/>
          <w:sz w:val="18"/>
          <w:szCs w:val="18"/>
        </w:rPr>
        <w:t xml:space="preserve"> https://www.itu.int/en/ITU-D/Regional-Presence/Europe/Documents/Events/2020/Series%20of%20Webinars/20-00244_Status_digital_Agriculture-revFAOV4.0-MASTER-FILE-20-JUNE_REVIEW-FAO_PL_print%20(002).pdf</w:t>
      </w:r>
    </w:p>
  </w:footnote>
  <w:footnote w:id="18">
    <w:p w14:paraId="23BD0C5D" w14:textId="7B1F1F8B" w:rsidR="00AD25DC" w:rsidRPr="00AD25DC" w:rsidRDefault="00AD25DC" w:rsidP="00AD25DC">
      <w:pPr>
        <w:pStyle w:val="FootnoteText"/>
        <w:rPr>
          <w:rFonts w:asciiTheme="majorHAnsi" w:hAnsiTheme="majorHAnsi" w:cstheme="majorHAnsi"/>
          <w:sz w:val="18"/>
          <w:szCs w:val="18"/>
        </w:rPr>
      </w:pPr>
      <w:r w:rsidRPr="00AD25DC">
        <w:rPr>
          <w:rFonts w:asciiTheme="majorHAnsi" w:hAnsiTheme="majorHAnsi" w:cstheme="majorHAnsi"/>
          <w:sz w:val="18"/>
          <w:szCs w:val="18"/>
        </w:rPr>
        <w:footnoteRef/>
      </w:r>
      <w:r w:rsidR="00DC213C" w:rsidRPr="00AD25DC">
        <w:rPr>
          <w:rFonts w:asciiTheme="majorHAnsi" w:hAnsiTheme="majorHAnsi" w:cstheme="majorHAnsi"/>
          <w:sz w:val="18"/>
          <w:szCs w:val="18"/>
        </w:rPr>
        <w:t>https://mei.gov.md/sites/default/files/raport_de_evaluare_moldova_digitala_2020.semnat.pdf?fbclid=IwAR3Ei7fhzkxuWCH9UotCqF3lQx_jUbBzgEwjYbUJkhRZDNKozwXNnEUnSxQ</w:t>
      </w:r>
    </w:p>
  </w:footnote>
  <w:footnote w:id="19">
    <w:p w14:paraId="38417B27" w14:textId="0FCDA72D" w:rsidR="00AD25DC" w:rsidRPr="00AD25DC" w:rsidRDefault="00AD25DC">
      <w:pPr>
        <w:pStyle w:val="FootnoteText"/>
        <w:rPr>
          <w:rFonts w:asciiTheme="majorHAnsi" w:hAnsiTheme="majorHAnsi" w:cstheme="majorHAnsi"/>
          <w:sz w:val="18"/>
          <w:szCs w:val="18"/>
        </w:rPr>
      </w:pPr>
      <w:r w:rsidRPr="00AD25DC">
        <w:rPr>
          <w:rFonts w:asciiTheme="majorHAnsi" w:hAnsiTheme="majorHAnsi" w:cstheme="majorHAnsi"/>
          <w:sz w:val="18"/>
          <w:szCs w:val="18"/>
        </w:rPr>
        <w:footnoteRef/>
      </w:r>
      <w:r w:rsidRPr="00AD25DC">
        <w:rPr>
          <w:rFonts w:asciiTheme="majorHAnsi" w:hAnsiTheme="majorHAnsi" w:cstheme="majorHAnsi"/>
          <w:sz w:val="18"/>
          <w:szCs w:val="18"/>
        </w:rPr>
        <w:t>https://gov.md/sites/default/files/document/attachments/intr40_12_0.pdf?fbclid=IwAR1SoaI1ikrvoFOXHcScUoEfh4Z3nJsyDPp0h5YzEdiHmk_roYR7BdFUjLE</w:t>
      </w:r>
    </w:p>
  </w:footnote>
  <w:footnote w:id="20">
    <w:p w14:paraId="5A668542" w14:textId="31AC5954" w:rsidR="003E0D57" w:rsidRDefault="003E0D57">
      <w:pPr>
        <w:pStyle w:val="FootnoteText"/>
      </w:pPr>
      <w:r>
        <w:rPr>
          <w:rStyle w:val="FootnoteReference"/>
        </w:rPr>
        <w:footnoteRef/>
      </w:r>
      <w:r>
        <w:t xml:space="preserve"> </w:t>
      </w:r>
      <w:hyperlink r:id="rId3" w:history="1">
        <w:r w:rsidRPr="00C03863">
          <w:rPr>
            <w:rStyle w:val="Hyperlink"/>
          </w:rPr>
          <w:t>https://www.itu.int/en/ITU-D/Regional-Presence/Europe/Documents/Events/2021/National%20Workshop%20for%20Moldova/Moldova_final%20draft_%28clean%29.pdf</w:t>
        </w:r>
      </w:hyperlink>
      <w:r>
        <w:t xml:space="preserve"> , pp. 12-13.</w:t>
      </w:r>
    </w:p>
  </w:footnote>
  <w:footnote w:id="21">
    <w:p w14:paraId="417685C8" w14:textId="249BBA62" w:rsidR="147885A2" w:rsidRPr="007904E7" w:rsidRDefault="147885A2" w:rsidP="00AD25DC">
      <w:pPr>
        <w:pStyle w:val="FootnoteText"/>
        <w:rPr>
          <w:rFonts w:asciiTheme="majorHAnsi" w:hAnsiTheme="majorHAnsi" w:cstheme="majorHAnsi"/>
          <w:sz w:val="18"/>
          <w:szCs w:val="18"/>
        </w:rPr>
      </w:pPr>
      <w:r w:rsidRPr="00AD25DC">
        <w:rPr>
          <w:rFonts w:asciiTheme="majorHAnsi" w:hAnsiTheme="majorHAnsi" w:cstheme="majorHAnsi"/>
          <w:sz w:val="18"/>
          <w:szCs w:val="18"/>
        </w:rPr>
        <w:footnoteRef/>
      </w:r>
      <w:r w:rsidRPr="007904E7">
        <w:rPr>
          <w:rFonts w:asciiTheme="majorHAnsi" w:hAnsiTheme="majorHAnsi" w:cstheme="majorHAnsi"/>
          <w:sz w:val="18"/>
          <w:szCs w:val="18"/>
        </w:rPr>
        <w:t xml:space="preserve"> </w:t>
      </w:r>
      <w:hyperlink r:id="rId4" w:anchor="/country-card/MKD" w:history="1">
        <w:r w:rsidR="00D55907" w:rsidRPr="007904E7">
          <w:rPr>
            <w:rFonts w:asciiTheme="majorHAnsi" w:hAnsiTheme="majorHAnsi" w:cstheme="majorHAnsi"/>
            <w:sz w:val="18"/>
            <w:szCs w:val="18"/>
          </w:rPr>
          <w:t>www.itu.int/net4/itu-d/irt/#/country-card/MKD</w:t>
        </w:r>
      </w:hyperlink>
      <w:r w:rsidR="00D55907" w:rsidRPr="007904E7">
        <w:rPr>
          <w:rFonts w:asciiTheme="majorHAnsi" w:hAnsiTheme="majorHAnsi" w:cstheme="majorHAnsi"/>
          <w:sz w:val="18"/>
          <w:szCs w:val="18"/>
        </w:rPr>
        <w:t xml:space="preserve"> </w:t>
      </w:r>
    </w:p>
  </w:footnote>
  <w:footnote w:id="22">
    <w:p w14:paraId="0C011726" w14:textId="6264DE8A" w:rsidR="00AC4487" w:rsidRPr="007904E7" w:rsidRDefault="00AC4487" w:rsidP="007904E7">
      <w:pPr>
        <w:pStyle w:val="FootnoteText"/>
        <w:spacing w:after="120"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5" w:history="1">
        <w:r w:rsidR="00D91023" w:rsidRPr="007904E7">
          <w:rPr>
            <w:rFonts w:asciiTheme="majorHAnsi" w:hAnsiTheme="majorHAnsi" w:cstheme="majorHAnsi"/>
            <w:sz w:val="18"/>
            <w:szCs w:val="18"/>
          </w:rPr>
          <w:t>https://news.itu.int/why-we-need-5th-generation-ict-regulation/</w:t>
        </w:r>
      </w:hyperlink>
      <w:r w:rsidR="00D91023" w:rsidRPr="007904E7">
        <w:rPr>
          <w:rFonts w:asciiTheme="majorHAnsi" w:hAnsiTheme="majorHAnsi" w:cstheme="majorHAnsi"/>
          <w:sz w:val="18"/>
          <w:szCs w:val="18"/>
        </w:rPr>
        <w:t xml:space="preserve"> </w:t>
      </w:r>
    </w:p>
  </w:footnote>
  <w:footnote w:id="23">
    <w:p w14:paraId="4D97A942" w14:textId="56A0476E" w:rsidR="00BA11BB" w:rsidRDefault="00BA11BB">
      <w:pPr>
        <w:pStyle w:val="FootnoteText"/>
      </w:pPr>
      <w:r>
        <w:rPr>
          <w:rStyle w:val="FootnoteReference"/>
        </w:rPr>
        <w:footnoteRef/>
      </w:r>
      <w:r>
        <w:t xml:space="preserve"> </w:t>
      </w:r>
      <w:r w:rsidRPr="008B0860">
        <w:rPr>
          <w:rFonts w:asciiTheme="majorHAnsi" w:hAnsiTheme="majorHAnsi" w:cstheme="majorHAnsi"/>
          <w:sz w:val="18"/>
          <w:szCs w:val="18"/>
        </w:rPr>
        <w:t>https://www.itu.int/en/ITU-D/Regional-Presence/Europe/Documents/Events/2021/National%20Workshop%20for%20Moldova/Moldova_final%20draft_%28clean%29.pdf</w:t>
      </w:r>
    </w:p>
  </w:footnote>
  <w:footnote w:id="24">
    <w:p w14:paraId="603CA43B" w14:textId="7ADFC09C" w:rsidR="009971A0" w:rsidRPr="007904E7" w:rsidRDefault="009971A0" w:rsidP="00A47680">
      <w:pPr>
        <w:pStyle w:val="FootnoteText"/>
        <w:spacing w:line="276" w:lineRule="auto"/>
        <w:rPr>
          <w:rFonts w:asciiTheme="majorHAnsi" w:hAnsiTheme="majorHAnsi" w:cstheme="majorHAnsi"/>
          <w:sz w:val="18"/>
          <w:szCs w:val="18"/>
        </w:rPr>
      </w:pPr>
      <w:r w:rsidRPr="00423B93">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ITU Global Cybersecurity Index (GCI) 2018, p.6</w:t>
      </w:r>
      <w:r w:rsidR="007B4F8F">
        <w:rPr>
          <w:rFonts w:asciiTheme="majorHAnsi" w:hAnsiTheme="majorHAnsi" w:cstheme="majorHAnsi"/>
          <w:sz w:val="18"/>
          <w:szCs w:val="18"/>
        </w:rPr>
        <w:t>1</w:t>
      </w:r>
    </w:p>
  </w:footnote>
  <w:footnote w:id="25">
    <w:p w14:paraId="2EBA175B" w14:textId="22885E1D" w:rsidR="007E3AFF" w:rsidRDefault="007E3AFF">
      <w:pPr>
        <w:pStyle w:val="FootnoteText"/>
      </w:pPr>
      <w:r>
        <w:rPr>
          <w:rStyle w:val="FootnoteReference"/>
        </w:rPr>
        <w:footnoteRef/>
      </w:r>
      <w:r>
        <w:t xml:space="preserve"> </w:t>
      </w:r>
      <w:r w:rsidRPr="007904E7">
        <w:rPr>
          <w:rFonts w:asciiTheme="majorHAnsi" w:hAnsiTheme="majorHAnsi" w:cstheme="majorHAnsi"/>
          <w:sz w:val="18"/>
          <w:szCs w:val="18"/>
        </w:rPr>
        <w:t xml:space="preserve">ITU Global Cybersecurity Index (GCI) 2018, </w:t>
      </w:r>
      <w:r>
        <w:rPr>
          <w:rFonts w:asciiTheme="majorHAnsi" w:hAnsiTheme="majorHAnsi" w:cstheme="majorHAnsi"/>
          <w:sz w:val="18"/>
          <w:szCs w:val="18"/>
        </w:rPr>
        <w:t>p.33</w:t>
      </w:r>
    </w:p>
  </w:footnote>
  <w:footnote w:id="26">
    <w:p w14:paraId="2591B0DB" w14:textId="3CA3DAA4" w:rsidR="007E3AFF" w:rsidRDefault="007E3AFF">
      <w:pPr>
        <w:pStyle w:val="FootnoteText"/>
      </w:pPr>
      <w:r>
        <w:rPr>
          <w:rStyle w:val="FootnoteReference"/>
        </w:rPr>
        <w:footnoteRef/>
      </w:r>
      <w:r>
        <w:t xml:space="preserve"> </w:t>
      </w:r>
      <w:r w:rsidRPr="007E3AFF">
        <w:rPr>
          <w:rFonts w:asciiTheme="majorHAnsi" w:hAnsiTheme="majorHAnsi" w:cstheme="majorHAnsi"/>
          <w:sz w:val="18"/>
          <w:szCs w:val="18"/>
        </w:rPr>
        <w:t>https://mei.gov.md/sites/default/files/raport_evaluare_hg_811_2015_-_07.06.2021.pdf?fbclid=IwAR0G_LNOwq6jLVlODmyZmB-JbEE-3XY35kKrnhusDWEgysrOOjy6BHfSaS8</w:t>
      </w:r>
    </w:p>
  </w:footnote>
  <w:footnote w:id="27">
    <w:p w14:paraId="3CEF4669" w14:textId="0156E780" w:rsidR="007E3AFF" w:rsidRDefault="007E3AFF">
      <w:pPr>
        <w:pStyle w:val="FootnoteText"/>
      </w:pPr>
      <w:r>
        <w:rPr>
          <w:rStyle w:val="FootnoteReference"/>
        </w:rPr>
        <w:footnoteRef/>
      </w:r>
      <w:r>
        <w:t xml:space="preserve"> </w:t>
      </w:r>
      <w:r w:rsidRPr="007E3AFF">
        <w:rPr>
          <w:rFonts w:asciiTheme="majorHAnsi" w:hAnsiTheme="majorHAnsi" w:cstheme="majorHAnsi"/>
          <w:sz w:val="18"/>
          <w:szCs w:val="18"/>
        </w:rPr>
        <w:t>https://mei.gov.md/sites/default/files/strategia_securitatii_informationale_a_republicii_moldova_pentru_anii_2019-2024.pdf?fbclid=IwAR3tOv9ZAr1FNvUFlRUZKHCpcIdeO6cgVOgFmMDUcUK_h9K-I0_Ol_LmPv8</w:t>
      </w:r>
    </w:p>
  </w:footnote>
  <w:footnote w:id="28">
    <w:p w14:paraId="284B7977" w14:textId="420C8E84" w:rsidR="00572DD5" w:rsidRDefault="00572DD5">
      <w:pPr>
        <w:pStyle w:val="FootnoteText"/>
      </w:pPr>
      <w:r>
        <w:rPr>
          <w:rStyle w:val="FootnoteReference"/>
        </w:rPr>
        <w:footnoteRef/>
      </w:r>
      <w:r>
        <w:t xml:space="preserve"> </w:t>
      </w:r>
      <w:r w:rsidRPr="00EE10BD">
        <w:rPr>
          <w:rFonts w:asciiTheme="majorHAnsi" w:hAnsiTheme="majorHAnsi" w:cstheme="majorHAnsi"/>
          <w:sz w:val="18"/>
          <w:szCs w:val="18"/>
        </w:rPr>
        <w:t>https://www.itu.int/en/ITU-D/Cybersecurity/Pages/Moldova_cyberdrill_2017.aspx</w:t>
      </w:r>
    </w:p>
  </w:footnote>
  <w:footnote w:id="29">
    <w:p w14:paraId="6003BE37" w14:textId="01412F70" w:rsidR="00EE10BD" w:rsidRDefault="00EE10BD">
      <w:pPr>
        <w:pStyle w:val="FootnoteText"/>
      </w:pPr>
      <w:r>
        <w:rPr>
          <w:rStyle w:val="FootnoteReference"/>
        </w:rPr>
        <w:footnoteRef/>
      </w:r>
      <w:r>
        <w:t xml:space="preserve"> </w:t>
      </w:r>
      <w:hyperlink r:id="rId6" w:history="1">
        <w:r w:rsidRPr="00EE10BD">
          <w:rPr>
            <w:rFonts w:asciiTheme="majorHAnsi" w:hAnsiTheme="majorHAnsi" w:cstheme="majorHAnsi"/>
            <w:sz w:val="18"/>
            <w:szCs w:val="18"/>
          </w:rPr>
          <w:t>https://www.itu.int/en/ITU-D/Regional-Presence/Europe/Documents/Events/2021/Meaningful%20Connectivity/%28draft%29%20Connectivity%20in%20Education_nonEU%20countries_profiles_living%20document.pdf</w:t>
        </w:r>
      </w:hyperlink>
      <w:r w:rsidRPr="00EE10BD">
        <w:rPr>
          <w:rFonts w:asciiTheme="majorHAnsi" w:hAnsiTheme="majorHAnsi" w:cstheme="majorHAnsi"/>
          <w:sz w:val="18"/>
          <w:szCs w:val="18"/>
        </w:rPr>
        <w:t xml:space="preserve"> p.55</w:t>
      </w:r>
    </w:p>
  </w:footnote>
  <w:footnote w:id="30">
    <w:p w14:paraId="2B8CE052" w14:textId="1932960A" w:rsidR="00EE10BD" w:rsidRDefault="00EE10BD">
      <w:pPr>
        <w:pStyle w:val="FootnoteText"/>
      </w:pPr>
      <w:r>
        <w:rPr>
          <w:rStyle w:val="FootnoteReference"/>
        </w:rPr>
        <w:footnoteRef/>
      </w:r>
      <w:r>
        <w:t xml:space="preserve"> </w:t>
      </w:r>
      <w:r w:rsidRPr="00EE10BD">
        <w:rPr>
          <w:rFonts w:asciiTheme="majorHAnsi" w:hAnsiTheme="majorHAnsi" w:cstheme="majorHAnsi"/>
          <w:sz w:val="18"/>
          <w:szCs w:val="18"/>
        </w:rPr>
        <w:t xml:space="preserve">Digitally empowered Generation Equality: Women, girls and ICT in the context of COVID-19 in selected Western Balkan and Eastern Partnership countries </w:t>
      </w:r>
      <w:r w:rsidR="00B74108">
        <w:rPr>
          <w:rFonts w:asciiTheme="majorHAnsi" w:hAnsiTheme="majorHAnsi" w:cstheme="majorHAnsi"/>
          <w:sz w:val="18"/>
          <w:szCs w:val="18"/>
        </w:rPr>
        <w:t>p</w:t>
      </w:r>
      <w:r w:rsidRPr="00EE10BD">
        <w:rPr>
          <w:rFonts w:asciiTheme="majorHAnsi" w:hAnsiTheme="majorHAnsi" w:cstheme="majorHAnsi"/>
          <w:sz w:val="18"/>
          <w:szCs w:val="18"/>
        </w:rPr>
        <w:t>p.17-18</w:t>
      </w:r>
    </w:p>
  </w:footnote>
  <w:footnote w:id="31">
    <w:p w14:paraId="60EFF7D0" w14:textId="30A9CF69" w:rsidR="007B3D16" w:rsidRDefault="007B3D16" w:rsidP="007B3D16">
      <w:pPr>
        <w:pStyle w:val="FootnoteText"/>
      </w:pPr>
      <w:r>
        <w:rPr>
          <w:rStyle w:val="FootnoteReference"/>
        </w:rPr>
        <w:footnoteRef/>
      </w:r>
      <w:r>
        <w:t xml:space="preserve"> </w:t>
      </w:r>
      <w:r w:rsidR="009B2C9C" w:rsidRPr="009B2C9C">
        <w:rPr>
          <w:rFonts w:asciiTheme="majorHAnsi" w:hAnsiTheme="majorHAnsi" w:cstheme="majorHAnsi"/>
          <w:sz w:val="18"/>
          <w:szCs w:val="18"/>
        </w:rPr>
        <w:t>https://mei.gov.md/sites/default/files/raport_de_evaluare_moldova_digitala_2020.semnat.pdf</w:t>
      </w:r>
      <w:r w:rsidR="009B2C9C">
        <w:rPr>
          <w:rFonts w:asciiTheme="majorHAnsi" w:hAnsiTheme="majorHAnsi" w:cstheme="majorHAnsi"/>
          <w:sz w:val="18"/>
          <w:szCs w:val="18"/>
        </w:rPr>
        <w:t>, p.30</w:t>
      </w:r>
    </w:p>
  </w:footnote>
  <w:footnote w:id="32">
    <w:p w14:paraId="4FA2E344" w14:textId="2D8D8EAA" w:rsidR="00ED79F3" w:rsidRDefault="00ED79F3" w:rsidP="00ED79F3">
      <w:pPr>
        <w:pStyle w:val="FootnoteText"/>
      </w:pPr>
      <w:r>
        <w:rPr>
          <w:rStyle w:val="FootnoteReference"/>
        </w:rPr>
        <w:footnoteRef/>
      </w:r>
      <w:r>
        <w:t xml:space="preserve"> </w:t>
      </w:r>
      <w:r w:rsidR="00016DD0" w:rsidRPr="00016DD0">
        <w:rPr>
          <w:rFonts w:asciiTheme="majorHAnsi" w:hAnsiTheme="majorHAnsi" w:cstheme="majorHAnsi"/>
          <w:sz w:val="18"/>
          <w:szCs w:val="18"/>
        </w:rPr>
        <w:t>https://mei.gov.md/sites/default/files/raport_de_evaluare_moldova_digitala_2020.semnat.pdf</w:t>
      </w:r>
      <w:r w:rsidR="00016DD0">
        <w:rPr>
          <w:rFonts w:asciiTheme="majorHAnsi" w:hAnsiTheme="majorHAnsi" w:cstheme="majorHAnsi"/>
          <w:sz w:val="18"/>
          <w:szCs w:val="18"/>
        </w:rPr>
        <w:t>, p.29</w:t>
      </w:r>
    </w:p>
  </w:footnote>
  <w:footnote w:id="33">
    <w:p w14:paraId="5CF9C612" w14:textId="71EF9EAC" w:rsidR="003E4391" w:rsidRDefault="003E4391">
      <w:pPr>
        <w:pStyle w:val="FootnoteText"/>
      </w:pPr>
      <w:r>
        <w:rPr>
          <w:rStyle w:val="FootnoteReference"/>
        </w:rPr>
        <w:footnoteRef/>
      </w:r>
      <w:r>
        <w:t xml:space="preserve"> </w:t>
      </w:r>
      <w:r w:rsidRPr="003E4391">
        <w:rPr>
          <w:rFonts w:asciiTheme="majorHAnsi" w:hAnsiTheme="majorHAnsi" w:cstheme="majorHAnsi"/>
          <w:sz w:val="18"/>
          <w:szCs w:val="18"/>
        </w:rPr>
        <w:t>www.clasaviitorului.md%2Fscopul-acestuia-este-sa-asigure-dezvoltarea-competentelor-digitale-a-cadrelor-didactice-din-invatamantul-general-pentru-a-le-oferi-acestora-noi-oportunitati-de-dezvoltare-profesionala-precum-si-a-asig%2F%3Ffbclid%3DIwAR2ddFNikGCmsSgApUKaYMBRu-EnLWg7JVPAwHOLTkJH3w_ITzrZ-URIPTk&amp;h=AT1VPm9kS75dyliI4ujbORX3xCDLt8nnPA0duQV9iOmxzpkvJyjHJx_tSITrw3fAtV31sZRFzj5uXDRhWXJnHx2LvnVemV7L5lQ92XcquzZY80yAkd4zuLsf7Z33WYiN6Vencg</w:t>
      </w:r>
    </w:p>
  </w:footnote>
  <w:footnote w:id="34">
    <w:p w14:paraId="3D57613D" w14:textId="00A7F338" w:rsidR="005D5F54" w:rsidRPr="007904E7" w:rsidRDefault="005D5F54" w:rsidP="007904E7">
      <w:pPr>
        <w:pStyle w:val="FootnoteText"/>
        <w:spacing w:after="120" w:line="276" w:lineRule="auto"/>
        <w:rPr>
          <w:rFonts w:asciiTheme="majorHAnsi" w:hAnsiTheme="majorHAnsi" w:cstheme="majorHAnsi"/>
          <w:sz w:val="18"/>
          <w:szCs w:val="18"/>
        </w:rPr>
      </w:pPr>
      <w:r w:rsidRPr="00E82885">
        <w:rPr>
          <w:rFonts w:asciiTheme="majorHAnsi" w:hAnsiTheme="majorHAnsi" w:cstheme="majorHAnsi"/>
          <w:sz w:val="18"/>
          <w:szCs w:val="18"/>
          <w:vertAlign w:val="superscript"/>
        </w:rPr>
        <w:footnoteRef/>
      </w:r>
      <w:r w:rsidR="6AB2FDFD" w:rsidRPr="007904E7">
        <w:rPr>
          <w:rFonts w:asciiTheme="majorHAnsi" w:hAnsiTheme="majorHAnsi" w:cstheme="majorHAnsi"/>
          <w:sz w:val="18"/>
          <w:szCs w:val="18"/>
        </w:rPr>
        <w:t xml:space="preserve"> ITU-UN </w:t>
      </w:r>
      <w:proofErr w:type="gramStart"/>
      <w:r w:rsidR="6AB2FDFD" w:rsidRPr="007904E7">
        <w:rPr>
          <w:rFonts w:asciiTheme="majorHAnsi" w:hAnsiTheme="majorHAnsi" w:cstheme="majorHAnsi"/>
          <w:sz w:val="18"/>
          <w:szCs w:val="18"/>
        </w:rPr>
        <w:t>Women ”Digitally</w:t>
      </w:r>
      <w:proofErr w:type="gramEnd"/>
      <w:r w:rsidR="6AB2FDFD"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sidR="00680F5B">
        <w:rPr>
          <w:rFonts w:asciiTheme="majorHAnsi" w:hAnsiTheme="majorHAnsi" w:cstheme="majorHAnsi"/>
          <w:sz w:val="18"/>
          <w:szCs w:val="18"/>
        </w:rPr>
        <w:t>, p.68</w:t>
      </w:r>
    </w:p>
  </w:footnote>
  <w:footnote w:id="35">
    <w:p w14:paraId="26563508" w14:textId="77777777" w:rsidR="00430D15" w:rsidRPr="007904E7" w:rsidRDefault="00430D15" w:rsidP="00430D15">
      <w:pPr>
        <w:pStyle w:val="FootnoteText"/>
        <w:spacing w:after="120" w:line="276" w:lineRule="auto"/>
        <w:rPr>
          <w:rFonts w:asciiTheme="majorHAnsi" w:hAnsiTheme="majorHAnsi" w:cstheme="majorHAnsi"/>
          <w:sz w:val="18"/>
          <w:szCs w:val="18"/>
        </w:rPr>
      </w:pPr>
      <w:r w:rsidRPr="00E82885">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7" w:history="1">
        <w:r w:rsidRPr="007904E7">
          <w:rPr>
            <w:rFonts w:asciiTheme="majorHAnsi" w:hAnsiTheme="majorHAnsi" w:cstheme="majorHAnsi"/>
            <w:sz w:val="18"/>
            <w:szCs w:val="18"/>
          </w:rPr>
          <w:t>https://www.itu.int/en/ITU-D/Conferences/WTDC/WTDC21/NoW/Pages/Events/Regional/Europe/2021_01.aspx</w:t>
        </w:r>
      </w:hyperlink>
      <w:r w:rsidRPr="007904E7">
        <w:rPr>
          <w:rFonts w:asciiTheme="majorHAnsi" w:hAnsiTheme="majorHAnsi" w:cstheme="majorHAnsi"/>
          <w:sz w:val="18"/>
          <w:szCs w:val="18"/>
        </w:rPr>
        <w:t xml:space="preserve"> </w:t>
      </w:r>
    </w:p>
  </w:footnote>
  <w:footnote w:id="36">
    <w:p w14:paraId="0DA618EC" w14:textId="77777777" w:rsidR="00ED79F3" w:rsidRDefault="00ED79F3" w:rsidP="00ED79F3">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p.70</w:t>
      </w:r>
    </w:p>
  </w:footnote>
  <w:footnote w:id="37">
    <w:p w14:paraId="3816CC6F" w14:textId="77777777" w:rsidR="00ED79F3" w:rsidRDefault="00ED79F3" w:rsidP="00ED79F3">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p.12</w:t>
      </w:r>
    </w:p>
  </w:footnote>
  <w:footnote w:id="38">
    <w:p w14:paraId="5DAD88BA" w14:textId="77777777" w:rsidR="00ED79F3" w:rsidRPr="007904E7" w:rsidRDefault="00ED79F3" w:rsidP="00ED79F3">
      <w:pPr>
        <w:pStyle w:val="FootnoteText"/>
        <w:spacing w:line="276" w:lineRule="auto"/>
        <w:rPr>
          <w:rFonts w:asciiTheme="majorHAnsi" w:hAnsiTheme="majorHAnsi" w:cstheme="majorHAnsi"/>
          <w:sz w:val="18"/>
          <w:szCs w:val="18"/>
        </w:rPr>
      </w:pPr>
      <w:r w:rsidRPr="007904E7">
        <w:rPr>
          <w:rFonts w:asciiTheme="majorHAnsi" w:hAnsiTheme="majorHAnsi" w:cstheme="majorHAnsi"/>
          <w:sz w:val="18"/>
          <w:szCs w:val="18"/>
        </w:rPr>
        <w:footnoteRef/>
      </w:r>
      <w:r w:rsidRPr="007904E7">
        <w:rPr>
          <w:rFonts w:asciiTheme="majorHAnsi" w:hAnsiTheme="majorHAnsi" w:cstheme="majorHAnsi"/>
          <w:sz w:val="18"/>
          <w:szCs w:val="18"/>
        </w:rPr>
        <w:t xml:space="preserve"> </w:t>
      </w:r>
      <w:hyperlink r:id="rId8" w:history="1">
        <w:r w:rsidRPr="007904E7">
          <w:rPr>
            <w:rFonts w:asciiTheme="majorHAnsi" w:hAnsiTheme="majorHAnsi" w:cstheme="majorHAnsi"/>
            <w:sz w:val="18"/>
            <w:szCs w:val="18"/>
          </w:rPr>
          <w:t>https://www.itu.int/net4/ITU-D/CDS/gq/GICT2021/display.asp?ProjectID=1374&amp;Quest=58112</w:t>
        </w:r>
      </w:hyperlink>
      <w:r w:rsidRPr="007904E7">
        <w:rPr>
          <w:rFonts w:asciiTheme="majorHAnsi" w:hAnsiTheme="majorHAnsi" w:cstheme="majorHAnsi"/>
          <w:sz w:val="18"/>
          <w:szCs w:val="18"/>
        </w:rPr>
        <w:t xml:space="preserve"> </w:t>
      </w:r>
    </w:p>
  </w:footnote>
  <w:footnote w:id="39">
    <w:p w14:paraId="407AED0C" w14:textId="77777777" w:rsidR="00C4653D" w:rsidRDefault="00C4653D" w:rsidP="00C4653D">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p.12</w:t>
      </w:r>
    </w:p>
  </w:footnote>
  <w:footnote w:id="40">
    <w:p w14:paraId="122C9731" w14:textId="27F38D06" w:rsidR="00B40928" w:rsidRDefault="00B40928">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p.71</w:t>
      </w:r>
    </w:p>
  </w:footnote>
  <w:footnote w:id="41">
    <w:p w14:paraId="15E80824" w14:textId="2B0AE1E8" w:rsidR="00B40928" w:rsidRDefault="00B40928">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p.22</w:t>
      </w:r>
    </w:p>
  </w:footnote>
  <w:footnote w:id="42">
    <w:p w14:paraId="347387D2" w14:textId="738C27B2" w:rsidR="00B40928" w:rsidRDefault="00B40928">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p.70</w:t>
      </w:r>
    </w:p>
  </w:footnote>
  <w:footnote w:id="43">
    <w:p w14:paraId="2F822938" w14:textId="641FB4C2" w:rsidR="00134866" w:rsidRDefault="00134866">
      <w:pPr>
        <w:pStyle w:val="FootnoteText"/>
      </w:pPr>
      <w:r>
        <w:rPr>
          <w:rStyle w:val="FootnoteReference"/>
        </w:rPr>
        <w:footnoteRef/>
      </w:r>
      <w:r>
        <w:t xml:space="preserve"> </w:t>
      </w:r>
      <w:r w:rsidRPr="0094252B">
        <w:rPr>
          <w:rFonts w:asciiTheme="majorHAnsi" w:hAnsiTheme="majorHAnsi" w:cstheme="majorHAnsi"/>
          <w:sz w:val="18"/>
          <w:szCs w:val="18"/>
        </w:rPr>
        <w:t>https://ict.md/projects/un-women/</w:t>
      </w:r>
    </w:p>
  </w:footnote>
  <w:footnote w:id="44">
    <w:p w14:paraId="3EB6E06D" w14:textId="226B54D4" w:rsidR="00B40928" w:rsidRDefault="00B40928">
      <w:pPr>
        <w:pStyle w:val="FootnoteText"/>
      </w:pPr>
      <w:r>
        <w:rPr>
          <w:rStyle w:val="FootnoteReference"/>
        </w:rPr>
        <w:footnoteRef/>
      </w:r>
      <w:r>
        <w:t xml:space="preserve"> </w:t>
      </w:r>
      <w:r w:rsidRPr="007904E7">
        <w:rPr>
          <w:rFonts w:asciiTheme="majorHAnsi" w:hAnsiTheme="majorHAnsi" w:cstheme="majorHAnsi"/>
          <w:sz w:val="18"/>
          <w:szCs w:val="18"/>
        </w:rPr>
        <w:t xml:space="preserve">ITU-UN </w:t>
      </w:r>
      <w:proofErr w:type="gramStart"/>
      <w:r w:rsidRPr="007904E7">
        <w:rPr>
          <w:rFonts w:asciiTheme="majorHAnsi" w:hAnsiTheme="majorHAnsi" w:cstheme="majorHAnsi"/>
          <w:sz w:val="18"/>
          <w:szCs w:val="18"/>
        </w:rPr>
        <w:t>Women ”Digitally</w:t>
      </w:r>
      <w:proofErr w:type="gramEnd"/>
      <w:r w:rsidRPr="007904E7">
        <w:rPr>
          <w:rFonts w:asciiTheme="majorHAnsi" w:hAnsiTheme="majorHAnsi" w:cstheme="majorHAnsi"/>
          <w:sz w:val="18"/>
          <w:szCs w:val="18"/>
        </w:rPr>
        <w:t xml:space="preserve"> Empowered Generation Equality : Women, Girls and ICT in the context of COVID 19 in selected Western Balkan and Eastern Europe Partnership countries” (2021)</w:t>
      </w:r>
      <w:r>
        <w:rPr>
          <w:rFonts w:asciiTheme="majorHAnsi" w:hAnsiTheme="majorHAnsi" w:cstheme="majorHAnsi"/>
          <w:sz w:val="18"/>
          <w:szCs w:val="18"/>
        </w:rPr>
        <w:t>, p.70</w:t>
      </w:r>
    </w:p>
  </w:footnote>
  <w:footnote w:id="45">
    <w:p w14:paraId="46C8E9D4" w14:textId="294D1016" w:rsidR="00C4653D" w:rsidRPr="007904E7" w:rsidRDefault="00C4653D" w:rsidP="00C4653D">
      <w:pPr>
        <w:spacing w:after="120"/>
        <w:rPr>
          <w:rFonts w:asciiTheme="majorHAnsi" w:eastAsia="Calibri" w:hAnsiTheme="majorHAnsi" w:cstheme="majorHAnsi"/>
          <w:color w:val="000000" w:themeColor="text1"/>
          <w:sz w:val="18"/>
          <w:szCs w:val="18"/>
        </w:rPr>
      </w:pPr>
      <w:r w:rsidRPr="00EB6DAC">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sidRPr="007904E7">
        <w:rPr>
          <w:rFonts w:asciiTheme="majorHAnsi" w:eastAsia="Calibri" w:hAnsiTheme="majorHAnsi" w:cstheme="majorHAnsi"/>
          <w:color w:val="000000" w:themeColor="text1"/>
          <w:sz w:val="18"/>
          <w:szCs w:val="18"/>
        </w:rPr>
        <w:t xml:space="preserve">ITU report on “ICT accessibility assessment for the Europe region”, </w:t>
      </w:r>
      <w:r w:rsidR="009B2C9C">
        <w:rPr>
          <w:rFonts w:asciiTheme="majorHAnsi" w:eastAsia="Calibri" w:hAnsiTheme="majorHAnsi" w:cstheme="majorHAnsi"/>
          <w:color w:val="000000" w:themeColor="text1"/>
          <w:sz w:val="18"/>
          <w:szCs w:val="18"/>
        </w:rPr>
        <w:t>p</w:t>
      </w:r>
      <w:r w:rsidRPr="007904E7">
        <w:rPr>
          <w:rFonts w:asciiTheme="majorHAnsi" w:eastAsia="Calibri" w:hAnsiTheme="majorHAnsi" w:cstheme="majorHAnsi"/>
          <w:color w:val="000000" w:themeColor="text1"/>
          <w:sz w:val="18"/>
          <w:szCs w:val="18"/>
        </w:rPr>
        <w:t>p.70,72</w:t>
      </w:r>
    </w:p>
  </w:footnote>
  <w:footnote w:id="46">
    <w:p w14:paraId="5A3BC77A" w14:textId="4FE7C349" w:rsidR="00C4653D" w:rsidRPr="00960908" w:rsidRDefault="00C4653D" w:rsidP="00C4653D">
      <w:pPr>
        <w:pStyle w:val="FootnoteText"/>
        <w:rPr>
          <w:sz w:val="18"/>
          <w:szCs w:val="18"/>
        </w:rPr>
      </w:pPr>
      <w:r w:rsidRPr="00D96630">
        <w:rPr>
          <w:rStyle w:val="FootnoteReference"/>
          <w:sz w:val="18"/>
          <w:szCs w:val="18"/>
        </w:rPr>
        <w:footnoteRef/>
      </w:r>
      <w:r w:rsidRPr="00D96630">
        <w:rPr>
          <w:sz w:val="18"/>
          <w:szCs w:val="18"/>
        </w:rPr>
        <w:t xml:space="preserve"> </w:t>
      </w:r>
      <w:r w:rsidRPr="00F146ED">
        <w:rPr>
          <w:rFonts w:asciiTheme="majorHAnsi" w:eastAsia="Calibri" w:hAnsiTheme="majorHAnsi" w:cstheme="majorHAnsi"/>
          <w:color w:val="000000" w:themeColor="text1"/>
          <w:sz w:val="18"/>
          <w:szCs w:val="18"/>
        </w:rPr>
        <w:t xml:space="preserve">Article 25 stipulates general provision for accessible information for persons with disabilities, including </w:t>
      </w:r>
      <w:r>
        <w:rPr>
          <w:rFonts w:asciiTheme="majorHAnsi" w:eastAsia="Calibri" w:hAnsiTheme="majorHAnsi" w:cstheme="majorHAnsi"/>
          <w:color w:val="000000" w:themeColor="text1"/>
          <w:sz w:val="18"/>
          <w:szCs w:val="18"/>
        </w:rPr>
        <w:t xml:space="preserve">recognize and promote </w:t>
      </w:r>
      <w:r w:rsidRPr="00F146ED">
        <w:rPr>
          <w:rFonts w:asciiTheme="majorHAnsi" w:eastAsia="Calibri" w:hAnsiTheme="majorHAnsi" w:cstheme="majorHAnsi"/>
          <w:color w:val="000000" w:themeColor="text1"/>
          <w:sz w:val="18"/>
          <w:szCs w:val="18"/>
        </w:rPr>
        <w:t>the use of sign language</w:t>
      </w:r>
      <w:r>
        <w:rPr>
          <w:rFonts w:asciiTheme="majorHAnsi" w:eastAsia="Calibri" w:hAnsiTheme="majorHAnsi" w:cstheme="majorHAnsi"/>
          <w:color w:val="000000" w:themeColor="text1"/>
          <w:sz w:val="18"/>
          <w:szCs w:val="18"/>
        </w:rPr>
        <w:t>s</w:t>
      </w:r>
      <w:r w:rsidRPr="00F146ED">
        <w:rPr>
          <w:rFonts w:asciiTheme="majorHAnsi" w:eastAsia="Calibri" w:hAnsiTheme="majorHAnsi" w:cstheme="majorHAnsi"/>
          <w:color w:val="000000" w:themeColor="text1"/>
          <w:sz w:val="18"/>
          <w:szCs w:val="18"/>
        </w:rPr>
        <w:t>, accessibility of information and media (as well as information technologies and electronic communications), accessible form of publication and education materials, accessibility requirements for public website and procurements of equipment and information support.</w:t>
      </w:r>
    </w:p>
  </w:footnote>
  <w:footnote w:id="47">
    <w:p w14:paraId="42607CF8" w14:textId="77777777" w:rsidR="00C4653D" w:rsidRPr="007904E7" w:rsidRDefault="00C4653D" w:rsidP="00C4653D">
      <w:pPr>
        <w:spacing w:after="120"/>
        <w:rPr>
          <w:rFonts w:asciiTheme="majorHAnsi" w:eastAsia="Calibri" w:hAnsiTheme="majorHAnsi" w:cstheme="majorHAnsi"/>
          <w:color w:val="000000" w:themeColor="text1"/>
          <w:sz w:val="18"/>
          <w:szCs w:val="18"/>
        </w:rPr>
      </w:pPr>
      <w:r w:rsidRPr="00EB6DAC">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r>
        <w:rPr>
          <w:rFonts w:asciiTheme="majorHAnsi" w:hAnsiTheme="majorHAnsi" w:cstheme="majorHAnsi"/>
          <w:sz w:val="18"/>
          <w:szCs w:val="18"/>
        </w:rPr>
        <w:t xml:space="preserve">Government of </w:t>
      </w:r>
      <w:r>
        <w:rPr>
          <w:rFonts w:asciiTheme="majorHAnsi" w:eastAsia="Calibri" w:hAnsiTheme="majorHAnsi" w:cstheme="majorHAnsi"/>
          <w:color w:val="000000" w:themeColor="text1"/>
          <w:sz w:val="18"/>
          <w:szCs w:val="18"/>
        </w:rPr>
        <w:t xml:space="preserve">Moldova report to the UN CRPD (2020), p. 14. Accessed online at </w:t>
      </w:r>
      <w:hyperlink r:id="rId9" w:history="1">
        <w:r w:rsidRPr="00DF1BB4">
          <w:rPr>
            <w:rStyle w:val="Hyperlink"/>
            <w:rFonts w:asciiTheme="majorHAnsi" w:eastAsia="Calibri" w:hAnsiTheme="majorHAnsi" w:cstheme="majorHAnsi"/>
            <w:sz w:val="18"/>
            <w:szCs w:val="18"/>
          </w:rPr>
          <w:t>https://tbinternet.ohchr.org/_layouts/15/treatybodyexternal/Download.aspx?symbolno=CRPD%2fC%2fMDA%2f2-3&amp;Lang=en</w:t>
        </w:r>
      </w:hyperlink>
      <w:r>
        <w:rPr>
          <w:rFonts w:asciiTheme="majorHAnsi" w:eastAsia="Calibri" w:hAnsiTheme="majorHAnsi" w:cstheme="majorHAnsi"/>
          <w:color w:val="000000" w:themeColor="text1"/>
          <w:sz w:val="18"/>
          <w:szCs w:val="18"/>
        </w:rPr>
        <w:t xml:space="preserve"> </w:t>
      </w:r>
    </w:p>
  </w:footnote>
  <w:footnote w:id="48">
    <w:p w14:paraId="46C1CDFF" w14:textId="58D1092A" w:rsidR="00C4653D" w:rsidRDefault="00C4653D" w:rsidP="00C4653D">
      <w:pPr>
        <w:pStyle w:val="FootnoteText"/>
      </w:pPr>
      <w:r>
        <w:rPr>
          <w:rStyle w:val="FootnoteReference"/>
        </w:rPr>
        <w:footnoteRef/>
      </w:r>
      <w:r>
        <w:t xml:space="preserve"> </w:t>
      </w:r>
      <w:r>
        <w:rPr>
          <w:rFonts w:asciiTheme="majorHAnsi" w:eastAsia="Calibri" w:hAnsiTheme="majorHAnsi" w:cstheme="majorHAnsi"/>
          <w:color w:val="000000" w:themeColor="text1"/>
          <w:sz w:val="18"/>
          <w:szCs w:val="18"/>
        </w:rPr>
        <w:t>Based on the country’s input to the ITU “ICT Accessibility Survey for Europe Region”, data collected in Q4 2020.</w:t>
      </w:r>
    </w:p>
  </w:footnote>
  <w:footnote w:id="49">
    <w:p w14:paraId="14088030" w14:textId="77777777" w:rsidR="00C4653D" w:rsidRPr="007904E7" w:rsidRDefault="00C4653D" w:rsidP="00A47680">
      <w:pPr>
        <w:spacing w:after="0"/>
        <w:jc w:val="both"/>
        <w:rPr>
          <w:rFonts w:asciiTheme="majorHAnsi" w:hAnsiTheme="majorHAnsi" w:cstheme="majorHAnsi"/>
          <w:sz w:val="18"/>
          <w:szCs w:val="18"/>
        </w:rPr>
      </w:pPr>
      <w:r w:rsidRPr="00EB6DAC">
        <w:rPr>
          <w:rFonts w:asciiTheme="majorHAnsi" w:hAnsiTheme="majorHAnsi" w:cstheme="majorHAnsi"/>
          <w:sz w:val="18"/>
          <w:szCs w:val="18"/>
          <w:vertAlign w:val="superscript"/>
        </w:rPr>
        <w:footnoteRef/>
      </w:r>
      <w:r w:rsidRPr="007904E7">
        <w:rPr>
          <w:rFonts w:asciiTheme="majorHAnsi" w:hAnsiTheme="majorHAnsi" w:cstheme="majorHAnsi"/>
          <w:sz w:val="18"/>
          <w:szCs w:val="18"/>
        </w:rPr>
        <w:t xml:space="preserve"> </w:t>
      </w:r>
      <w:hyperlink r:id="rId10">
        <w:r w:rsidRPr="007904E7">
          <w:rPr>
            <w:rStyle w:val="Hyperlink"/>
            <w:rFonts w:asciiTheme="majorHAnsi" w:eastAsia="Calibri" w:hAnsiTheme="majorHAnsi" w:cstheme="majorHAnsi"/>
            <w:sz w:val="18"/>
            <w:szCs w:val="18"/>
          </w:rPr>
          <w:t>ITU Strategic Goal 2 – Inclusiveness, Target 2.9</w:t>
        </w:r>
      </w:hyperlink>
      <w:r w:rsidRPr="007904E7">
        <w:rPr>
          <w:rFonts w:asciiTheme="majorHAnsi" w:eastAsia="Calibri" w:hAnsiTheme="majorHAnsi" w:cstheme="majorHAnsi"/>
          <w:color w:val="000000" w:themeColor="text1"/>
          <w:sz w:val="18"/>
          <w:szCs w:val="18"/>
        </w:rPr>
        <w:t>.</w:t>
      </w:r>
    </w:p>
  </w:footnote>
  <w:footnote w:id="50">
    <w:p w14:paraId="4C405BAA" w14:textId="1806E49D" w:rsidR="00625361" w:rsidRDefault="00625361">
      <w:pPr>
        <w:pStyle w:val="FootnoteText"/>
      </w:pPr>
      <w:r>
        <w:rPr>
          <w:rStyle w:val="FootnoteReference"/>
        </w:rPr>
        <w:footnoteRef/>
      </w:r>
      <w:r>
        <w:t xml:space="preserve"> </w:t>
      </w:r>
      <w:r w:rsidRPr="00F56598">
        <w:rPr>
          <w:rFonts w:asciiTheme="majorHAnsi" w:hAnsiTheme="majorHAnsi" w:cstheme="majorHAnsi"/>
          <w:sz w:val="18"/>
          <w:szCs w:val="18"/>
        </w:rPr>
        <w:t>ITU Report “Status of national child online protection ecosystems in South Eastern Europe”, p.25</w:t>
      </w:r>
    </w:p>
  </w:footnote>
  <w:footnote w:id="51">
    <w:p w14:paraId="06A37640" w14:textId="6CADBE99" w:rsidR="00F0053F" w:rsidRDefault="00F0053F">
      <w:pPr>
        <w:pStyle w:val="FootnoteText"/>
      </w:pPr>
      <w:r>
        <w:rPr>
          <w:rStyle w:val="FootnoteReference"/>
        </w:rPr>
        <w:footnoteRef/>
      </w:r>
      <w:r>
        <w:t xml:space="preserve"> </w:t>
      </w:r>
      <w:r w:rsidRPr="00F56598">
        <w:rPr>
          <w:rFonts w:asciiTheme="majorHAnsi" w:hAnsiTheme="majorHAnsi" w:cstheme="majorHAnsi"/>
          <w:sz w:val="18"/>
          <w:szCs w:val="18"/>
        </w:rPr>
        <w:t>https://vocea.md/balena-albastra-jocul-care-indeamna-copiii-la-suicide/?fbclid=IwAR1XNjMhbmF1eZMHiVSWdEoAc-q-KGTwXuM2esjZhWommeYsnxfjnYtLdXg</w:t>
      </w:r>
    </w:p>
  </w:footnote>
  <w:footnote w:id="52">
    <w:p w14:paraId="5014A9B3" w14:textId="1516CA96" w:rsidR="00F0053F" w:rsidRDefault="00F0053F">
      <w:pPr>
        <w:pStyle w:val="FootnoteText"/>
      </w:pPr>
      <w:r>
        <w:rPr>
          <w:rStyle w:val="FootnoteReference"/>
        </w:rPr>
        <w:footnoteRef/>
      </w:r>
      <w:r>
        <w:t xml:space="preserve"> </w:t>
      </w:r>
      <w:r w:rsidRPr="00F56598">
        <w:rPr>
          <w:rFonts w:asciiTheme="majorHAnsi" w:hAnsiTheme="majorHAnsi" w:cstheme="majorHAnsi"/>
          <w:sz w:val="18"/>
          <w:szCs w:val="18"/>
        </w:rPr>
        <w:t>https://gov.md/en/content/cabinet-approves-action-plan-promoting-internet-safety-children-and-teenagers</w:t>
      </w:r>
    </w:p>
  </w:footnote>
  <w:footnote w:id="53">
    <w:p w14:paraId="6BBFCD4D" w14:textId="010295B5" w:rsidR="00F0053F" w:rsidRDefault="00F0053F">
      <w:pPr>
        <w:pStyle w:val="FootnoteText"/>
      </w:pPr>
      <w:r>
        <w:rPr>
          <w:rStyle w:val="FootnoteReference"/>
        </w:rPr>
        <w:footnoteRef/>
      </w:r>
      <w:r>
        <w:t xml:space="preserve"> </w:t>
      </w:r>
      <w:r w:rsidRPr="00F56598">
        <w:rPr>
          <w:rFonts w:asciiTheme="majorHAnsi" w:hAnsiTheme="majorHAnsi" w:cstheme="majorHAnsi"/>
          <w:sz w:val="18"/>
          <w:szCs w:val="18"/>
        </w:rPr>
        <w:t>https://mei.gov.md/ro/content/securitate-cibernetica</w:t>
      </w:r>
    </w:p>
  </w:footnote>
  <w:footnote w:id="54">
    <w:p w14:paraId="752325CC" w14:textId="45C98FAF" w:rsidR="00AE05B2" w:rsidRPr="00F56598" w:rsidRDefault="00AE05B2">
      <w:pPr>
        <w:pStyle w:val="FootnoteText"/>
        <w:rPr>
          <w:rFonts w:asciiTheme="majorHAnsi" w:hAnsiTheme="majorHAnsi" w:cstheme="majorHAnsi"/>
          <w:sz w:val="18"/>
          <w:szCs w:val="18"/>
        </w:rPr>
      </w:pPr>
      <w:r>
        <w:rPr>
          <w:rStyle w:val="FootnoteReference"/>
        </w:rPr>
        <w:footnoteRef/>
      </w:r>
      <w:r>
        <w:t xml:space="preserve"> </w:t>
      </w:r>
      <w:r w:rsidRPr="00F56598">
        <w:rPr>
          <w:rFonts w:asciiTheme="majorHAnsi" w:hAnsiTheme="majorHAnsi" w:cstheme="majorHAnsi"/>
          <w:sz w:val="18"/>
          <w:szCs w:val="18"/>
        </w:rPr>
        <w:t>https://www.legis.md/cautare/getResults?doc_id=111979&amp;lang=ro</w:t>
      </w:r>
    </w:p>
  </w:footnote>
  <w:footnote w:id="55">
    <w:p w14:paraId="4AF49D59" w14:textId="24F4C5DD" w:rsidR="008307EC" w:rsidRDefault="008307EC">
      <w:pPr>
        <w:pStyle w:val="FootnoteText"/>
      </w:pPr>
      <w:r>
        <w:rPr>
          <w:rStyle w:val="FootnoteReference"/>
        </w:rPr>
        <w:footnoteRef/>
      </w:r>
      <w:r>
        <w:t xml:space="preserve"> </w:t>
      </w:r>
      <w:r w:rsidRPr="00F56598">
        <w:rPr>
          <w:rFonts w:asciiTheme="majorHAnsi" w:hAnsiTheme="majorHAnsi" w:cstheme="majorHAnsi"/>
          <w:sz w:val="18"/>
          <w:szCs w:val="18"/>
        </w:rPr>
        <w:t>http://lastrada.md/eng/articles/we-have-become-the-national-sid-safer-internet-day-committee-184</w:t>
      </w:r>
    </w:p>
  </w:footnote>
  <w:footnote w:id="56">
    <w:p w14:paraId="70170263" w14:textId="77777777" w:rsidR="00237D2C" w:rsidRDefault="00237D2C" w:rsidP="00237D2C">
      <w:pPr>
        <w:pStyle w:val="FootnoteText"/>
      </w:pPr>
      <w:r>
        <w:rPr>
          <w:rStyle w:val="FootnoteReference"/>
        </w:rPr>
        <w:footnoteRef/>
      </w:r>
      <w:r>
        <w:t xml:space="preserve"> </w:t>
      </w:r>
      <w:r w:rsidRPr="00E75BD1">
        <w:rPr>
          <w:rFonts w:asciiTheme="majorHAnsi" w:hAnsiTheme="majorHAnsi" w:cstheme="majorHAnsi"/>
          <w:sz w:val="18"/>
          <w:szCs w:val="18"/>
        </w:rPr>
        <w:t>ITU Report “Status of national child online protection ecosystems in South Eastern Europe”, p.23</w:t>
      </w:r>
    </w:p>
  </w:footnote>
  <w:footnote w:id="57">
    <w:p w14:paraId="16AE0375" w14:textId="7A6DE97A" w:rsidR="00213384" w:rsidRDefault="00213384" w:rsidP="00213384">
      <w:pPr>
        <w:pStyle w:val="FootnoteText"/>
      </w:pPr>
      <w:r w:rsidRPr="008A41B8">
        <w:rPr>
          <w:rStyle w:val="FootnoteReference"/>
        </w:rPr>
        <w:footnoteRef/>
      </w:r>
      <w:r w:rsidRPr="008A41B8">
        <w:t xml:space="preserve"> </w:t>
      </w:r>
      <w:r w:rsidRPr="009B2C9C">
        <w:rPr>
          <w:rFonts w:asciiTheme="majorHAnsi" w:hAnsiTheme="majorHAnsi" w:cstheme="majorHAnsi"/>
          <w:sz w:val="18"/>
          <w:szCs w:val="18"/>
        </w:rPr>
        <w:t>https://mei.gov.md/sites/default/files/raport_de_evaluare_moldova_digitala_2020.semnat.pdf</w:t>
      </w:r>
      <w:r>
        <w:rPr>
          <w:rFonts w:asciiTheme="majorHAnsi" w:hAnsiTheme="majorHAnsi" w:cstheme="majorHAnsi"/>
          <w:sz w:val="18"/>
          <w:szCs w:val="18"/>
        </w:rPr>
        <w:t>, pp.16-17</w:t>
      </w:r>
    </w:p>
  </w:footnote>
  <w:footnote w:id="58">
    <w:p w14:paraId="7C82EA8E" w14:textId="1CF233B2" w:rsidR="00FD3F27" w:rsidRPr="008A41B8" w:rsidRDefault="00FD3F27" w:rsidP="00FD3F27">
      <w:pPr>
        <w:spacing w:after="0"/>
        <w:rPr>
          <w:rFonts w:ascii="Calibri" w:hAnsi="Calibri" w:cs="Calibri"/>
          <w:sz w:val="40"/>
          <w:szCs w:val="40"/>
        </w:rPr>
      </w:pPr>
      <w:r w:rsidRPr="008A41B8">
        <w:rPr>
          <w:rStyle w:val="FootnoteReference"/>
        </w:rPr>
        <w:footnoteRef/>
      </w:r>
      <w:r w:rsidRPr="008A41B8">
        <w:t xml:space="preserve"> </w:t>
      </w:r>
      <w:r w:rsidRPr="00DF4AF5">
        <w:rPr>
          <w:rFonts w:asciiTheme="majorHAnsi" w:hAnsiTheme="majorHAnsi" w:cstheme="majorHAnsi"/>
          <w:sz w:val="18"/>
          <w:szCs w:val="18"/>
        </w:rPr>
        <w:t>The strategic review of the SAFETY CHILDREN ONLINE Public policy analysis</w:t>
      </w:r>
      <w:r w:rsidR="00213384">
        <w:rPr>
          <w:rFonts w:asciiTheme="majorHAnsi" w:hAnsiTheme="majorHAnsi" w:cstheme="majorHAnsi"/>
          <w:sz w:val="18"/>
          <w:szCs w:val="18"/>
        </w:rPr>
        <w:t>, pp. 4,6</w:t>
      </w:r>
    </w:p>
  </w:footnote>
  <w:footnote w:id="59">
    <w:p w14:paraId="6DCD3B11" w14:textId="77777777" w:rsidR="02567566" w:rsidRDefault="02567566" w:rsidP="02567566">
      <w:pPr>
        <w:pStyle w:val="FootnoteText"/>
        <w:spacing w:line="276" w:lineRule="auto"/>
        <w:rPr>
          <w:rFonts w:asciiTheme="majorHAnsi" w:hAnsiTheme="majorHAnsi" w:cstheme="majorBidi"/>
          <w:sz w:val="18"/>
          <w:szCs w:val="18"/>
        </w:rPr>
      </w:pPr>
      <w:r w:rsidRPr="02567566">
        <w:rPr>
          <w:rFonts w:asciiTheme="majorHAnsi" w:hAnsiTheme="majorHAnsi" w:cstheme="majorBidi"/>
          <w:sz w:val="18"/>
          <w:szCs w:val="18"/>
          <w:vertAlign w:val="superscript"/>
        </w:rPr>
        <w:footnoteRef/>
      </w:r>
      <w:r w:rsidRPr="02567566">
        <w:rPr>
          <w:rFonts w:asciiTheme="majorHAnsi" w:hAnsiTheme="majorHAnsi" w:cstheme="majorBidi"/>
          <w:sz w:val="18"/>
          <w:szCs w:val="18"/>
        </w:rPr>
        <w:t xml:space="preserve"> </w:t>
      </w:r>
      <w:hyperlink r:id="rId11">
        <w:r w:rsidRPr="02567566">
          <w:rPr>
            <w:rFonts w:asciiTheme="majorHAnsi" w:hAnsiTheme="majorHAnsi" w:cstheme="majorBidi"/>
            <w:sz w:val="18"/>
            <w:szCs w:val="18"/>
          </w:rPr>
          <w:t>https://www.itu-cop-guidelines.com/</w:t>
        </w:r>
      </w:hyperlink>
      <w:r w:rsidRPr="02567566">
        <w:rPr>
          <w:rFonts w:asciiTheme="majorHAnsi" w:hAnsiTheme="majorHAnsi" w:cstheme="majorBidi"/>
          <w:sz w:val="18"/>
          <w:szCs w:val="18"/>
        </w:rPr>
        <w:t xml:space="preserve"> </w:t>
      </w:r>
    </w:p>
  </w:footnote>
  <w:footnote w:id="60">
    <w:p w14:paraId="4AF03AC0" w14:textId="0D552162" w:rsidR="00213384" w:rsidRDefault="00213384">
      <w:pPr>
        <w:pStyle w:val="FootnoteText"/>
      </w:pPr>
      <w:r>
        <w:rPr>
          <w:rStyle w:val="FootnoteReference"/>
        </w:rPr>
        <w:footnoteRef/>
      </w:r>
      <w:r>
        <w:t xml:space="preserve"> </w:t>
      </w:r>
      <w:r w:rsidRPr="00DF4AF5">
        <w:rPr>
          <w:rFonts w:asciiTheme="majorHAnsi" w:hAnsiTheme="majorHAnsi" w:cstheme="majorHAnsi"/>
          <w:sz w:val="18"/>
          <w:szCs w:val="18"/>
        </w:rPr>
        <w:t>The strategic review of the SAFETY CHILDREN ONLINE Public policy analysis</w:t>
      </w:r>
      <w:r>
        <w:rPr>
          <w:rFonts w:asciiTheme="majorHAnsi" w:hAnsiTheme="majorHAnsi" w:cstheme="majorHAnsi"/>
          <w:sz w:val="18"/>
          <w:szCs w:val="18"/>
        </w:rPr>
        <w:t>, pp.14-15</w:t>
      </w:r>
    </w:p>
  </w:footnote>
  <w:footnote w:id="61">
    <w:p w14:paraId="5C0627F8" w14:textId="4DEB0C3D" w:rsidR="00A77D70" w:rsidRDefault="00A77D70">
      <w:pPr>
        <w:pStyle w:val="FootnoteText"/>
      </w:pPr>
      <w:r>
        <w:rPr>
          <w:rStyle w:val="FootnoteReference"/>
        </w:rPr>
        <w:footnoteRef/>
      </w:r>
      <w:r>
        <w:t xml:space="preserve"> </w:t>
      </w:r>
      <w:r w:rsidRPr="00902CC7">
        <w:rPr>
          <w:rFonts w:asciiTheme="majorHAnsi" w:hAnsiTheme="majorHAnsi" w:cstheme="majorHAnsi"/>
          <w:sz w:val="18"/>
          <w:szCs w:val="18"/>
        </w:rPr>
        <w:t>https://publicadministration.un.org/egovkb/en-us/Data-Center</w:t>
      </w:r>
    </w:p>
  </w:footnote>
  <w:footnote w:id="62">
    <w:p w14:paraId="77F6ADA2" w14:textId="4B9E7A9D" w:rsidR="00A77D70" w:rsidRDefault="00A77D70">
      <w:pPr>
        <w:pStyle w:val="FootnoteText"/>
      </w:pPr>
      <w:r>
        <w:rPr>
          <w:rStyle w:val="FootnoteReference"/>
        </w:rPr>
        <w:footnoteRef/>
      </w:r>
      <w:r>
        <w:t xml:space="preserve"> </w:t>
      </w:r>
      <w:r w:rsidRPr="00A77D70">
        <w:rPr>
          <w:rFonts w:asciiTheme="majorHAnsi" w:hAnsiTheme="majorHAnsi" w:cstheme="majorHAnsi"/>
          <w:sz w:val="18"/>
          <w:szCs w:val="18"/>
        </w:rPr>
        <w:t>https://egov.md/ro/transparency/reports/sumar-executiv-al-raportului-privind-implementarea-planului-de-actiuni-pentru?fbclid=IwAR2pPX6frZUQ5DWsPjKai5TBR0v8uU2ra5piNj9SraBrNVwchzA5GgPe_Ic</w:t>
      </w:r>
    </w:p>
  </w:footnote>
  <w:footnote w:id="63">
    <w:p w14:paraId="42652192" w14:textId="72C025E5" w:rsidR="00447639" w:rsidRPr="007904E7" w:rsidRDefault="00447639" w:rsidP="00A47680">
      <w:pPr>
        <w:pStyle w:val="FootnoteText"/>
        <w:spacing w:line="276" w:lineRule="auto"/>
        <w:rPr>
          <w:rFonts w:asciiTheme="majorHAnsi" w:hAnsiTheme="majorHAnsi" w:cstheme="majorHAnsi"/>
          <w:sz w:val="18"/>
          <w:szCs w:val="18"/>
        </w:rPr>
      </w:pPr>
      <w:r w:rsidRPr="007904E7">
        <w:rPr>
          <w:rStyle w:val="FootnoteReference"/>
          <w:rFonts w:asciiTheme="majorHAnsi" w:hAnsiTheme="majorHAnsi" w:cstheme="majorHAnsi"/>
          <w:sz w:val="18"/>
          <w:szCs w:val="18"/>
        </w:rPr>
        <w:footnoteRef/>
      </w:r>
      <w:r w:rsidRPr="007904E7">
        <w:rPr>
          <w:rFonts w:asciiTheme="majorHAnsi" w:hAnsiTheme="majorHAnsi" w:cstheme="majorHAnsi"/>
          <w:sz w:val="18"/>
          <w:szCs w:val="18"/>
        </w:rPr>
        <w:t xml:space="preserve"> Forthcoming, September 2021</w:t>
      </w:r>
    </w:p>
  </w:footnote>
  <w:footnote w:id="64">
    <w:p w14:paraId="0AD57837" w14:textId="2E9F397E" w:rsidR="003B7A63" w:rsidRDefault="003B7A63">
      <w:pPr>
        <w:pStyle w:val="FootnoteText"/>
      </w:pPr>
      <w:r>
        <w:rPr>
          <w:rStyle w:val="FootnoteReference"/>
        </w:rPr>
        <w:footnoteRef/>
      </w:r>
      <w:r>
        <w:t xml:space="preserve"> </w:t>
      </w:r>
      <w:r w:rsidRPr="00300386">
        <w:rPr>
          <w:rFonts w:asciiTheme="majorHAnsi" w:hAnsiTheme="majorHAnsi" w:cstheme="majorHAnsi"/>
          <w:sz w:val="18"/>
          <w:szCs w:val="18"/>
        </w:rPr>
        <w:t>Connectivity in Education: Status and recent developments in 9 non-EU countries, p.56</w:t>
      </w:r>
    </w:p>
  </w:footnote>
  <w:footnote w:id="65">
    <w:p w14:paraId="4578DB45" w14:textId="1BB816C5" w:rsidR="003B7A63" w:rsidRDefault="003B7A63">
      <w:pPr>
        <w:pStyle w:val="FootnoteText"/>
      </w:pPr>
      <w:r>
        <w:rPr>
          <w:rStyle w:val="FootnoteReference"/>
        </w:rPr>
        <w:footnoteRef/>
      </w:r>
      <w:r>
        <w:t xml:space="preserve"> </w:t>
      </w:r>
      <w:r w:rsidRPr="00A47680">
        <w:rPr>
          <w:rFonts w:asciiTheme="majorHAnsi" w:eastAsia="Calibri" w:hAnsiTheme="majorHAnsi" w:cstheme="majorHAnsi"/>
          <w:sz w:val="18"/>
          <w:szCs w:val="18"/>
        </w:rPr>
        <w:t>Connectivity in Education: Status and recent developments in 9 non-EU countries, p.58</w:t>
      </w:r>
    </w:p>
  </w:footnote>
  <w:footnote w:id="66">
    <w:p w14:paraId="11BDE4B6" w14:textId="65480127" w:rsidR="00AC248B" w:rsidRPr="00AC248B" w:rsidRDefault="00AC248B">
      <w:pPr>
        <w:pStyle w:val="FootnoteText"/>
        <w:rPr>
          <w:rFonts w:asciiTheme="majorHAnsi" w:hAnsiTheme="majorHAnsi" w:cstheme="majorHAnsi"/>
          <w:sz w:val="18"/>
          <w:szCs w:val="18"/>
        </w:rPr>
      </w:pPr>
      <w:r>
        <w:rPr>
          <w:rStyle w:val="FootnoteReference"/>
        </w:rPr>
        <w:footnoteRef/>
      </w:r>
      <w:r>
        <w:t xml:space="preserve"> </w:t>
      </w:r>
      <w:r w:rsidRPr="00AC248B">
        <w:rPr>
          <w:rFonts w:asciiTheme="majorHAnsi" w:hAnsiTheme="majorHAnsi" w:cstheme="majorHAnsi"/>
          <w:sz w:val="18"/>
          <w:szCs w:val="18"/>
        </w:rPr>
        <w:t>https://ipp.md/wp-content/uploads/2021/04/Strategia-EDUCATIE-2030-Versiunea_01.pdf</w:t>
      </w:r>
    </w:p>
  </w:footnote>
  <w:footnote w:id="67">
    <w:p w14:paraId="7076DE40" w14:textId="5E2BFE8B" w:rsidR="00067113" w:rsidRDefault="00067113">
      <w:pPr>
        <w:pStyle w:val="FootnoteText"/>
      </w:pPr>
      <w:r>
        <w:rPr>
          <w:rStyle w:val="FootnoteReference"/>
        </w:rPr>
        <w:footnoteRef/>
      </w:r>
      <w:r>
        <w:t xml:space="preserve"> </w:t>
      </w:r>
      <w:r w:rsidR="00A47680" w:rsidRPr="008A41B8">
        <w:rPr>
          <w:rFonts w:asciiTheme="majorHAnsi" w:hAnsiTheme="majorHAnsi" w:cstheme="majorHAnsi"/>
          <w:sz w:val="18"/>
          <w:szCs w:val="18"/>
        </w:rPr>
        <w:t>https://mei.gov.md/sites/default/files/raport_de_evaluare_moldova_digitala_2020.semnat.pdf</w:t>
      </w:r>
    </w:p>
  </w:footnote>
  <w:footnote w:id="68">
    <w:p w14:paraId="649CA386" w14:textId="7260E7DA" w:rsidR="00067113" w:rsidRDefault="00067113">
      <w:pPr>
        <w:pStyle w:val="FootnoteText"/>
      </w:pPr>
      <w:r>
        <w:rPr>
          <w:rStyle w:val="FootnoteReference"/>
        </w:rPr>
        <w:footnoteRef/>
      </w:r>
      <w:r>
        <w:t xml:space="preserve"> </w:t>
      </w:r>
      <w:r w:rsidRPr="00A47680">
        <w:rPr>
          <w:rFonts w:asciiTheme="majorHAnsi" w:eastAsia="Calibri" w:hAnsiTheme="majorHAnsi" w:cstheme="majorHAnsi"/>
          <w:sz w:val="18"/>
          <w:szCs w:val="18"/>
        </w:rPr>
        <w:t>Connectivity in Education: Status and recent developments in 9 non-EU countries, p.59</w:t>
      </w:r>
    </w:p>
  </w:footnote>
  <w:footnote w:id="69">
    <w:p w14:paraId="60E0F08B" w14:textId="103444AD" w:rsidR="00300386" w:rsidRDefault="00300386">
      <w:pPr>
        <w:pStyle w:val="FootnoteText"/>
      </w:pPr>
      <w:r>
        <w:rPr>
          <w:rStyle w:val="FootnoteReference"/>
        </w:rPr>
        <w:footnoteRef/>
      </w:r>
      <w:r>
        <w:t xml:space="preserve"> </w:t>
      </w:r>
      <w:r w:rsidRPr="00A47680">
        <w:rPr>
          <w:rFonts w:asciiTheme="majorHAnsi" w:eastAsia="Calibri" w:hAnsiTheme="majorHAnsi" w:cstheme="majorHAnsi"/>
          <w:sz w:val="18"/>
          <w:szCs w:val="18"/>
        </w:rPr>
        <w:t>Connectivity in Education: Status and recent developments in 9 non-EU countries, p.60</w:t>
      </w:r>
    </w:p>
  </w:footnote>
  <w:footnote w:id="70">
    <w:p w14:paraId="5C72F7F2" w14:textId="202BFCF3" w:rsidR="00A61328" w:rsidRDefault="00A61328">
      <w:pPr>
        <w:pStyle w:val="FootnoteText"/>
      </w:pPr>
      <w:r>
        <w:rPr>
          <w:rStyle w:val="FootnoteReference"/>
        </w:rPr>
        <w:footnoteRef/>
      </w:r>
      <w:r>
        <w:t xml:space="preserve"> </w:t>
      </w:r>
      <w:r w:rsidRPr="00A47680">
        <w:rPr>
          <w:rFonts w:asciiTheme="majorHAnsi" w:eastAsia="Calibri" w:hAnsiTheme="majorHAnsi" w:cstheme="majorHAnsi"/>
          <w:sz w:val="18"/>
          <w:szCs w:val="18"/>
        </w:rPr>
        <w:t>Connectivity in Education: Status and recent developments in 9 non-EU countries, p.61</w:t>
      </w:r>
    </w:p>
  </w:footnote>
  <w:footnote w:id="71">
    <w:p w14:paraId="799424B2" w14:textId="70769ABD" w:rsidR="00A61328" w:rsidRDefault="00A61328">
      <w:pPr>
        <w:pStyle w:val="FootnoteText"/>
      </w:pPr>
      <w:r>
        <w:rPr>
          <w:rStyle w:val="FootnoteReference"/>
        </w:rPr>
        <w:footnoteRef/>
      </w:r>
      <w:r>
        <w:t xml:space="preserve"> </w:t>
      </w:r>
      <w:r w:rsidRPr="00A47680">
        <w:rPr>
          <w:rFonts w:asciiTheme="majorHAnsi" w:eastAsia="Calibri" w:hAnsiTheme="majorHAnsi" w:cstheme="majorHAnsi"/>
          <w:sz w:val="18"/>
          <w:szCs w:val="18"/>
        </w:rPr>
        <w:t>Connectivity in Education: Status and recent developments in 9 non-EU countries, p.62</w:t>
      </w:r>
    </w:p>
  </w:footnote>
  <w:footnote w:id="72">
    <w:p w14:paraId="4DFEF263"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https://statistica.gov.md/category.php?l=ro&amp;idc=191#idc=34&amp;</w:t>
      </w:r>
    </w:p>
  </w:footnote>
  <w:footnote w:id="73">
    <w:p w14:paraId="48A58F04"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Status of Digital Agriculture in 18 countries of Europe and Central Asia, p.31</w:t>
      </w:r>
    </w:p>
  </w:footnote>
  <w:footnote w:id="74">
    <w:p w14:paraId="126C5822"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https://www.itu.int/dms_pub/itu-d/opb/inno/D-INNO-MD-2018-01-PDF-E.pdf</w:t>
      </w:r>
    </w:p>
  </w:footnote>
  <w:footnote w:id="75">
    <w:p w14:paraId="617DD55C"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Status of Digital Agriculture in 18 countries of Europe and Central Asia, p.32</w:t>
      </w:r>
    </w:p>
  </w:footnote>
  <w:footnote w:id="76">
    <w:p w14:paraId="336F0F6D"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Status of Digital Agriculture in 18 countries of Europe and Central Asia, p.33</w:t>
      </w:r>
    </w:p>
  </w:footnote>
  <w:footnote w:id="77">
    <w:p w14:paraId="46AF9CBE"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https://www.arcgis.com/apps/MapSeries/index.html?appid=87c14bb5c945473a831ab7de6fb54f60</w:t>
      </w:r>
    </w:p>
  </w:footnote>
  <w:footnote w:id="78">
    <w:p w14:paraId="5A1CFE30"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Status of Digital Agriculture in 18 countries of Europe and Central Asia, p.33</w:t>
      </w:r>
    </w:p>
  </w:footnote>
  <w:footnote w:id="79">
    <w:p w14:paraId="2550571F"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http://www.fao.org/europe/news/detail-news/en/c/1390838/</w:t>
      </w:r>
    </w:p>
  </w:footnote>
  <w:footnote w:id="80">
    <w:p w14:paraId="162B1861" w14:textId="77777777" w:rsidR="00FA3E8E" w:rsidRDefault="00FA3E8E" w:rsidP="00FA3E8E">
      <w:pPr>
        <w:pStyle w:val="FootnoteText"/>
      </w:pPr>
      <w:r>
        <w:rPr>
          <w:rStyle w:val="FootnoteReference"/>
        </w:rPr>
        <w:footnoteRef/>
      </w:r>
      <w:r>
        <w:t xml:space="preserve"> </w:t>
      </w:r>
      <w:r w:rsidRPr="00A47680">
        <w:rPr>
          <w:rFonts w:asciiTheme="majorHAnsi" w:eastAsia="Calibri" w:hAnsiTheme="majorHAnsi" w:cstheme="majorHAnsi"/>
          <w:sz w:val="18"/>
          <w:szCs w:val="18"/>
        </w:rPr>
        <w:t>https://startupmoldova.digital/digital-impact/</w:t>
      </w:r>
    </w:p>
  </w:footnote>
  <w:footnote w:id="81">
    <w:p w14:paraId="342CD12A"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https://msmps.gov.md/wp-content/uploads/2021/05/Raport-Strategia-Națională-de-Sănătate-Publică-2014-2020.pdf</w:t>
      </w:r>
    </w:p>
  </w:footnote>
  <w:footnote w:id="82">
    <w:p w14:paraId="3661104D" w14:textId="77777777" w:rsidR="009C358C" w:rsidRDefault="009C358C" w:rsidP="009C358C">
      <w:pPr>
        <w:pStyle w:val="FootnoteText"/>
      </w:pPr>
      <w:r>
        <w:rPr>
          <w:rStyle w:val="FootnoteReference"/>
        </w:rPr>
        <w:footnoteRef/>
      </w:r>
      <w:r w:rsidRPr="00C61CF0">
        <w:rPr>
          <w:rFonts w:asciiTheme="majorHAnsi" w:eastAsia="Calibri" w:hAnsiTheme="majorHAnsi" w:cstheme="majorHAnsi"/>
          <w:sz w:val="18"/>
          <w:szCs w:val="18"/>
        </w:rPr>
        <w:t>https://monitorul.fisc.md/editorial/lansarea_oficiala_a_sistemului_informaional_automatizat_pentru_medicina_primara.html#cut</w:t>
      </w:r>
    </w:p>
  </w:footnote>
  <w:footnote w:id="83">
    <w:p w14:paraId="44BB1DDC"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https://eufordigital.eu/better-care-better-administration-moldovan-hospitals-reap-the-benefits-of-automated-information-system/</w:t>
      </w:r>
    </w:p>
  </w:footnote>
  <w:footnote w:id="84">
    <w:p w14:paraId="59754A20"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http://cnam.md</w:t>
      </w:r>
    </w:p>
  </w:footnote>
  <w:footnote w:id="85">
    <w:p w14:paraId="03A9993A"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Analysis of the current state of eHealth in the Eastern partner countries</w:t>
      </w:r>
    </w:p>
  </w:footnote>
  <w:footnote w:id="86">
    <w:p w14:paraId="1C67F341" w14:textId="77777777" w:rsidR="009C358C" w:rsidRPr="00C61CF0" w:rsidRDefault="009C358C" w:rsidP="009C358C">
      <w:pPr>
        <w:pStyle w:val="FootnoteText"/>
        <w:rPr>
          <w:rFonts w:asciiTheme="majorHAnsi" w:eastAsia="Calibri" w:hAnsiTheme="majorHAnsi" w:cstheme="majorHAnsi"/>
          <w:sz w:val="18"/>
          <w:szCs w:val="18"/>
        </w:rPr>
      </w:pPr>
      <w:r>
        <w:rPr>
          <w:rStyle w:val="FootnoteReference"/>
        </w:rPr>
        <w:footnoteRef/>
      </w:r>
      <w:r>
        <w:t xml:space="preserve"> </w:t>
      </w:r>
      <w:r w:rsidRPr="00C61CF0">
        <w:rPr>
          <w:rFonts w:asciiTheme="majorHAnsi" w:eastAsia="Calibri" w:hAnsiTheme="majorHAnsi" w:cstheme="majorHAnsi"/>
          <w:sz w:val="18"/>
          <w:szCs w:val="18"/>
        </w:rPr>
        <w:t>https://gismoldova.maps.arcgis.com/apps/opsdashboard/index.html#/d274da857ed345efa66e1fbc959b021b</w:t>
      </w:r>
    </w:p>
  </w:footnote>
  <w:footnote w:id="87">
    <w:p w14:paraId="5AEBCC65"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https://eufordigital.eu/modern-digital-platforms-for-a-better-pandemic-response-the-key-role-of-data-in-tackling-covid-19-in-moldova/</w:t>
      </w:r>
    </w:p>
  </w:footnote>
  <w:footnote w:id="88">
    <w:p w14:paraId="230D18FB" w14:textId="77777777" w:rsidR="009C358C" w:rsidRDefault="009C358C" w:rsidP="009C358C">
      <w:pPr>
        <w:pStyle w:val="FootnoteText"/>
      </w:pPr>
      <w:r>
        <w:rPr>
          <w:rStyle w:val="FootnoteReference"/>
        </w:rPr>
        <w:footnoteRef/>
      </w:r>
      <w:r>
        <w:t xml:space="preserve"> </w:t>
      </w:r>
      <w:r w:rsidRPr="00C61CF0">
        <w:rPr>
          <w:rFonts w:asciiTheme="majorHAnsi" w:eastAsia="Calibri" w:hAnsiTheme="majorHAnsi" w:cstheme="majorHAnsi"/>
          <w:sz w:val="18"/>
          <w:szCs w:val="18"/>
        </w:rPr>
        <w:t>Analysis of the current state of eHealth in the Eastern partner countries</w:t>
      </w:r>
    </w:p>
  </w:footnote>
  <w:footnote w:id="89">
    <w:p w14:paraId="71BC82B5"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https://statistica.gov.md/newsview.php?l=ro&amp;idc=168&amp;id=6716</w:t>
      </w:r>
    </w:p>
  </w:footnote>
  <w:footnote w:id="90">
    <w:p w14:paraId="67EF5F93"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https://www.odimm.md/files/ro/pdf/sec_imm/Strategia_IMM_Moldova_2014-2020.pdf</w:t>
      </w:r>
    </w:p>
  </w:footnote>
  <w:footnote w:id="91">
    <w:p w14:paraId="65327420"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https://www.legis.md/cautare/getResults?doc_id=122195&amp;lang=ro</w:t>
      </w:r>
    </w:p>
  </w:footnote>
  <w:footnote w:id="92">
    <w:p w14:paraId="5B9DD4C7"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https://www.odimm.md</w:t>
      </w:r>
    </w:p>
  </w:footnote>
  <w:footnote w:id="93">
    <w:p w14:paraId="50F8B860"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https://www.odimm.md/ro/digitalizarea</w:t>
      </w:r>
    </w:p>
  </w:footnote>
  <w:footnote w:id="94">
    <w:p w14:paraId="70C60BCB"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https://agromedia.md/finantarea-agricultorului/fonduri/suport-financiar-pentru-digitalizarea-afacerii-cati-antreprenori-vor-beneficia-de-sustinere?fbclid=IwAR2k0bG7kL7eZ3bzaalRYLMQobWBcF1U9vdj1tIOO7nTDVgH1M3ynVK0ffk</w:t>
      </w:r>
    </w:p>
  </w:footnote>
  <w:footnote w:id="95">
    <w:p w14:paraId="5628E252" w14:textId="77777777" w:rsidR="00680899" w:rsidRDefault="00680899" w:rsidP="00680899">
      <w:pPr>
        <w:pStyle w:val="FootnoteText"/>
      </w:pPr>
      <w:r>
        <w:rPr>
          <w:rStyle w:val="FootnoteReference"/>
        </w:rPr>
        <w:footnoteRef/>
      </w:r>
      <w:r>
        <w:t xml:space="preserve"> </w:t>
      </w:r>
      <w:r w:rsidRPr="00DD13DE">
        <w:rPr>
          <w:rFonts w:asciiTheme="majorHAnsi" w:hAnsiTheme="majorHAnsi" w:cstheme="majorHAnsi"/>
          <w:sz w:val="18"/>
          <w:szCs w:val="18"/>
        </w:rPr>
        <w:t xml:space="preserve">Using the current exchange rate of the National Bank of Moldova of 21.2165 as of 20.06.2021, </w:t>
      </w:r>
      <w:r w:rsidRPr="007B0CF8">
        <w:rPr>
          <w:rFonts w:asciiTheme="majorHAnsi" w:hAnsiTheme="majorHAnsi" w:cstheme="majorHAnsi"/>
          <w:sz w:val="18"/>
          <w:szCs w:val="18"/>
        </w:rPr>
        <w:t>retrieved from</w:t>
      </w:r>
      <w:r>
        <w:rPr>
          <w:rFonts w:asciiTheme="majorHAnsi" w:hAnsiTheme="majorHAnsi" w:cstheme="majorHAnsi"/>
          <w:sz w:val="18"/>
          <w:szCs w:val="18"/>
        </w:rPr>
        <w:t xml:space="preserve"> </w:t>
      </w:r>
      <w:r w:rsidRPr="00DD13DE">
        <w:rPr>
          <w:rFonts w:asciiTheme="majorHAnsi" w:hAnsiTheme="majorHAnsi" w:cstheme="majorHAnsi"/>
          <w:sz w:val="18"/>
          <w:szCs w:val="18"/>
        </w:rPr>
        <w:t>https://www.bnm.md</w:t>
      </w:r>
    </w:p>
  </w:footnote>
  <w:footnote w:id="96">
    <w:p w14:paraId="78BF718A"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https://odimm.md/ro/presa/anunturi/5033-apel-de-granturi-pentru-digitalizarea-afacerilor-din-mediul-rural?fbclid=IwAR1G9IBHb761UeoD12kN5C_e-X1Rx8DATb3LvnYyqv7G1ktIlgbEcZqiGTA</w:t>
      </w:r>
    </w:p>
  </w:footnote>
  <w:footnote w:id="97">
    <w:p w14:paraId="6373B2A4"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https://tekwill.md/news/digital-upgrade-has-started-the-educational-program-for-digitizing-smes-2/?fbclid=IwAR3Z_DAP6hPVSnGomIG-qrthU7PWIOYrdGRH3j8HI9mW1HY2Xx5vcT63xVk</w:t>
      </w:r>
    </w:p>
  </w:footnote>
  <w:footnote w:id="98">
    <w:p w14:paraId="689932FD"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https://moldovaitpark.md/wp-content/uploads/2020/07/Catalog-e-comert_final.pdf</w:t>
      </w:r>
    </w:p>
  </w:footnote>
  <w:footnote w:id="99">
    <w:p w14:paraId="584605F3" w14:textId="77777777" w:rsidR="001A0FE8" w:rsidRDefault="001A0FE8" w:rsidP="001A0FE8">
      <w:pPr>
        <w:pStyle w:val="FootnoteText"/>
      </w:pPr>
      <w:r>
        <w:rPr>
          <w:rStyle w:val="FootnoteReference"/>
        </w:rPr>
        <w:footnoteRef/>
      </w:r>
      <w:r>
        <w:t xml:space="preserve"> </w:t>
      </w:r>
      <w:r w:rsidRPr="00C61CF0">
        <w:rPr>
          <w:rFonts w:asciiTheme="majorHAnsi" w:eastAsia="Calibri" w:hAnsiTheme="majorHAnsi" w:cstheme="majorHAnsi"/>
          <w:sz w:val="18"/>
          <w:szCs w:val="18"/>
        </w:rPr>
        <w:t>https://startupmoldova.digital</w:t>
      </w:r>
    </w:p>
  </w:footnote>
  <w:footnote w:id="100">
    <w:p w14:paraId="0A5A9350" w14:textId="533A2325" w:rsidR="001A0FE8" w:rsidRDefault="001A0FE8" w:rsidP="00C61CF0">
      <w:pPr>
        <w:spacing w:after="0"/>
      </w:pPr>
      <w:r>
        <w:rPr>
          <w:rStyle w:val="FootnoteReference"/>
        </w:rPr>
        <w:footnoteRef/>
      </w:r>
      <w:r>
        <w:t xml:space="preserve"> </w:t>
      </w:r>
      <w:r w:rsidRPr="00C61CF0">
        <w:rPr>
          <w:rFonts w:asciiTheme="majorHAnsi" w:eastAsia="Calibri" w:hAnsiTheme="majorHAnsi" w:cstheme="majorHAnsi"/>
          <w:sz w:val="18"/>
          <w:szCs w:val="18"/>
        </w:rPr>
        <w:t>https://ict.md/wp-content/uploads/2020/07/Moldova-Rapid-ECommerce-Review.pdf</w:t>
      </w:r>
      <w:r>
        <w:t xml:space="preserve"> </w:t>
      </w:r>
    </w:p>
  </w:footnote>
  <w:footnote w:id="101">
    <w:p w14:paraId="0DD7549E" w14:textId="77777777" w:rsidR="00B504B7" w:rsidRPr="007904E7" w:rsidRDefault="00B504B7" w:rsidP="00B504B7">
      <w:pPr>
        <w:spacing w:after="0"/>
        <w:rPr>
          <w:rFonts w:asciiTheme="majorHAnsi" w:eastAsia="Calibri" w:hAnsiTheme="majorHAnsi" w:cstheme="majorHAnsi"/>
          <w:sz w:val="18"/>
          <w:szCs w:val="18"/>
        </w:rPr>
      </w:pPr>
      <w:r w:rsidRPr="007904E7">
        <w:rPr>
          <w:rStyle w:val="FootnoteReference"/>
          <w:rFonts w:cstheme="majorHAnsi"/>
          <w:sz w:val="18"/>
          <w:szCs w:val="18"/>
        </w:rPr>
        <w:footnoteRef/>
      </w:r>
      <w:r w:rsidRPr="007904E7">
        <w:rPr>
          <w:rFonts w:asciiTheme="majorHAnsi" w:hAnsiTheme="majorHAnsi" w:cstheme="majorHAnsi"/>
          <w:sz w:val="18"/>
          <w:szCs w:val="18"/>
        </w:rPr>
        <w:t xml:space="preserve"> </w:t>
      </w:r>
      <w:r w:rsidRPr="007904E7">
        <w:rPr>
          <w:rFonts w:asciiTheme="majorHAnsi" w:eastAsia="Calibri" w:hAnsiTheme="majorHAnsi" w:cstheme="majorHAnsi"/>
          <w:sz w:val="18"/>
          <w:szCs w:val="18"/>
        </w:rPr>
        <w:t>Regional Good Practices Accelerating innovation, entrepreneurship and digital transformation —Europe</w:t>
      </w:r>
    </w:p>
  </w:footnote>
  <w:footnote w:id="102">
    <w:p w14:paraId="18D5F85C" w14:textId="77777777" w:rsidR="00B504B7" w:rsidRDefault="00B504B7" w:rsidP="00B504B7">
      <w:pPr>
        <w:pStyle w:val="FootnoteText"/>
      </w:pPr>
      <w:r>
        <w:rPr>
          <w:rStyle w:val="FootnoteReference"/>
        </w:rPr>
        <w:footnoteRef/>
      </w:r>
      <w:r>
        <w:t xml:space="preserve"> </w:t>
      </w:r>
      <w:r w:rsidRPr="008F0260">
        <w:rPr>
          <w:rFonts w:asciiTheme="majorHAnsi" w:eastAsia="Calibri" w:hAnsiTheme="majorHAnsi" w:cstheme="majorHAnsi"/>
          <w:sz w:val="18"/>
          <w:szCs w:val="18"/>
        </w:rPr>
        <w:t>ITU Report on ICT-centric innovation ecosystem country review: Republic of Moldova</w:t>
      </w:r>
      <w:r>
        <w:rPr>
          <w:rFonts w:asciiTheme="majorHAnsi" w:eastAsia="Calibri" w:hAnsiTheme="majorHAnsi" w:cstheme="majorHAnsi"/>
          <w:sz w:val="18"/>
          <w:szCs w:val="18"/>
        </w:rPr>
        <w:t>, p.83</w:t>
      </w:r>
    </w:p>
  </w:footnote>
  <w:footnote w:id="103">
    <w:p w14:paraId="63A5956C" w14:textId="77777777" w:rsidR="00B504B7" w:rsidRDefault="00B504B7" w:rsidP="00B504B7">
      <w:pPr>
        <w:pStyle w:val="FootnoteText"/>
      </w:pPr>
      <w:r>
        <w:rPr>
          <w:rStyle w:val="FootnoteReference"/>
        </w:rPr>
        <w:footnoteRef/>
      </w:r>
      <w:r>
        <w:t xml:space="preserve"> </w:t>
      </w:r>
      <w:r w:rsidRPr="008F0260">
        <w:rPr>
          <w:rFonts w:asciiTheme="majorHAnsi" w:eastAsia="Calibri" w:hAnsiTheme="majorHAnsi" w:cstheme="majorHAnsi"/>
          <w:sz w:val="18"/>
          <w:szCs w:val="18"/>
        </w:rPr>
        <w:t>ITU Report on ICT-centric innovation ecosystem country review: Republic of Moldova</w:t>
      </w:r>
      <w:r>
        <w:rPr>
          <w:rFonts w:asciiTheme="majorHAnsi" w:eastAsia="Calibri" w:hAnsiTheme="majorHAnsi" w:cstheme="majorHAnsi"/>
          <w:sz w:val="18"/>
          <w:szCs w:val="18"/>
        </w:rPr>
        <w:t>, p.25</w:t>
      </w:r>
    </w:p>
  </w:footnote>
  <w:footnote w:id="104">
    <w:p w14:paraId="62622C52" w14:textId="77777777" w:rsidR="00B504B7" w:rsidRDefault="00B504B7" w:rsidP="00B504B7">
      <w:pPr>
        <w:pStyle w:val="FootnoteText"/>
      </w:pPr>
      <w:r>
        <w:rPr>
          <w:rStyle w:val="FootnoteReference"/>
        </w:rPr>
        <w:footnoteRef/>
      </w:r>
      <w:r>
        <w:t xml:space="preserve"> </w:t>
      </w:r>
      <w:r w:rsidRPr="003F51BF">
        <w:rPr>
          <w:rFonts w:asciiTheme="majorHAnsi" w:eastAsia="Calibri" w:hAnsiTheme="majorHAnsi" w:cstheme="majorHAnsi"/>
          <w:sz w:val="18"/>
          <w:szCs w:val="18"/>
        </w:rPr>
        <w:t>https://eufordigital.eu/wp-content/uploads/2021/04/Guide-for-building-the-ICT-entrepreneurial-ecosystems-in-the-Eastern-partner-countries-maturity-analysis-and-recommendations.pdf?fbclid=IwAR2yioVMEiB5OG99oIJh3mOz2j7qNGv0Y30WmFI_B2WiIlPkR5sz2qlH-60</w:t>
      </w:r>
    </w:p>
  </w:footnote>
  <w:footnote w:id="105">
    <w:p w14:paraId="6B4B28B1" w14:textId="77777777" w:rsidR="00B504B7" w:rsidRDefault="00B504B7" w:rsidP="00B504B7">
      <w:pPr>
        <w:pStyle w:val="FootnoteText"/>
      </w:pPr>
      <w:r>
        <w:rPr>
          <w:rStyle w:val="FootnoteReference"/>
        </w:rPr>
        <w:footnoteRef/>
      </w:r>
      <w:r>
        <w:t xml:space="preserve"> </w:t>
      </w:r>
      <w:r w:rsidRPr="00FA4D33">
        <w:rPr>
          <w:rFonts w:asciiTheme="majorHAnsi" w:eastAsia="Calibri" w:hAnsiTheme="majorHAnsi" w:cstheme="majorHAnsi"/>
          <w:sz w:val="18"/>
          <w:szCs w:val="18"/>
        </w:rPr>
        <w:t>https://moldovaitpark.md/wp-content/uploads/2020/02/Raport-Anual-2019_eng-1.pdf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8132" w14:textId="42EA644B" w:rsidR="0061497D" w:rsidRPr="008915B2" w:rsidRDefault="008915B2" w:rsidP="008915B2">
    <w:pPr>
      <w:pStyle w:val="Header"/>
      <w:pBdr>
        <w:bottom w:val="single" w:sz="4" w:space="1" w:color="D9E2F3" w:themeColor="accent1" w:themeTint="33"/>
      </w:pBdr>
      <w:jc w:val="center"/>
      <w:rPr>
        <w:i/>
        <w:iCs/>
        <w:sz w:val="10"/>
        <w:szCs w:val="10"/>
      </w:rPr>
    </w:pPr>
    <w:r>
      <w:rPr>
        <w:i/>
        <w:iCs/>
        <w:color w:val="4472C4" w:themeColor="accent1"/>
      </w:rPr>
      <w:t>Republic of Moldova</w:t>
    </w:r>
    <w:r w:rsidR="001E3F37" w:rsidRPr="008915B2">
      <w:rPr>
        <w:i/>
        <w:iCs/>
        <w:color w:val="4472C4" w:themeColor="accent1"/>
      </w:rPr>
      <w:t xml:space="preserve"> - Digital Development Country Profile</w:t>
    </w:r>
    <w:r w:rsidR="002E7B10" w:rsidRPr="008915B2">
      <w:rPr>
        <w:i/>
        <w:iCs/>
        <w:color w:val="4472C4" w:themeColor="accent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7CC"/>
    <w:multiLevelType w:val="hybridMultilevel"/>
    <w:tmpl w:val="A01CF3BA"/>
    <w:lvl w:ilvl="0" w:tplc="CB8A2BBA">
      <w:start w:val="1"/>
      <w:numFmt w:val="bullet"/>
      <w:lvlText w:val="-"/>
      <w:lvlJc w:val="left"/>
      <w:pPr>
        <w:ind w:left="720" w:hanging="360"/>
      </w:pPr>
      <w:rPr>
        <w:rFonts w:ascii="Calibri" w:hAnsi="Calibri" w:hint="default"/>
      </w:rPr>
    </w:lvl>
    <w:lvl w:ilvl="1" w:tplc="E04674CA">
      <w:start w:val="1"/>
      <w:numFmt w:val="bullet"/>
      <w:lvlText w:val="o"/>
      <w:lvlJc w:val="left"/>
      <w:pPr>
        <w:ind w:left="1440" w:hanging="360"/>
      </w:pPr>
      <w:rPr>
        <w:rFonts w:ascii="Courier New" w:hAnsi="Courier New" w:hint="default"/>
      </w:rPr>
    </w:lvl>
    <w:lvl w:ilvl="2" w:tplc="DA8E2BDC">
      <w:start w:val="1"/>
      <w:numFmt w:val="bullet"/>
      <w:lvlText w:val=""/>
      <w:lvlJc w:val="left"/>
      <w:pPr>
        <w:ind w:left="2160" w:hanging="360"/>
      </w:pPr>
      <w:rPr>
        <w:rFonts w:ascii="Wingdings" w:hAnsi="Wingdings" w:hint="default"/>
      </w:rPr>
    </w:lvl>
    <w:lvl w:ilvl="3" w:tplc="E57C6CC4">
      <w:start w:val="1"/>
      <w:numFmt w:val="bullet"/>
      <w:lvlText w:val=""/>
      <w:lvlJc w:val="left"/>
      <w:pPr>
        <w:ind w:left="2880" w:hanging="360"/>
      </w:pPr>
      <w:rPr>
        <w:rFonts w:ascii="Symbol" w:hAnsi="Symbol" w:hint="default"/>
      </w:rPr>
    </w:lvl>
    <w:lvl w:ilvl="4" w:tplc="F6BE8D86">
      <w:start w:val="1"/>
      <w:numFmt w:val="bullet"/>
      <w:lvlText w:val="o"/>
      <w:lvlJc w:val="left"/>
      <w:pPr>
        <w:ind w:left="3600" w:hanging="360"/>
      </w:pPr>
      <w:rPr>
        <w:rFonts w:ascii="Courier New" w:hAnsi="Courier New" w:hint="default"/>
      </w:rPr>
    </w:lvl>
    <w:lvl w:ilvl="5" w:tplc="BDB09B4E">
      <w:start w:val="1"/>
      <w:numFmt w:val="bullet"/>
      <w:lvlText w:val=""/>
      <w:lvlJc w:val="left"/>
      <w:pPr>
        <w:ind w:left="4320" w:hanging="360"/>
      </w:pPr>
      <w:rPr>
        <w:rFonts w:ascii="Wingdings" w:hAnsi="Wingdings" w:hint="default"/>
      </w:rPr>
    </w:lvl>
    <w:lvl w:ilvl="6" w:tplc="7F14AAF4">
      <w:start w:val="1"/>
      <w:numFmt w:val="bullet"/>
      <w:lvlText w:val=""/>
      <w:lvlJc w:val="left"/>
      <w:pPr>
        <w:ind w:left="5040" w:hanging="360"/>
      </w:pPr>
      <w:rPr>
        <w:rFonts w:ascii="Symbol" w:hAnsi="Symbol" w:hint="default"/>
      </w:rPr>
    </w:lvl>
    <w:lvl w:ilvl="7" w:tplc="C40CB598">
      <w:start w:val="1"/>
      <w:numFmt w:val="bullet"/>
      <w:lvlText w:val="o"/>
      <w:lvlJc w:val="left"/>
      <w:pPr>
        <w:ind w:left="5760" w:hanging="360"/>
      </w:pPr>
      <w:rPr>
        <w:rFonts w:ascii="Courier New" w:hAnsi="Courier New" w:hint="default"/>
      </w:rPr>
    </w:lvl>
    <w:lvl w:ilvl="8" w:tplc="F5BCF2CE">
      <w:start w:val="1"/>
      <w:numFmt w:val="bullet"/>
      <w:lvlText w:val=""/>
      <w:lvlJc w:val="left"/>
      <w:pPr>
        <w:ind w:left="6480" w:hanging="360"/>
      </w:pPr>
      <w:rPr>
        <w:rFonts w:ascii="Wingdings" w:hAnsi="Wingdings" w:hint="default"/>
      </w:rPr>
    </w:lvl>
  </w:abstractNum>
  <w:abstractNum w:abstractNumId="1" w15:restartNumberingAfterBreak="0">
    <w:nsid w:val="02633696"/>
    <w:multiLevelType w:val="hybridMultilevel"/>
    <w:tmpl w:val="AEF22A9E"/>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9248F"/>
    <w:multiLevelType w:val="hybridMultilevel"/>
    <w:tmpl w:val="64B887D0"/>
    <w:lvl w:ilvl="0" w:tplc="A0EC20F2">
      <w:start w:val="1"/>
      <w:numFmt w:val="bullet"/>
      <w:lvlText w:val=""/>
      <w:lvlJc w:val="left"/>
      <w:pPr>
        <w:ind w:left="720" w:hanging="360"/>
      </w:pPr>
      <w:rPr>
        <w:rFonts w:ascii="Symbol" w:hAnsi="Symbol" w:hint="default"/>
      </w:rPr>
    </w:lvl>
    <w:lvl w:ilvl="1" w:tplc="64DCE606">
      <w:start w:val="1"/>
      <w:numFmt w:val="bullet"/>
      <w:lvlText w:val="o"/>
      <w:lvlJc w:val="left"/>
      <w:pPr>
        <w:ind w:left="1440" w:hanging="360"/>
      </w:pPr>
      <w:rPr>
        <w:rFonts w:ascii="Courier New" w:hAnsi="Courier New" w:hint="default"/>
      </w:rPr>
    </w:lvl>
    <w:lvl w:ilvl="2" w:tplc="FCFCF012">
      <w:start w:val="1"/>
      <w:numFmt w:val="bullet"/>
      <w:lvlText w:val=""/>
      <w:lvlJc w:val="left"/>
      <w:pPr>
        <w:ind w:left="2160" w:hanging="360"/>
      </w:pPr>
      <w:rPr>
        <w:rFonts w:ascii="Wingdings" w:hAnsi="Wingdings" w:hint="default"/>
      </w:rPr>
    </w:lvl>
    <w:lvl w:ilvl="3" w:tplc="7EE0CB3C">
      <w:start w:val="1"/>
      <w:numFmt w:val="bullet"/>
      <w:lvlText w:val=""/>
      <w:lvlJc w:val="left"/>
      <w:pPr>
        <w:ind w:left="2880" w:hanging="360"/>
      </w:pPr>
      <w:rPr>
        <w:rFonts w:ascii="Symbol" w:hAnsi="Symbol" w:hint="default"/>
      </w:rPr>
    </w:lvl>
    <w:lvl w:ilvl="4" w:tplc="5A644786">
      <w:start w:val="1"/>
      <w:numFmt w:val="bullet"/>
      <w:lvlText w:val="o"/>
      <w:lvlJc w:val="left"/>
      <w:pPr>
        <w:ind w:left="3600" w:hanging="360"/>
      </w:pPr>
      <w:rPr>
        <w:rFonts w:ascii="Courier New" w:hAnsi="Courier New" w:hint="default"/>
      </w:rPr>
    </w:lvl>
    <w:lvl w:ilvl="5" w:tplc="4F387758">
      <w:start w:val="1"/>
      <w:numFmt w:val="bullet"/>
      <w:lvlText w:val=""/>
      <w:lvlJc w:val="left"/>
      <w:pPr>
        <w:ind w:left="4320" w:hanging="360"/>
      </w:pPr>
      <w:rPr>
        <w:rFonts w:ascii="Wingdings" w:hAnsi="Wingdings" w:hint="default"/>
      </w:rPr>
    </w:lvl>
    <w:lvl w:ilvl="6" w:tplc="C98CB78E">
      <w:start w:val="1"/>
      <w:numFmt w:val="bullet"/>
      <w:lvlText w:val=""/>
      <w:lvlJc w:val="left"/>
      <w:pPr>
        <w:ind w:left="5040" w:hanging="360"/>
      </w:pPr>
      <w:rPr>
        <w:rFonts w:ascii="Symbol" w:hAnsi="Symbol" w:hint="default"/>
      </w:rPr>
    </w:lvl>
    <w:lvl w:ilvl="7" w:tplc="673830DE">
      <w:start w:val="1"/>
      <w:numFmt w:val="bullet"/>
      <w:lvlText w:val="o"/>
      <w:lvlJc w:val="left"/>
      <w:pPr>
        <w:ind w:left="5760" w:hanging="360"/>
      </w:pPr>
      <w:rPr>
        <w:rFonts w:ascii="Courier New" w:hAnsi="Courier New" w:hint="default"/>
      </w:rPr>
    </w:lvl>
    <w:lvl w:ilvl="8" w:tplc="4162AF58">
      <w:start w:val="1"/>
      <w:numFmt w:val="bullet"/>
      <w:lvlText w:val=""/>
      <w:lvlJc w:val="left"/>
      <w:pPr>
        <w:ind w:left="6480" w:hanging="360"/>
      </w:pPr>
      <w:rPr>
        <w:rFonts w:ascii="Wingdings" w:hAnsi="Wingdings" w:hint="default"/>
      </w:rPr>
    </w:lvl>
  </w:abstractNum>
  <w:abstractNum w:abstractNumId="3" w15:restartNumberingAfterBreak="0">
    <w:nsid w:val="03895757"/>
    <w:multiLevelType w:val="hybridMultilevel"/>
    <w:tmpl w:val="D6AE6184"/>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575F4"/>
    <w:multiLevelType w:val="hybridMultilevel"/>
    <w:tmpl w:val="377CECD2"/>
    <w:lvl w:ilvl="0" w:tplc="A6489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2ABA"/>
    <w:multiLevelType w:val="hybridMultilevel"/>
    <w:tmpl w:val="A104A91E"/>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E2647"/>
    <w:multiLevelType w:val="hybridMultilevel"/>
    <w:tmpl w:val="44641DFC"/>
    <w:lvl w:ilvl="0" w:tplc="A0EC2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D2E11"/>
    <w:multiLevelType w:val="hybridMultilevel"/>
    <w:tmpl w:val="FECA1EDE"/>
    <w:lvl w:ilvl="0" w:tplc="7C10155C">
      <w:start w:val="1"/>
      <w:numFmt w:val="bullet"/>
      <w:lvlText w:val=""/>
      <w:lvlJc w:val="left"/>
      <w:pPr>
        <w:ind w:left="720" w:hanging="360"/>
      </w:pPr>
      <w:rPr>
        <w:rFonts w:ascii="Symbol" w:hAnsi="Symbol" w:hint="default"/>
      </w:rPr>
    </w:lvl>
    <w:lvl w:ilvl="1" w:tplc="DF8455A0">
      <w:start w:val="1"/>
      <w:numFmt w:val="bullet"/>
      <w:lvlText w:val="o"/>
      <w:lvlJc w:val="left"/>
      <w:pPr>
        <w:ind w:left="1440" w:hanging="360"/>
      </w:pPr>
      <w:rPr>
        <w:rFonts w:ascii="Courier New" w:hAnsi="Courier New" w:hint="default"/>
      </w:rPr>
    </w:lvl>
    <w:lvl w:ilvl="2" w:tplc="385CA112">
      <w:start w:val="1"/>
      <w:numFmt w:val="bullet"/>
      <w:lvlText w:val=""/>
      <w:lvlJc w:val="left"/>
      <w:pPr>
        <w:ind w:left="2160" w:hanging="360"/>
      </w:pPr>
      <w:rPr>
        <w:rFonts w:ascii="Wingdings" w:hAnsi="Wingdings" w:hint="default"/>
      </w:rPr>
    </w:lvl>
    <w:lvl w:ilvl="3" w:tplc="D4B4910A">
      <w:start w:val="1"/>
      <w:numFmt w:val="bullet"/>
      <w:lvlText w:val=""/>
      <w:lvlJc w:val="left"/>
      <w:pPr>
        <w:ind w:left="2880" w:hanging="360"/>
      </w:pPr>
      <w:rPr>
        <w:rFonts w:ascii="Symbol" w:hAnsi="Symbol" w:hint="default"/>
      </w:rPr>
    </w:lvl>
    <w:lvl w:ilvl="4" w:tplc="D67E3AD2">
      <w:start w:val="1"/>
      <w:numFmt w:val="bullet"/>
      <w:lvlText w:val="o"/>
      <w:lvlJc w:val="left"/>
      <w:pPr>
        <w:ind w:left="3600" w:hanging="360"/>
      </w:pPr>
      <w:rPr>
        <w:rFonts w:ascii="Courier New" w:hAnsi="Courier New" w:hint="default"/>
      </w:rPr>
    </w:lvl>
    <w:lvl w:ilvl="5" w:tplc="FB6886E8">
      <w:start w:val="1"/>
      <w:numFmt w:val="bullet"/>
      <w:lvlText w:val=""/>
      <w:lvlJc w:val="left"/>
      <w:pPr>
        <w:ind w:left="4320" w:hanging="360"/>
      </w:pPr>
      <w:rPr>
        <w:rFonts w:ascii="Wingdings" w:hAnsi="Wingdings" w:hint="default"/>
      </w:rPr>
    </w:lvl>
    <w:lvl w:ilvl="6" w:tplc="0BAC4798">
      <w:start w:val="1"/>
      <w:numFmt w:val="bullet"/>
      <w:lvlText w:val=""/>
      <w:lvlJc w:val="left"/>
      <w:pPr>
        <w:ind w:left="5040" w:hanging="360"/>
      </w:pPr>
      <w:rPr>
        <w:rFonts w:ascii="Symbol" w:hAnsi="Symbol" w:hint="default"/>
      </w:rPr>
    </w:lvl>
    <w:lvl w:ilvl="7" w:tplc="00366298">
      <w:start w:val="1"/>
      <w:numFmt w:val="bullet"/>
      <w:lvlText w:val="o"/>
      <w:lvlJc w:val="left"/>
      <w:pPr>
        <w:ind w:left="5760" w:hanging="360"/>
      </w:pPr>
      <w:rPr>
        <w:rFonts w:ascii="Courier New" w:hAnsi="Courier New" w:hint="default"/>
      </w:rPr>
    </w:lvl>
    <w:lvl w:ilvl="8" w:tplc="C716444A">
      <w:start w:val="1"/>
      <w:numFmt w:val="bullet"/>
      <w:lvlText w:val=""/>
      <w:lvlJc w:val="left"/>
      <w:pPr>
        <w:ind w:left="6480" w:hanging="360"/>
      </w:pPr>
      <w:rPr>
        <w:rFonts w:ascii="Wingdings" w:hAnsi="Wingdings" w:hint="default"/>
      </w:rPr>
    </w:lvl>
  </w:abstractNum>
  <w:abstractNum w:abstractNumId="8" w15:restartNumberingAfterBreak="0">
    <w:nsid w:val="181E6627"/>
    <w:multiLevelType w:val="hybridMultilevel"/>
    <w:tmpl w:val="4DD65C9A"/>
    <w:lvl w:ilvl="0" w:tplc="7C5072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112D3"/>
    <w:multiLevelType w:val="hybridMultilevel"/>
    <w:tmpl w:val="9F68C928"/>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C2EFD"/>
    <w:multiLevelType w:val="hybridMultilevel"/>
    <w:tmpl w:val="6B2C1274"/>
    <w:lvl w:ilvl="0" w:tplc="5B3679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63156"/>
    <w:multiLevelType w:val="hybridMultilevel"/>
    <w:tmpl w:val="F5A2041A"/>
    <w:lvl w:ilvl="0" w:tplc="A0EC20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C4675"/>
    <w:multiLevelType w:val="hybridMultilevel"/>
    <w:tmpl w:val="6B00561E"/>
    <w:lvl w:ilvl="0" w:tplc="12F21062">
      <w:start w:val="1"/>
      <w:numFmt w:val="bullet"/>
      <w:lvlText w:val=""/>
      <w:lvlJc w:val="left"/>
      <w:pPr>
        <w:ind w:left="720" w:hanging="360"/>
      </w:pPr>
      <w:rPr>
        <w:rFonts w:ascii="Symbol" w:hAnsi="Symbol" w:hint="default"/>
      </w:rPr>
    </w:lvl>
    <w:lvl w:ilvl="1" w:tplc="D1AEA810">
      <w:start w:val="1"/>
      <w:numFmt w:val="bullet"/>
      <w:lvlText w:val="o"/>
      <w:lvlJc w:val="left"/>
      <w:pPr>
        <w:ind w:left="1440" w:hanging="360"/>
      </w:pPr>
      <w:rPr>
        <w:rFonts w:ascii="Courier New" w:hAnsi="Courier New" w:hint="default"/>
      </w:rPr>
    </w:lvl>
    <w:lvl w:ilvl="2" w:tplc="21B46932">
      <w:start w:val="1"/>
      <w:numFmt w:val="bullet"/>
      <w:lvlText w:val=""/>
      <w:lvlJc w:val="left"/>
      <w:pPr>
        <w:ind w:left="2160" w:hanging="360"/>
      </w:pPr>
      <w:rPr>
        <w:rFonts w:ascii="Wingdings" w:hAnsi="Wingdings" w:hint="default"/>
      </w:rPr>
    </w:lvl>
    <w:lvl w:ilvl="3" w:tplc="2F508E8C">
      <w:start w:val="1"/>
      <w:numFmt w:val="bullet"/>
      <w:lvlText w:val=""/>
      <w:lvlJc w:val="left"/>
      <w:pPr>
        <w:ind w:left="2880" w:hanging="360"/>
      </w:pPr>
      <w:rPr>
        <w:rFonts w:ascii="Symbol" w:hAnsi="Symbol" w:hint="default"/>
      </w:rPr>
    </w:lvl>
    <w:lvl w:ilvl="4" w:tplc="0046FE78">
      <w:start w:val="1"/>
      <w:numFmt w:val="bullet"/>
      <w:lvlText w:val="o"/>
      <w:lvlJc w:val="left"/>
      <w:pPr>
        <w:ind w:left="3600" w:hanging="360"/>
      </w:pPr>
      <w:rPr>
        <w:rFonts w:ascii="Courier New" w:hAnsi="Courier New" w:hint="default"/>
      </w:rPr>
    </w:lvl>
    <w:lvl w:ilvl="5" w:tplc="F64C7F52">
      <w:start w:val="1"/>
      <w:numFmt w:val="bullet"/>
      <w:lvlText w:val=""/>
      <w:lvlJc w:val="left"/>
      <w:pPr>
        <w:ind w:left="4320" w:hanging="360"/>
      </w:pPr>
      <w:rPr>
        <w:rFonts w:ascii="Wingdings" w:hAnsi="Wingdings" w:hint="default"/>
      </w:rPr>
    </w:lvl>
    <w:lvl w:ilvl="6" w:tplc="01F8C884">
      <w:start w:val="1"/>
      <w:numFmt w:val="bullet"/>
      <w:lvlText w:val=""/>
      <w:lvlJc w:val="left"/>
      <w:pPr>
        <w:ind w:left="5040" w:hanging="360"/>
      </w:pPr>
      <w:rPr>
        <w:rFonts w:ascii="Symbol" w:hAnsi="Symbol" w:hint="default"/>
      </w:rPr>
    </w:lvl>
    <w:lvl w:ilvl="7" w:tplc="F2649398">
      <w:start w:val="1"/>
      <w:numFmt w:val="bullet"/>
      <w:lvlText w:val="o"/>
      <w:lvlJc w:val="left"/>
      <w:pPr>
        <w:ind w:left="5760" w:hanging="360"/>
      </w:pPr>
      <w:rPr>
        <w:rFonts w:ascii="Courier New" w:hAnsi="Courier New" w:hint="default"/>
      </w:rPr>
    </w:lvl>
    <w:lvl w:ilvl="8" w:tplc="B314AE46">
      <w:start w:val="1"/>
      <w:numFmt w:val="bullet"/>
      <w:lvlText w:val=""/>
      <w:lvlJc w:val="left"/>
      <w:pPr>
        <w:ind w:left="6480" w:hanging="360"/>
      </w:pPr>
      <w:rPr>
        <w:rFonts w:ascii="Wingdings" w:hAnsi="Wingdings" w:hint="default"/>
      </w:rPr>
    </w:lvl>
  </w:abstractNum>
  <w:abstractNum w:abstractNumId="13" w15:restartNumberingAfterBreak="0">
    <w:nsid w:val="33447579"/>
    <w:multiLevelType w:val="hybridMultilevel"/>
    <w:tmpl w:val="F892887A"/>
    <w:lvl w:ilvl="0" w:tplc="1B025F28">
      <w:start w:val="1"/>
      <w:numFmt w:val="bullet"/>
      <w:lvlText w:val="·"/>
      <w:lvlJc w:val="left"/>
      <w:pPr>
        <w:ind w:left="720" w:hanging="360"/>
      </w:pPr>
      <w:rPr>
        <w:rFonts w:ascii="Symbol" w:hAnsi="Symbol" w:hint="default"/>
      </w:rPr>
    </w:lvl>
    <w:lvl w:ilvl="1" w:tplc="E89C589A">
      <w:start w:val="1"/>
      <w:numFmt w:val="bullet"/>
      <w:lvlText w:val="o"/>
      <w:lvlJc w:val="left"/>
      <w:pPr>
        <w:ind w:left="1440" w:hanging="360"/>
      </w:pPr>
      <w:rPr>
        <w:rFonts w:ascii="Courier New" w:hAnsi="Courier New" w:hint="default"/>
      </w:rPr>
    </w:lvl>
    <w:lvl w:ilvl="2" w:tplc="5D7AA376">
      <w:start w:val="1"/>
      <w:numFmt w:val="bullet"/>
      <w:lvlText w:val=""/>
      <w:lvlJc w:val="left"/>
      <w:pPr>
        <w:ind w:left="2160" w:hanging="360"/>
      </w:pPr>
      <w:rPr>
        <w:rFonts w:ascii="Wingdings" w:hAnsi="Wingdings" w:hint="default"/>
      </w:rPr>
    </w:lvl>
    <w:lvl w:ilvl="3" w:tplc="6E44A494">
      <w:start w:val="1"/>
      <w:numFmt w:val="bullet"/>
      <w:lvlText w:val=""/>
      <w:lvlJc w:val="left"/>
      <w:pPr>
        <w:ind w:left="2880" w:hanging="360"/>
      </w:pPr>
      <w:rPr>
        <w:rFonts w:ascii="Symbol" w:hAnsi="Symbol" w:hint="default"/>
      </w:rPr>
    </w:lvl>
    <w:lvl w:ilvl="4" w:tplc="73A628EC">
      <w:start w:val="1"/>
      <w:numFmt w:val="bullet"/>
      <w:lvlText w:val="o"/>
      <w:lvlJc w:val="left"/>
      <w:pPr>
        <w:ind w:left="3600" w:hanging="360"/>
      </w:pPr>
      <w:rPr>
        <w:rFonts w:ascii="Courier New" w:hAnsi="Courier New" w:hint="default"/>
      </w:rPr>
    </w:lvl>
    <w:lvl w:ilvl="5" w:tplc="2E94345E">
      <w:start w:val="1"/>
      <w:numFmt w:val="bullet"/>
      <w:lvlText w:val=""/>
      <w:lvlJc w:val="left"/>
      <w:pPr>
        <w:ind w:left="4320" w:hanging="360"/>
      </w:pPr>
      <w:rPr>
        <w:rFonts w:ascii="Wingdings" w:hAnsi="Wingdings" w:hint="default"/>
      </w:rPr>
    </w:lvl>
    <w:lvl w:ilvl="6" w:tplc="84EE4828">
      <w:start w:val="1"/>
      <w:numFmt w:val="bullet"/>
      <w:lvlText w:val=""/>
      <w:lvlJc w:val="left"/>
      <w:pPr>
        <w:ind w:left="5040" w:hanging="360"/>
      </w:pPr>
      <w:rPr>
        <w:rFonts w:ascii="Symbol" w:hAnsi="Symbol" w:hint="default"/>
      </w:rPr>
    </w:lvl>
    <w:lvl w:ilvl="7" w:tplc="7F1848F6">
      <w:start w:val="1"/>
      <w:numFmt w:val="bullet"/>
      <w:lvlText w:val="o"/>
      <w:lvlJc w:val="left"/>
      <w:pPr>
        <w:ind w:left="5760" w:hanging="360"/>
      </w:pPr>
      <w:rPr>
        <w:rFonts w:ascii="Courier New" w:hAnsi="Courier New" w:hint="default"/>
      </w:rPr>
    </w:lvl>
    <w:lvl w:ilvl="8" w:tplc="64AEDB5E">
      <w:start w:val="1"/>
      <w:numFmt w:val="bullet"/>
      <w:lvlText w:val=""/>
      <w:lvlJc w:val="left"/>
      <w:pPr>
        <w:ind w:left="6480" w:hanging="360"/>
      </w:pPr>
      <w:rPr>
        <w:rFonts w:ascii="Wingdings" w:hAnsi="Wingdings" w:hint="default"/>
      </w:rPr>
    </w:lvl>
  </w:abstractNum>
  <w:abstractNum w:abstractNumId="14" w15:restartNumberingAfterBreak="0">
    <w:nsid w:val="3CF4292F"/>
    <w:multiLevelType w:val="hybridMultilevel"/>
    <w:tmpl w:val="711CBEC8"/>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C30AF7"/>
    <w:multiLevelType w:val="hybridMultilevel"/>
    <w:tmpl w:val="7F0C7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65035"/>
    <w:multiLevelType w:val="hybridMultilevel"/>
    <w:tmpl w:val="6DD4C794"/>
    <w:lvl w:ilvl="0" w:tplc="299EEC94">
      <w:start w:val="1"/>
      <w:numFmt w:val="bullet"/>
      <w:lvlText w:val="-"/>
      <w:lvlJc w:val="left"/>
      <w:pPr>
        <w:ind w:left="720" w:hanging="360"/>
      </w:pPr>
      <w:rPr>
        <w:rFonts w:ascii="Calibri" w:hAnsi="Calibri" w:hint="default"/>
      </w:rPr>
    </w:lvl>
    <w:lvl w:ilvl="1" w:tplc="867E1EB2">
      <w:start w:val="1"/>
      <w:numFmt w:val="bullet"/>
      <w:lvlText w:val="o"/>
      <w:lvlJc w:val="left"/>
      <w:pPr>
        <w:ind w:left="1440" w:hanging="360"/>
      </w:pPr>
      <w:rPr>
        <w:rFonts w:ascii="Courier New" w:hAnsi="Courier New" w:hint="default"/>
      </w:rPr>
    </w:lvl>
    <w:lvl w:ilvl="2" w:tplc="1A885110">
      <w:start w:val="1"/>
      <w:numFmt w:val="bullet"/>
      <w:lvlText w:val=""/>
      <w:lvlJc w:val="left"/>
      <w:pPr>
        <w:ind w:left="2160" w:hanging="360"/>
      </w:pPr>
      <w:rPr>
        <w:rFonts w:ascii="Wingdings" w:hAnsi="Wingdings" w:hint="default"/>
      </w:rPr>
    </w:lvl>
    <w:lvl w:ilvl="3" w:tplc="24A05EF2">
      <w:start w:val="1"/>
      <w:numFmt w:val="bullet"/>
      <w:lvlText w:val=""/>
      <w:lvlJc w:val="left"/>
      <w:pPr>
        <w:ind w:left="2880" w:hanging="360"/>
      </w:pPr>
      <w:rPr>
        <w:rFonts w:ascii="Symbol" w:hAnsi="Symbol" w:hint="default"/>
      </w:rPr>
    </w:lvl>
    <w:lvl w:ilvl="4" w:tplc="025039B2">
      <w:start w:val="1"/>
      <w:numFmt w:val="bullet"/>
      <w:lvlText w:val="o"/>
      <w:lvlJc w:val="left"/>
      <w:pPr>
        <w:ind w:left="3600" w:hanging="360"/>
      </w:pPr>
      <w:rPr>
        <w:rFonts w:ascii="Courier New" w:hAnsi="Courier New" w:hint="default"/>
      </w:rPr>
    </w:lvl>
    <w:lvl w:ilvl="5" w:tplc="C16E2190">
      <w:start w:val="1"/>
      <w:numFmt w:val="bullet"/>
      <w:lvlText w:val=""/>
      <w:lvlJc w:val="left"/>
      <w:pPr>
        <w:ind w:left="4320" w:hanging="360"/>
      </w:pPr>
      <w:rPr>
        <w:rFonts w:ascii="Wingdings" w:hAnsi="Wingdings" w:hint="default"/>
      </w:rPr>
    </w:lvl>
    <w:lvl w:ilvl="6" w:tplc="0FD25DB2">
      <w:start w:val="1"/>
      <w:numFmt w:val="bullet"/>
      <w:lvlText w:val=""/>
      <w:lvlJc w:val="left"/>
      <w:pPr>
        <w:ind w:left="5040" w:hanging="360"/>
      </w:pPr>
      <w:rPr>
        <w:rFonts w:ascii="Symbol" w:hAnsi="Symbol" w:hint="default"/>
      </w:rPr>
    </w:lvl>
    <w:lvl w:ilvl="7" w:tplc="ED7A04E0">
      <w:start w:val="1"/>
      <w:numFmt w:val="bullet"/>
      <w:lvlText w:val="o"/>
      <w:lvlJc w:val="left"/>
      <w:pPr>
        <w:ind w:left="5760" w:hanging="360"/>
      </w:pPr>
      <w:rPr>
        <w:rFonts w:ascii="Courier New" w:hAnsi="Courier New" w:hint="default"/>
      </w:rPr>
    </w:lvl>
    <w:lvl w:ilvl="8" w:tplc="6F907D14">
      <w:start w:val="1"/>
      <w:numFmt w:val="bullet"/>
      <w:lvlText w:val=""/>
      <w:lvlJc w:val="left"/>
      <w:pPr>
        <w:ind w:left="6480" w:hanging="360"/>
      </w:pPr>
      <w:rPr>
        <w:rFonts w:ascii="Wingdings" w:hAnsi="Wingdings" w:hint="default"/>
      </w:rPr>
    </w:lvl>
  </w:abstractNum>
  <w:abstractNum w:abstractNumId="17" w15:restartNumberingAfterBreak="0">
    <w:nsid w:val="445B2671"/>
    <w:multiLevelType w:val="hybridMultilevel"/>
    <w:tmpl w:val="DCE035CA"/>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F7FBE"/>
    <w:multiLevelType w:val="hybridMultilevel"/>
    <w:tmpl w:val="055E2BEA"/>
    <w:lvl w:ilvl="0" w:tplc="36224254">
      <w:start w:val="1"/>
      <w:numFmt w:val="bullet"/>
      <w:lvlText w:val="-"/>
      <w:lvlJc w:val="left"/>
      <w:pPr>
        <w:ind w:left="720" w:hanging="360"/>
      </w:pPr>
      <w:rPr>
        <w:rFonts w:ascii="Symbol" w:hAnsi="Symbol" w:hint="default"/>
      </w:rPr>
    </w:lvl>
    <w:lvl w:ilvl="1" w:tplc="155026CA">
      <w:start w:val="1"/>
      <w:numFmt w:val="bullet"/>
      <w:lvlText w:val="o"/>
      <w:lvlJc w:val="left"/>
      <w:pPr>
        <w:ind w:left="1440" w:hanging="360"/>
      </w:pPr>
      <w:rPr>
        <w:rFonts w:ascii="Courier New" w:hAnsi="Courier New" w:hint="default"/>
      </w:rPr>
    </w:lvl>
    <w:lvl w:ilvl="2" w:tplc="60C02F50">
      <w:start w:val="1"/>
      <w:numFmt w:val="bullet"/>
      <w:lvlText w:val=""/>
      <w:lvlJc w:val="left"/>
      <w:pPr>
        <w:ind w:left="2160" w:hanging="360"/>
      </w:pPr>
      <w:rPr>
        <w:rFonts w:ascii="Wingdings" w:hAnsi="Wingdings" w:hint="default"/>
      </w:rPr>
    </w:lvl>
    <w:lvl w:ilvl="3" w:tplc="90AC9996">
      <w:start w:val="1"/>
      <w:numFmt w:val="bullet"/>
      <w:lvlText w:val=""/>
      <w:lvlJc w:val="left"/>
      <w:pPr>
        <w:ind w:left="2880" w:hanging="360"/>
      </w:pPr>
      <w:rPr>
        <w:rFonts w:ascii="Symbol" w:hAnsi="Symbol" w:hint="default"/>
      </w:rPr>
    </w:lvl>
    <w:lvl w:ilvl="4" w:tplc="972AA888">
      <w:start w:val="1"/>
      <w:numFmt w:val="bullet"/>
      <w:lvlText w:val="o"/>
      <w:lvlJc w:val="left"/>
      <w:pPr>
        <w:ind w:left="3600" w:hanging="360"/>
      </w:pPr>
      <w:rPr>
        <w:rFonts w:ascii="Courier New" w:hAnsi="Courier New" w:hint="default"/>
      </w:rPr>
    </w:lvl>
    <w:lvl w:ilvl="5" w:tplc="150CE7B0">
      <w:start w:val="1"/>
      <w:numFmt w:val="bullet"/>
      <w:lvlText w:val=""/>
      <w:lvlJc w:val="left"/>
      <w:pPr>
        <w:ind w:left="4320" w:hanging="360"/>
      </w:pPr>
      <w:rPr>
        <w:rFonts w:ascii="Wingdings" w:hAnsi="Wingdings" w:hint="default"/>
      </w:rPr>
    </w:lvl>
    <w:lvl w:ilvl="6" w:tplc="CC1A7F0E">
      <w:start w:val="1"/>
      <w:numFmt w:val="bullet"/>
      <w:lvlText w:val=""/>
      <w:lvlJc w:val="left"/>
      <w:pPr>
        <w:ind w:left="5040" w:hanging="360"/>
      </w:pPr>
      <w:rPr>
        <w:rFonts w:ascii="Symbol" w:hAnsi="Symbol" w:hint="default"/>
      </w:rPr>
    </w:lvl>
    <w:lvl w:ilvl="7" w:tplc="B694BE68">
      <w:start w:val="1"/>
      <w:numFmt w:val="bullet"/>
      <w:lvlText w:val="o"/>
      <w:lvlJc w:val="left"/>
      <w:pPr>
        <w:ind w:left="5760" w:hanging="360"/>
      </w:pPr>
      <w:rPr>
        <w:rFonts w:ascii="Courier New" w:hAnsi="Courier New" w:hint="default"/>
      </w:rPr>
    </w:lvl>
    <w:lvl w:ilvl="8" w:tplc="32C41B08">
      <w:start w:val="1"/>
      <w:numFmt w:val="bullet"/>
      <w:lvlText w:val=""/>
      <w:lvlJc w:val="left"/>
      <w:pPr>
        <w:ind w:left="6480" w:hanging="360"/>
      </w:pPr>
      <w:rPr>
        <w:rFonts w:ascii="Wingdings" w:hAnsi="Wingdings" w:hint="default"/>
      </w:rPr>
    </w:lvl>
  </w:abstractNum>
  <w:abstractNum w:abstractNumId="19" w15:restartNumberingAfterBreak="0">
    <w:nsid w:val="4854005F"/>
    <w:multiLevelType w:val="hybridMultilevel"/>
    <w:tmpl w:val="CA141B3E"/>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71D4"/>
    <w:multiLevelType w:val="hybridMultilevel"/>
    <w:tmpl w:val="22186ECE"/>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872BBD"/>
    <w:multiLevelType w:val="hybridMultilevel"/>
    <w:tmpl w:val="7EB4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16D8E"/>
    <w:multiLevelType w:val="multilevel"/>
    <w:tmpl w:val="73B8E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932BF6"/>
    <w:multiLevelType w:val="hybridMultilevel"/>
    <w:tmpl w:val="52C0E2E6"/>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E714B"/>
    <w:multiLevelType w:val="hybridMultilevel"/>
    <w:tmpl w:val="175A1F6E"/>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D9187D"/>
    <w:multiLevelType w:val="hybridMultilevel"/>
    <w:tmpl w:val="4984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FE2B8F"/>
    <w:multiLevelType w:val="hybridMultilevel"/>
    <w:tmpl w:val="83B40D66"/>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521B4"/>
    <w:multiLevelType w:val="hybridMultilevel"/>
    <w:tmpl w:val="7430F102"/>
    <w:lvl w:ilvl="0" w:tplc="CB8A2BB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869B3"/>
    <w:multiLevelType w:val="hybridMultilevel"/>
    <w:tmpl w:val="A8EE3A6C"/>
    <w:lvl w:ilvl="0" w:tplc="B7722B86">
      <w:start w:val="1"/>
      <w:numFmt w:val="decimal"/>
      <w:lvlText w:val="%1."/>
      <w:lvlJc w:val="left"/>
      <w:pPr>
        <w:ind w:left="720" w:hanging="360"/>
      </w:pPr>
    </w:lvl>
    <w:lvl w:ilvl="1" w:tplc="3C1AFA26">
      <w:start w:val="1"/>
      <w:numFmt w:val="lowerLetter"/>
      <w:lvlText w:val="%2."/>
      <w:lvlJc w:val="left"/>
      <w:pPr>
        <w:ind w:left="1440" w:hanging="360"/>
      </w:pPr>
    </w:lvl>
    <w:lvl w:ilvl="2" w:tplc="23E8C534">
      <w:start w:val="1"/>
      <w:numFmt w:val="lowerRoman"/>
      <w:lvlText w:val="%3."/>
      <w:lvlJc w:val="right"/>
      <w:pPr>
        <w:ind w:left="2160" w:hanging="180"/>
      </w:pPr>
    </w:lvl>
    <w:lvl w:ilvl="3" w:tplc="0DB8938A">
      <w:start w:val="1"/>
      <w:numFmt w:val="decimal"/>
      <w:lvlText w:val="%4."/>
      <w:lvlJc w:val="left"/>
      <w:pPr>
        <w:ind w:left="2880" w:hanging="360"/>
      </w:pPr>
    </w:lvl>
    <w:lvl w:ilvl="4" w:tplc="BEA088BC">
      <w:start w:val="1"/>
      <w:numFmt w:val="lowerLetter"/>
      <w:lvlText w:val="%5."/>
      <w:lvlJc w:val="left"/>
      <w:pPr>
        <w:ind w:left="3600" w:hanging="360"/>
      </w:pPr>
    </w:lvl>
    <w:lvl w:ilvl="5" w:tplc="382C587A">
      <w:start w:val="1"/>
      <w:numFmt w:val="lowerRoman"/>
      <w:lvlText w:val="%6."/>
      <w:lvlJc w:val="right"/>
      <w:pPr>
        <w:ind w:left="4320" w:hanging="180"/>
      </w:pPr>
    </w:lvl>
    <w:lvl w:ilvl="6" w:tplc="BB02B6E0">
      <w:start w:val="1"/>
      <w:numFmt w:val="decimal"/>
      <w:lvlText w:val="%7."/>
      <w:lvlJc w:val="left"/>
      <w:pPr>
        <w:ind w:left="5040" w:hanging="360"/>
      </w:pPr>
    </w:lvl>
    <w:lvl w:ilvl="7" w:tplc="65B8AA60">
      <w:start w:val="1"/>
      <w:numFmt w:val="lowerLetter"/>
      <w:lvlText w:val="%8."/>
      <w:lvlJc w:val="left"/>
      <w:pPr>
        <w:ind w:left="5760" w:hanging="360"/>
      </w:pPr>
    </w:lvl>
    <w:lvl w:ilvl="8" w:tplc="B5E6C4C4">
      <w:start w:val="1"/>
      <w:numFmt w:val="lowerRoman"/>
      <w:lvlText w:val="%9."/>
      <w:lvlJc w:val="right"/>
      <w:pPr>
        <w:ind w:left="6480" w:hanging="180"/>
      </w:pPr>
    </w:lvl>
  </w:abstractNum>
  <w:num w:numId="1">
    <w:abstractNumId w:val="18"/>
  </w:num>
  <w:num w:numId="2">
    <w:abstractNumId w:val="13"/>
  </w:num>
  <w:num w:numId="3">
    <w:abstractNumId w:val="12"/>
  </w:num>
  <w:num w:numId="4">
    <w:abstractNumId w:val="28"/>
  </w:num>
  <w:num w:numId="5">
    <w:abstractNumId w:val="7"/>
  </w:num>
  <w:num w:numId="6">
    <w:abstractNumId w:val="2"/>
  </w:num>
  <w:num w:numId="7">
    <w:abstractNumId w:val="0"/>
  </w:num>
  <w:num w:numId="8">
    <w:abstractNumId w:val="16"/>
  </w:num>
  <w:num w:numId="9">
    <w:abstractNumId w:val="15"/>
  </w:num>
  <w:num w:numId="10">
    <w:abstractNumId w:val="8"/>
  </w:num>
  <w:num w:numId="11">
    <w:abstractNumId w:val="4"/>
  </w:num>
  <w:num w:numId="12">
    <w:abstractNumId w:val="6"/>
  </w:num>
  <w:num w:numId="13">
    <w:abstractNumId w:val="11"/>
  </w:num>
  <w:num w:numId="14">
    <w:abstractNumId w:val="25"/>
  </w:num>
  <w:num w:numId="15">
    <w:abstractNumId w:val="22"/>
  </w:num>
  <w:num w:numId="16">
    <w:abstractNumId w:val="24"/>
  </w:num>
  <w:num w:numId="17">
    <w:abstractNumId w:val="17"/>
  </w:num>
  <w:num w:numId="18">
    <w:abstractNumId w:val="1"/>
  </w:num>
  <w:num w:numId="19">
    <w:abstractNumId w:val="19"/>
  </w:num>
  <w:num w:numId="20">
    <w:abstractNumId w:val="20"/>
  </w:num>
  <w:num w:numId="21">
    <w:abstractNumId w:val="9"/>
  </w:num>
  <w:num w:numId="22">
    <w:abstractNumId w:val="23"/>
  </w:num>
  <w:num w:numId="23">
    <w:abstractNumId w:val="21"/>
  </w:num>
  <w:num w:numId="24">
    <w:abstractNumId w:val="26"/>
  </w:num>
  <w:num w:numId="25">
    <w:abstractNumId w:val="3"/>
  </w:num>
  <w:num w:numId="26">
    <w:abstractNumId w:val="27"/>
  </w:num>
  <w:num w:numId="27">
    <w:abstractNumId w:val="14"/>
  </w:num>
  <w:num w:numId="28">
    <w:abstractNumId w:val="5"/>
  </w:num>
  <w:num w:numId="2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0NTc2NDCwNDYyMLRU0lEKTi0uzszPAykwrgUAPuwpzCwAAAA="/>
  </w:docVars>
  <w:rsids>
    <w:rsidRoot w:val="00FA0312"/>
    <w:rsid w:val="0000067B"/>
    <w:rsid w:val="00001151"/>
    <w:rsid w:val="00001205"/>
    <w:rsid w:val="00002B4F"/>
    <w:rsid w:val="00002C11"/>
    <w:rsid w:val="0000689B"/>
    <w:rsid w:val="00007002"/>
    <w:rsid w:val="00015FE8"/>
    <w:rsid w:val="00016601"/>
    <w:rsid w:val="00016DD0"/>
    <w:rsid w:val="00016FBC"/>
    <w:rsid w:val="00023596"/>
    <w:rsid w:val="00023F4E"/>
    <w:rsid w:val="00026C9B"/>
    <w:rsid w:val="00027713"/>
    <w:rsid w:val="00030294"/>
    <w:rsid w:val="000302EF"/>
    <w:rsid w:val="0003267C"/>
    <w:rsid w:val="000339AE"/>
    <w:rsid w:val="000373A1"/>
    <w:rsid w:val="00043B70"/>
    <w:rsid w:val="00044B49"/>
    <w:rsid w:val="000474CA"/>
    <w:rsid w:val="000475A9"/>
    <w:rsid w:val="00050674"/>
    <w:rsid w:val="00053194"/>
    <w:rsid w:val="0005623F"/>
    <w:rsid w:val="00057A38"/>
    <w:rsid w:val="00057A69"/>
    <w:rsid w:val="00063925"/>
    <w:rsid w:val="000670D5"/>
    <w:rsid w:val="00067113"/>
    <w:rsid w:val="000675CB"/>
    <w:rsid w:val="0007083D"/>
    <w:rsid w:val="00070D42"/>
    <w:rsid w:val="00071A82"/>
    <w:rsid w:val="00072AC5"/>
    <w:rsid w:val="00074F9E"/>
    <w:rsid w:val="00075734"/>
    <w:rsid w:val="00075A4B"/>
    <w:rsid w:val="00076C2B"/>
    <w:rsid w:val="00077252"/>
    <w:rsid w:val="00081C6F"/>
    <w:rsid w:val="00083DA1"/>
    <w:rsid w:val="000903F8"/>
    <w:rsid w:val="00090C59"/>
    <w:rsid w:val="00091CD1"/>
    <w:rsid w:val="000926A2"/>
    <w:rsid w:val="000970F6"/>
    <w:rsid w:val="00097B0B"/>
    <w:rsid w:val="000A1194"/>
    <w:rsid w:val="000A2518"/>
    <w:rsid w:val="000A282F"/>
    <w:rsid w:val="000A38A1"/>
    <w:rsid w:val="000A5102"/>
    <w:rsid w:val="000A55AF"/>
    <w:rsid w:val="000A72FC"/>
    <w:rsid w:val="000B059B"/>
    <w:rsid w:val="000B19BD"/>
    <w:rsid w:val="000B3841"/>
    <w:rsid w:val="000B4418"/>
    <w:rsid w:val="000B6B07"/>
    <w:rsid w:val="000C1BC5"/>
    <w:rsid w:val="000C31E4"/>
    <w:rsid w:val="000C560C"/>
    <w:rsid w:val="000C5F17"/>
    <w:rsid w:val="000C7575"/>
    <w:rsid w:val="000C7D01"/>
    <w:rsid w:val="000E1EBD"/>
    <w:rsid w:val="000E216C"/>
    <w:rsid w:val="000E2519"/>
    <w:rsid w:val="000E270F"/>
    <w:rsid w:val="000E277B"/>
    <w:rsid w:val="000E32B8"/>
    <w:rsid w:val="000E4FAF"/>
    <w:rsid w:val="000F49FC"/>
    <w:rsid w:val="000F5612"/>
    <w:rsid w:val="000F70AE"/>
    <w:rsid w:val="000F7F4E"/>
    <w:rsid w:val="0010039D"/>
    <w:rsid w:val="001009D0"/>
    <w:rsid w:val="00100F4C"/>
    <w:rsid w:val="00101B7A"/>
    <w:rsid w:val="001029B3"/>
    <w:rsid w:val="00103F01"/>
    <w:rsid w:val="00104C7C"/>
    <w:rsid w:val="00106663"/>
    <w:rsid w:val="001105A7"/>
    <w:rsid w:val="00111E63"/>
    <w:rsid w:val="001149E0"/>
    <w:rsid w:val="001164EC"/>
    <w:rsid w:val="00116B4C"/>
    <w:rsid w:val="00116D26"/>
    <w:rsid w:val="0012051C"/>
    <w:rsid w:val="00121165"/>
    <w:rsid w:val="00121A52"/>
    <w:rsid w:val="00125DC0"/>
    <w:rsid w:val="001264C2"/>
    <w:rsid w:val="00126FBE"/>
    <w:rsid w:val="00127388"/>
    <w:rsid w:val="00127B79"/>
    <w:rsid w:val="001305FF"/>
    <w:rsid w:val="0013159A"/>
    <w:rsid w:val="00132C1C"/>
    <w:rsid w:val="00132EC6"/>
    <w:rsid w:val="001339BA"/>
    <w:rsid w:val="00134866"/>
    <w:rsid w:val="00135597"/>
    <w:rsid w:val="00135726"/>
    <w:rsid w:val="0014128A"/>
    <w:rsid w:val="001423F3"/>
    <w:rsid w:val="001433BB"/>
    <w:rsid w:val="00145D2D"/>
    <w:rsid w:val="001477BB"/>
    <w:rsid w:val="00152D46"/>
    <w:rsid w:val="00155AB4"/>
    <w:rsid w:val="00156A64"/>
    <w:rsid w:val="001637A3"/>
    <w:rsid w:val="00164362"/>
    <w:rsid w:val="001656AB"/>
    <w:rsid w:val="00173AE4"/>
    <w:rsid w:val="001761A1"/>
    <w:rsid w:val="00177841"/>
    <w:rsid w:val="001779C8"/>
    <w:rsid w:val="00180DFE"/>
    <w:rsid w:val="00181B11"/>
    <w:rsid w:val="00185028"/>
    <w:rsid w:val="0018686C"/>
    <w:rsid w:val="00186C9B"/>
    <w:rsid w:val="00193D68"/>
    <w:rsid w:val="00195816"/>
    <w:rsid w:val="00195894"/>
    <w:rsid w:val="001A0FE8"/>
    <w:rsid w:val="001A1273"/>
    <w:rsid w:val="001A3112"/>
    <w:rsid w:val="001A6F9F"/>
    <w:rsid w:val="001B29E0"/>
    <w:rsid w:val="001B3D03"/>
    <w:rsid w:val="001B53B8"/>
    <w:rsid w:val="001B5581"/>
    <w:rsid w:val="001B673B"/>
    <w:rsid w:val="001C201D"/>
    <w:rsid w:val="001C4B78"/>
    <w:rsid w:val="001C7BB7"/>
    <w:rsid w:val="001C7EA3"/>
    <w:rsid w:val="001D0150"/>
    <w:rsid w:val="001D2C33"/>
    <w:rsid w:val="001D2DEA"/>
    <w:rsid w:val="001D55C8"/>
    <w:rsid w:val="001D688F"/>
    <w:rsid w:val="001E3F37"/>
    <w:rsid w:val="001E7A98"/>
    <w:rsid w:val="001F06D1"/>
    <w:rsid w:val="001F0818"/>
    <w:rsid w:val="001F0B39"/>
    <w:rsid w:val="001F0F19"/>
    <w:rsid w:val="0020011C"/>
    <w:rsid w:val="00205789"/>
    <w:rsid w:val="0020682B"/>
    <w:rsid w:val="00212710"/>
    <w:rsid w:val="00213384"/>
    <w:rsid w:val="00216F93"/>
    <w:rsid w:val="0022003B"/>
    <w:rsid w:val="00222643"/>
    <w:rsid w:val="00222B79"/>
    <w:rsid w:val="00223CC2"/>
    <w:rsid w:val="002253D2"/>
    <w:rsid w:val="002352D1"/>
    <w:rsid w:val="00235E3E"/>
    <w:rsid w:val="00237B8D"/>
    <w:rsid w:val="00237D2C"/>
    <w:rsid w:val="0024058A"/>
    <w:rsid w:val="00243B0C"/>
    <w:rsid w:val="00246814"/>
    <w:rsid w:val="0025250A"/>
    <w:rsid w:val="002575C3"/>
    <w:rsid w:val="00262622"/>
    <w:rsid w:val="00266634"/>
    <w:rsid w:val="00266BD1"/>
    <w:rsid w:val="002702A6"/>
    <w:rsid w:val="00270C5F"/>
    <w:rsid w:val="002718D2"/>
    <w:rsid w:val="0027199A"/>
    <w:rsid w:val="002730A2"/>
    <w:rsid w:val="00273318"/>
    <w:rsid w:val="00284689"/>
    <w:rsid w:val="00285E8A"/>
    <w:rsid w:val="002867D3"/>
    <w:rsid w:val="0028698A"/>
    <w:rsid w:val="0029041B"/>
    <w:rsid w:val="00292A86"/>
    <w:rsid w:val="0029427F"/>
    <w:rsid w:val="00294776"/>
    <w:rsid w:val="00295EF0"/>
    <w:rsid w:val="002A0361"/>
    <w:rsid w:val="002A08E5"/>
    <w:rsid w:val="002A0958"/>
    <w:rsid w:val="002A123E"/>
    <w:rsid w:val="002A454E"/>
    <w:rsid w:val="002A6CE1"/>
    <w:rsid w:val="002B06EC"/>
    <w:rsid w:val="002B3D90"/>
    <w:rsid w:val="002C0173"/>
    <w:rsid w:val="002C2705"/>
    <w:rsid w:val="002C343D"/>
    <w:rsid w:val="002C7396"/>
    <w:rsid w:val="002C74C2"/>
    <w:rsid w:val="002D1619"/>
    <w:rsid w:val="002D217F"/>
    <w:rsid w:val="002D5D7B"/>
    <w:rsid w:val="002D6FB0"/>
    <w:rsid w:val="002D78FE"/>
    <w:rsid w:val="002E1B7D"/>
    <w:rsid w:val="002E1C72"/>
    <w:rsid w:val="002E7531"/>
    <w:rsid w:val="002E7B10"/>
    <w:rsid w:val="002F4615"/>
    <w:rsid w:val="002F466A"/>
    <w:rsid w:val="002F679C"/>
    <w:rsid w:val="0030022E"/>
    <w:rsid w:val="00300386"/>
    <w:rsid w:val="00302BBF"/>
    <w:rsid w:val="00304398"/>
    <w:rsid w:val="0030457E"/>
    <w:rsid w:val="00311BFC"/>
    <w:rsid w:val="003130A8"/>
    <w:rsid w:val="00325EE0"/>
    <w:rsid w:val="00333017"/>
    <w:rsid w:val="003352A4"/>
    <w:rsid w:val="0034218F"/>
    <w:rsid w:val="0034325B"/>
    <w:rsid w:val="00345BD8"/>
    <w:rsid w:val="003460A5"/>
    <w:rsid w:val="00346284"/>
    <w:rsid w:val="00346A6C"/>
    <w:rsid w:val="00347C1E"/>
    <w:rsid w:val="00347DF8"/>
    <w:rsid w:val="003509AA"/>
    <w:rsid w:val="00355063"/>
    <w:rsid w:val="0035774E"/>
    <w:rsid w:val="0036221A"/>
    <w:rsid w:val="003622FD"/>
    <w:rsid w:val="00363202"/>
    <w:rsid w:val="003656CB"/>
    <w:rsid w:val="00367BA7"/>
    <w:rsid w:val="0037128E"/>
    <w:rsid w:val="00372F07"/>
    <w:rsid w:val="00373335"/>
    <w:rsid w:val="00374170"/>
    <w:rsid w:val="003762D1"/>
    <w:rsid w:val="00381476"/>
    <w:rsid w:val="00382FB8"/>
    <w:rsid w:val="003845AA"/>
    <w:rsid w:val="003847BF"/>
    <w:rsid w:val="00387430"/>
    <w:rsid w:val="003908EC"/>
    <w:rsid w:val="0039134D"/>
    <w:rsid w:val="00393651"/>
    <w:rsid w:val="00394B02"/>
    <w:rsid w:val="003A1D86"/>
    <w:rsid w:val="003A24FC"/>
    <w:rsid w:val="003A3A44"/>
    <w:rsid w:val="003A711C"/>
    <w:rsid w:val="003B064D"/>
    <w:rsid w:val="003B30BF"/>
    <w:rsid w:val="003B37BE"/>
    <w:rsid w:val="003B4E5B"/>
    <w:rsid w:val="003B5D24"/>
    <w:rsid w:val="003B6502"/>
    <w:rsid w:val="003B7A63"/>
    <w:rsid w:val="003C448D"/>
    <w:rsid w:val="003D1FE1"/>
    <w:rsid w:val="003D42F5"/>
    <w:rsid w:val="003D4909"/>
    <w:rsid w:val="003E0D57"/>
    <w:rsid w:val="003E1193"/>
    <w:rsid w:val="003E17BB"/>
    <w:rsid w:val="003E19C6"/>
    <w:rsid w:val="003E4391"/>
    <w:rsid w:val="003F065B"/>
    <w:rsid w:val="003F4063"/>
    <w:rsid w:val="003F4517"/>
    <w:rsid w:val="003F4654"/>
    <w:rsid w:val="003F4684"/>
    <w:rsid w:val="003F51BF"/>
    <w:rsid w:val="004002CF"/>
    <w:rsid w:val="00400F3F"/>
    <w:rsid w:val="0040158C"/>
    <w:rsid w:val="00402DAE"/>
    <w:rsid w:val="00404839"/>
    <w:rsid w:val="004065A6"/>
    <w:rsid w:val="00407752"/>
    <w:rsid w:val="004078CE"/>
    <w:rsid w:val="004112A6"/>
    <w:rsid w:val="004117FD"/>
    <w:rsid w:val="004135EF"/>
    <w:rsid w:val="00414A8A"/>
    <w:rsid w:val="00416C9E"/>
    <w:rsid w:val="00417B9F"/>
    <w:rsid w:val="0042229A"/>
    <w:rsid w:val="00423B93"/>
    <w:rsid w:val="0042438D"/>
    <w:rsid w:val="00425E1E"/>
    <w:rsid w:val="00427642"/>
    <w:rsid w:val="00430D15"/>
    <w:rsid w:val="004319DD"/>
    <w:rsid w:val="00432429"/>
    <w:rsid w:val="00432806"/>
    <w:rsid w:val="004361A0"/>
    <w:rsid w:val="0043669A"/>
    <w:rsid w:val="004368DC"/>
    <w:rsid w:val="004402B7"/>
    <w:rsid w:val="0044207A"/>
    <w:rsid w:val="004430C3"/>
    <w:rsid w:val="00443ABA"/>
    <w:rsid w:val="00444A42"/>
    <w:rsid w:val="00445F4E"/>
    <w:rsid w:val="00446CF8"/>
    <w:rsid w:val="00447639"/>
    <w:rsid w:val="00447DBF"/>
    <w:rsid w:val="00457A18"/>
    <w:rsid w:val="0046341A"/>
    <w:rsid w:val="00463454"/>
    <w:rsid w:val="00465F3F"/>
    <w:rsid w:val="00472408"/>
    <w:rsid w:val="00472B9C"/>
    <w:rsid w:val="00473682"/>
    <w:rsid w:val="00473B86"/>
    <w:rsid w:val="004766D9"/>
    <w:rsid w:val="004814E0"/>
    <w:rsid w:val="00481750"/>
    <w:rsid w:val="00481BDD"/>
    <w:rsid w:val="00483F67"/>
    <w:rsid w:val="00485AF0"/>
    <w:rsid w:val="0048652E"/>
    <w:rsid w:val="004965BE"/>
    <w:rsid w:val="004A0671"/>
    <w:rsid w:val="004A121C"/>
    <w:rsid w:val="004A1FD4"/>
    <w:rsid w:val="004A6440"/>
    <w:rsid w:val="004A7A16"/>
    <w:rsid w:val="004B0F31"/>
    <w:rsid w:val="004B19AA"/>
    <w:rsid w:val="004B22C4"/>
    <w:rsid w:val="004B314C"/>
    <w:rsid w:val="004B341A"/>
    <w:rsid w:val="004B3583"/>
    <w:rsid w:val="004B62C8"/>
    <w:rsid w:val="004D017B"/>
    <w:rsid w:val="004D2318"/>
    <w:rsid w:val="004D272C"/>
    <w:rsid w:val="004D58D5"/>
    <w:rsid w:val="004E1335"/>
    <w:rsid w:val="004E3111"/>
    <w:rsid w:val="004E3EA2"/>
    <w:rsid w:val="004E42F1"/>
    <w:rsid w:val="004E6060"/>
    <w:rsid w:val="004F02EA"/>
    <w:rsid w:val="004F3727"/>
    <w:rsid w:val="004F3BF2"/>
    <w:rsid w:val="004F41D5"/>
    <w:rsid w:val="004F429D"/>
    <w:rsid w:val="004F4C95"/>
    <w:rsid w:val="004F51DE"/>
    <w:rsid w:val="005005A5"/>
    <w:rsid w:val="00501E2D"/>
    <w:rsid w:val="00502691"/>
    <w:rsid w:val="0050E6F5"/>
    <w:rsid w:val="005118EA"/>
    <w:rsid w:val="00511929"/>
    <w:rsid w:val="00512E8D"/>
    <w:rsid w:val="00514714"/>
    <w:rsid w:val="005153E1"/>
    <w:rsid w:val="00517C31"/>
    <w:rsid w:val="00520806"/>
    <w:rsid w:val="00521F12"/>
    <w:rsid w:val="00522B3B"/>
    <w:rsid w:val="00525843"/>
    <w:rsid w:val="00526CFC"/>
    <w:rsid w:val="00531765"/>
    <w:rsid w:val="00537B9B"/>
    <w:rsid w:val="00537D11"/>
    <w:rsid w:val="005432E2"/>
    <w:rsid w:val="00543585"/>
    <w:rsid w:val="005454B5"/>
    <w:rsid w:val="005464AA"/>
    <w:rsid w:val="00546766"/>
    <w:rsid w:val="0054E6FF"/>
    <w:rsid w:val="00553245"/>
    <w:rsid w:val="00554C62"/>
    <w:rsid w:val="00554EF2"/>
    <w:rsid w:val="005559E5"/>
    <w:rsid w:val="0056443D"/>
    <w:rsid w:val="00565E16"/>
    <w:rsid w:val="005717A5"/>
    <w:rsid w:val="00572D57"/>
    <w:rsid w:val="00572DD5"/>
    <w:rsid w:val="005737B8"/>
    <w:rsid w:val="00575209"/>
    <w:rsid w:val="005762F4"/>
    <w:rsid w:val="005774E6"/>
    <w:rsid w:val="00577D3A"/>
    <w:rsid w:val="00580EB7"/>
    <w:rsid w:val="005813F9"/>
    <w:rsid w:val="005946EC"/>
    <w:rsid w:val="00596410"/>
    <w:rsid w:val="005A0212"/>
    <w:rsid w:val="005A03B2"/>
    <w:rsid w:val="005A3233"/>
    <w:rsid w:val="005A32DF"/>
    <w:rsid w:val="005A5581"/>
    <w:rsid w:val="005A5F35"/>
    <w:rsid w:val="005A6877"/>
    <w:rsid w:val="005B074C"/>
    <w:rsid w:val="005B3155"/>
    <w:rsid w:val="005B623D"/>
    <w:rsid w:val="005B70E6"/>
    <w:rsid w:val="005C04C1"/>
    <w:rsid w:val="005C59E0"/>
    <w:rsid w:val="005D1363"/>
    <w:rsid w:val="005D230A"/>
    <w:rsid w:val="005D2705"/>
    <w:rsid w:val="005D2B4F"/>
    <w:rsid w:val="005D5F54"/>
    <w:rsid w:val="005D69B6"/>
    <w:rsid w:val="005E0A77"/>
    <w:rsid w:val="005E3AF2"/>
    <w:rsid w:val="005E4267"/>
    <w:rsid w:val="005F1C51"/>
    <w:rsid w:val="0060073A"/>
    <w:rsid w:val="006010D9"/>
    <w:rsid w:val="00601F0D"/>
    <w:rsid w:val="0060586B"/>
    <w:rsid w:val="006100C1"/>
    <w:rsid w:val="006131B2"/>
    <w:rsid w:val="00613495"/>
    <w:rsid w:val="00613930"/>
    <w:rsid w:val="0061497D"/>
    <w:rsid w:val="00616EA5"/>
    <w:rsid w:val="006200DB"/>
    <w:rsid w:val="00622C10"/>
    <w:rsid w:val="00622F4E"/>
    <w:rsid w:val="00623EA6"/>
    <w:rsid w:val="006242B5"/>
    <w:rsid w:val="00625361"/>
    <w:rsid w:val="00630838"/>
    <w:rsid w:val="00630EDE"/>
    <w:rsid w:val="0063133B"/>
    <w:rsid w:val="0063328C"/>
    <w:rsid w:val="006348C6"/>
    <w:rsid w:val="00637744"/>
    <w:rsid w:val="00637AE8"/>
    <w:rsid w:val="00641025"/>
    <w:rsid w:val="0064188B"/>
    <w:rsid w:val="006444A4"/>
    <w:rsid w:val="00645C12"/>
    <w:rsid w:val="0064721D"/>
    <w:rsid w:val="006520E7"/>
    <w:rsid w:val="006560E6"/>
    <w:rsid w:val="006627E4"/>
    <w:rsid w:val="00675A80"/>
    <w:rsid w:val="00676908"/>
    <w:rsid w:val="00680899"/>
    <w:rsid w:val="00680F5B"/>
    <w:rsid w:val="00680FFA"/>
    <w:rsid w:val="006829C9"/>
    <w:rsid w:val="00686274"/>
    <w:rsid w:val="006862EC"/>
    <w:rsid w:val="00687CD3"/>
    <w:rsid w:val="006910BF"/>
    <w:rsid w:val="006961F7"/>
    <w:rsid w:val="006A28D9"/>
    <w:rsid w:val="006A6EE5"/>
    <w:rsid w:val="006B1A4C"/>
    <w:rsid w:val="006B570C"/>
    <w:rsid w:val="006B57B7"/>
    <w:rsid w:val="006B5CBA"/>
    <w:rsid w:val="006C37AF"/>
    <w:rsid w:val="006C4435"/>
    <w:rsid w:val="006C5705"/>
    <w:rsid w:val="006C7025"/>
    <w:rsid w:val="006C70A6"/>
    <w:rsid w:val="006C7833"/>
    <w:rsid w:val="006C7E6A"/>
    <w:rsid w:val="006D2B5F"/>
    <w:rsid w:val="006D7C07"/>
    <w:rsid w:val="006D7E17"/>
    <w:rsid w:val="006F002A"/>
    <w:rsid w:val="0070070C"/>
    <w:rsid w:val="00703788"/>
    <w:rsid w:val="00704499"/>
    <w:rsid w:val="00706109"/>
    <w:rsid w:val="00710DB5"/>
    <w:rsid w:val="00716EEA"/>
    <w:rsid w:val="007175E2"/>
    <w:rsid w:val="0071A6FB"/>
    <w:rsid w:val="0072078B"/>
    <w:rsid w:val="00722E5D"/>
    <w:rsid w:val="00723843"/>
    <w:rsid w:val="00726605"/>
    <w:rsid w:val="00734771"/>
    <w:rsid w:val="007369CF"/>
    <w:rsid w:val="0074109B"/>
    <w:rsid w:val="007425DC"/>
    <w:rsid w:val="007432B3"/>
    <w:rsid w:val="00744C6B"/>
    <w:rsid w:val="007453A4"/>
    <w:rsid w:val="00745709"/>
    <w:rsid w:val="007465E4"/>
    <w:rsid w:val="00750283"/>
    <w:rsid w:val="00751B7F"/>
    <w:rsid w:val="00752086"/>
    <w:rsid w:val="00756494"/>
    <w:rsid w:val="00761044"/>
    <w:rsid w:val="007632BC"/>
    <w:rsid w:val="007654E8"/>
    <w:rsid w:val="007663C2"/>
    <w:rsid w:val="007665AD"/>
    <w:rsid w:val="00771D18"/>
    <w:rsid w:val="007723DC"/>
    <w:rsid w:val="00772473"/>
    <w:rsid w:val="00775F65"/>
    <w:rsid w:val="0078192D"/>
    <w:rsid w:val="007829DA"/>
    <w:rsid w:val="00782EDC"/>
    <w:rsid w:val="007850C2"/>
    <w:rsid w:val="007904E7"/>
    <w:rsid w:val="0079303C"/>
    <w:rsid w:val="00793822"/>
    <w:rsid w:val="00793A97"/>
    <w:rsid w:val="00793C29"/>
    <w:rsid w:val="0079435A"/>
    <w:rsid w:val="0079501C"/>
    <w:rsid w:val="0079519B"/>
    <w:rsid w:val="00795D58"/>
    <w:rsid w:val="007A03BA"/>
    <w:rsid w:val="007A1942"/>
    <w:rsid w:val="007A363E"/>
    <w:rsid w:val="007A4A89"/>
    <w:rsid w:val="007A5322"/>
    <w:rsid w:val="007A7D51"/>
    <w:rsid w:val="007B03A1"/>
    <w:rsid w:val="007B0CF8"/>
    <w:rsid w:val="007B3C5B"/>
    <w:rsid w:val="007B3D16"/>
    <w:rsid w:val="007B457B"/>
    <w:rsid w:val="007B4F8F"/>
    <w:rsid w:val="007B631D"/>
    <w:rsid w:val="007B7475"/>
    <w:rsid w:val="007C05AB"/>
    <w:rsid w:val="007C4827"/>
    <w:rsid w:val="007C5924"/>
    <w:rsid w:val="007C59FE"/>
    <w:rsid w:val="007C6670"/>
    <w:rsid w:val="007D17C2"/>
    <w:rsid w:val="007D210D"/>
    <w:rsid w:val="007D2D55"/>
    <w:rsid w:val="007D42DC"/>
    <w:rsid w:val="007D57A3"/>
    <w:rsid w:val="007E30E7"/>
    <w:rsid w:val="007E329E"/>
    <w:rsid w:val="007E3AFF"/>
    <w:rsid w:val="007E43E4"/>
    <w:rsid w:val="007E603F"/>
    <w:rsid w:val="007E7E0F"/>
    <w:rsid w:val="007F20C3"/>
    <w:rsid w:val="007F2305"/>
    <w:rsid w:val="007F4436"/>
    <w:rsid w:val="007F4F1C"/>
    <w:rsid w:val="007F6CEA"/>
    <w:rsid w:val="00800D7B"/>
    <w:rsid w:val="008027DD"/>
    <w:rsid w:val="00803F62"/>
    <w:rsid w:val="008067AF"/>
    <w:rsid w:val="00806A4D"/>
    <w:rsid w:val="00806ACF"/>
    <w:rsid w:val="00807990"/>
    <w:rsid w:val="00811910"/>
    <w:rsid w:val="00811A3B"/>
    <w:rsid w:val="00812BB7"/>
    <w:rsid w:val="00813299"/>
    <w:rsid w:val="008144C1"/>
    <w:rsid w:val="00824C81"/>
    <w:rsid w:val="00825AEB"/>
    <w:rsid w:val="00825EC3"/>
    <w:rsid w:val="008307EC"/>
    <w:rsid w:val="00832698"/>
    <w:rsid w:val="00841C56"/>
    <w:rsid w:val="008435C4"/>
    <w:rsid w:val="008500E2"/>
    <w:rsid w:val="0085069C"/>
    <w:rsid w:val="00853DC9"/>
    <w:rsid w:val="00853E17"/>
    <w:rsid w:val="0085454A"/>
    <w:rsid w:val="00855560"/>
    <w:rsid w:val="00855C88"/>
    <w:rsid w:val="008567EC"/>
    <w:rsid w:val="0086016B"/>
    <w:rsid w:val="00860200"/>
    <w:rsid w:val="00862A1C"/>
    <w:rsid w:val="00863908"/>
    <w:rsid w:val="00871CB9"/>
    <w:rsid w:val="008722D8"/>
    <w:rsid w:val="0087267D"/>
    <w:rsid w:val="0087269A"/>
    <w:rsid w:val="008738FB"/>
    <w:rsid w:val="008749E2"/>
    <w:rsid w:val="008846B1"/>
    <w:rsid w:val="00886AD2"/>
    <w:rsid w:val="0088758E"/>
    <w:rsid w:val="008909C1"/>
    <w:rsid w:val="008913F5"/>
    <w:rsid w:val="008915B2"/>
    <w:rsid w:val="0089426B"/>
    <w:rsid w:val="00897F25"/>
    <w:rsid w:val="008A01DD"/>
    <w:rsid w:val="008A2146"/>
    <w:rsid w:val="008A39F9"/>
    <w:rsid w:val="008A41B8"/>
    <w:rsid w:val="008A4B17"/>
    <w:rsid w:val="008B0860"/>
    <w:rsid w:val="008B309C"/>
    <w:rsid w:val="008B36CA"/>
    <w:rsid w:val="008B68ED"/>
    <w:rsid w:val="008B725C"/>
    <w:rsid w:val="008B870C"/>
    <w:rsid w:val="008C0BDF"/>
    <w:rsid w:val="008C1A39"/>
    <w:rsid w:val="008C70A0"/>
    <w:rsid w:val="008D0ED8"/>
    <w:rsid w:val="008D2DAA"/>
    <w:rsid w:val="008D4A72"/>
    <w:rsid w:val="008D6427"/>
    <w:rsid w:val="008D6D7C"/>
    <w:rsid w:val="008D7176"/>
    <w:rsid w:val="008E0520"/>
    <w:rsid w:val="008E2ADF"/>
    <w:rsid w:val="008E48C8"/>
    <w:rsid w:val="008E5397"/>
    <w:rsid w:val="008E53C0"/>
    <w:rsid w:val="008F0260"/>
    <w:rsid w:val="008F321C"/>
    <w:rsid w:val="008F604C"/>
    <w:rsid w:val="00902CC7"/>
    <w:rsid w:val="00907169"/>
    <w:rsid w:val="009075E7"/>
    <w:rsid w:val="00907D1F"/>
    <w:rsid w:val="00911B86"/>
    <w:rsid w:val="00914124"/>
    <w:rsid w:val="009157C0"/>
    <w:rsid w:val="00923B3D"/>
    <w:rsid w:val="0092430D"/>
    <w:rsid w:val="0092759B"/>
    <w:rsid w:val="00927A33"/>
    <w:rsid w:val="00930F37"/>
    <w:rsid w:val="00930FE4"/>
    <w:rsid w:val="00931382"/>
    <w:rsid w:val="009377E7"/>
    <w:rsid w:val="00937BAC"/>
    <w:rsid w:val="00940AB5"/>
    <w:rsid w:val="0094252B"/>
    <w:rsid w:val="0095172B"/>
    <w:rsid w:val="00952686"/>
    <w:rsid w:val="00954477"/>
    <w:rsid w:val="00960099"/>
    <w:rsid w:val="00960908"/>
    <w:rsid w:val="0096306D"/>
    <w:rsid w:val="00970378"/>
    <w:rsid w:val="00974B40"/>
    <w:rsid w:val="009815A2"/>
    <w:rsid w:val="00981CEC"/>
    <w:rsid w:val="009823D6"/>
    <w:rsid w:val="00983E1C"/>
    <w:rsid w:val="009921DE"/>
    <w:rsid w:val="00992909"/>
    <w:rsid w:val="00995AB0"/>
    <w:rsid w:val="009971A0"/>
    <w:rsid w:val="0099727B"/>
    <w:rsid w:val="0099740D"/>
    <w:rsid w:val="009A0090"/>
    <w:rsid w:val="009A1E56"/>
    <w:rsid w:val="009A5052"/>
    <w:rsid w:val="009A6322"/>
    <w:rsid w:val="009A7279"/>
    <w:rsid w:val="009B10DF"/>
    <w:rsid w:val="009B2C9C"/>
    <w:rsid w:val="009B5875"/>
    <w:rsid w:val="009C09A1"/>
    <w:rsid w:val="009C21A6"/>
    <w:rsid w:val="009C358C"/>
    <w:rsid w:val="009C4F4B"/>
    <w:rsid w:val="009C5BE5"/>
    <w:rsid w:val="009C7494"/>
    <w:rsid w:val="009D322E"/>
    <w:rsid w:val="009E00C8"/>
    <w:rsid w:val="009E016A"/>
    <w:rsid w:val="009E154A"/>
    <w:rsid w:val="009E23AF"/>
    <w:rsid w:val="009E4C50"/>
    <w:rsid w:val="009F1A23"/>
    <w:rsid w:val="009F23D8"/>
    <w:rsid w:val="009F68A4"/>
    <w:rsid w:val="009F6D7A"/>
    <w:rsid w:val="00A00973"/>
    <w:rsid w:val="00A01681"/>
    <w:rsid w:val="00A060E0"/>
    <w:rsid w:val="00A0748F"/>
    <w:rsid w:val="00A10477"/>
    <w:rsid w:val="00A10B64"/>
    <w:rsid w:val="00A12753"/>
    <w:rsid w:val="00A130DF"/>
    <w:rsid w:val="00A133E8"/>
    <w:rsid w:val="00A1379F"/>
    <w:rsid w:val="00A14350"/>
    <w:rsid w:val="00A14457"/>
    <w:rsid w:val="00A16DA1"/>
    <w:rsid w:val="00A20DA7"/>
    <w:rsid w:val="00A22ABB"/>
    <w:rsid w:val="00A25CA9"/>
    <w:rsid w:val="00A25CEE"/>
    <w:rsid w:val="00A35AC1"/>
    <w:rsid w:val="00A35C2E"/>
    <w:rsid w:val="00A370F9"/>
    <w:rsid w:val="00A3743F"/>
    <w:rsid w:val="00A379C4"/>
    <w:rsid w:val="00A40FF8"/>
    <w:rsid w:val="00A4127A"/>
    <w:rsid w:val="00A42331"/>
    <w:rsid w:val="00A43AE3"/>
    <w:rsid w:val="00A44F3E"/>
    <w:rsid w:val="00A47680"/>
    <w:rsid w:val="00A509DF"/>
    <w:rsid w:val="00A52456"/>
    <w:rsid w:val="00A53014"/>
    <w:rsid w:val="00A54017"/>
    <w:rsid w:val="00A543B8"/>
    <w:rsid w:val="00A553AA"/>
    <w:rsid w:val="00A56A30"/>
    <w:rsid w:val="00A56BE5"/>
    <w:rsid w:val="00A57171"/>
    <w:rsid w:val="00A610A3"/>
    <w:rsid w:val="00A61328"/>
    <w:rsid w:val="00A63642"/>
    <w:rsid w:val="00A63A7C"/>
    <w:rsid w:val="00A72391"/>
    <w:rsid w:val="00A73CFB"/>
    <w:rsid w:val="00A75A71"/>
    <w:rsid w:val="00A77433"/>
    <w:rsid w:val="00A77D70"/>
    <w:rsid w:val="00A87096"/>
    <w:rsid w:val="00A91724"/>
    <w:rsid w:val="00A9194A"/>
    <w:rsid w:val="00A95DB9"/>
    <w:rsid w:val="00A97648"/>
    <w:rsid w:val="00A97BF5"/>
    <w:rsid w:val="00AA085C"/>
    <w:rsid w:val="00AA1845"/>
    <w:rsid w:val="00AA23EA"/>
    <w:rsid w:val="00AA3DA2"/>
    <w:rsid w:val="00AA56F3"/>
    <w:rsid w:val="00AA581C"/>
    <w:rsid w:val="00AB0883"/>
    <w:rsid w:val="00AB79B0"/>
    <w:rsid w:val="00AC02B0"/>
    <w:rsid w:val="00AC078F"/>
    <w:rsid w:val="00AC248B"/>
    <w:rsid w:val="00AC4487"/>
    <w:rsid w:val="00AC5530"/>
    <w:rsid w:val="00AC7FCD"/>
    <w:rsid w:val="00AD03BE"/>
    <w:rsid w:val="00AD25DC"/>
    <w:rsid w:val="00AD3700"/>
    <w:rsid w:val="00AD5294"/>
    <w:rsid w:val="00AD65B1"/>
    <w:rsid w:val="00AD76AB"/>
    <w:rsid w:val="00AE05B2"/>
    <w:rsid w:val="00AE5448"/>
    <w:rsid w:val="00AE62D0"/>
    <w:rsid w:val="00AF0607"/>
    <w:rsid w:val="00AF2AE2"/>
    <w:rsid w:val="00AF54C3"/>
    <w:rsid w:val="00AF6E67"/>
    <w:rsid w:val="00B006B8"/>
    <w:rsid w:val="00B01FBE"/>
    <w:rsid w:val="00B025DA"/>
    <w:rsid w:val="00B0467A"/>
    <w:rsid w:val="00B067D8"/>
    <w:rsid w:val="00B0BF14"/>
    <w:rsid w:val="00B12234"/>
    <w:rsid w:val="00B13EF9"/>
    <w:rsid w:val="00B140C1"/>
    <w:rsid w:val="00B1447B"/>
    <w:rsid w:val="00B15D39"/>
    <w:rsid w:val="00B160D0"/>
    <w:rsid w:val="00B172A8"/>
    <w:rsid w:val="00B17E81"/>
    <w:rsid w:val="00B24725"/>
    <w:rsid w:val="00B36073"/>
    <w:rsid w:val="00B40928"/>
    <w:rsid w:val="00B42B4F"/>
    <w:rsid w:val="00B44AA8"/>
    <w:rsid w:val="00B47983"/>
    <w:rsid w:val="00B504B7"/>
    <w:rsid w:val="00B56013"/>
    <w:rsid w:val="00B60149"/>
    <w:rsid w:val="00B62BA3"/>
    <w:rsid w:val="00B6460D"/>
    <w:rsid w:val="00B66405"/>
    <w:rsid w:val="00B67F9E"/>
    <w:rsid w:val="00B73E1E"/>
    <w:rsid w:val="00B74108"/>
    <w:rsid w:val="00B77355"/>
    <w:rsid w:val="00B77A5D"/>
    <w:rsid w:val="00B80AEC"/>
    <w:rsid w:val="00B82939"/>
    <w:rsid w:val="00B84CF5"/>
    <w:rsid w:val="00B84FB4"/>
    <w:rsid w:val="00B87759"/>
    <w:rsid w:val="00B90572"/>
    <w:rsid w:val="00B905A1"/>
    <w:rsid w:val="00B91CC7"/>
    <w:rsid w:val="00B92F8F"/>
    <w:rsid w:val="00B95224"/>
    <w:rsid w:val="00BA11BB"/>
    <w:rsid w:val="00BA1680"/>
    <w:rsid w:val="00BA2EF2"/>
    <w:rsid w:val="00BA4B99"/>
    <w:rsid w:val="00BA5C10"/>
    <w:rsid w:val="00BA7277"/>
    <w:rsid w:val="00BA785F"/>
    <w:rsid w:val="00BB0DD4"/>
    <w:rsid w:val="00BB1823"/>
    <w:rsid w:val="00BB5080"/>
    <w:rsid w:val="00BB7964"/>
    <w:rsid w:val="00BC09B7"/>
    <w:rsid w:val="00BC0EDF"/>
    <w:rsid w:val="00BC0FBD"/>
    <w:rsid w:val="00BC27E7"/>
    <w:rsid w:val="00BC2EB8"/>
    <w:rsid w:val="00BC3099"/>
    <w:rsid w:val="00BC36AE"/>
    <w:rsid w:val="00BC5358"/>
    <w:rsid w:val="00BC5979"/>
    <w:rsid w:val="00BC6A6D"/>
    <w:rsid w:val="00BD227F"/>
    <w:rsid w:val="00BD3ED0"/>
    <w:rsid w:val="00BD6BB4"/>
    <w:rsid w:val="00BE0B8E"/>
    <w:rsid w:val="00BE2508"/>
    <w:rsid w:val="00BE27DF"/>
    <w:rsid w:val="00BE3997"/>
    <w:rsid w:val="00BF1528"/>
    <w:rsid w:val="00BF3FB7"/>
    <w:rsid w:val="00BF40E9"/>
    <w:rsid w:val="00BF5404"/>
    <w:rsid w:val="00BF5572"/>
    <w:rsid w:val="00BF7D54"/>
    <w:rsid w:val="00BF7DA8"/>
    <w:rsid w:val="00C03864"/>
    <w:rsid w:val="00C04162"/>
    <w:rsid w:val="00C0649D"/>
    <w:rsid w:val="00C06944"/>
    <w:rsid w:val="00C117BE"/>
    <w:rsid w:val="00C12558"/>
    <w:rsid w:val="00C12F04"/>
    <w:rsid w:val="00C1685F"/>
    <w:rsid w:val="00C23691"/>
    <w:rsid w:val="00C23DB2"/>
    <w:rsid w:val="00C25E29"/>
    <w:rsid w:val="00C313AD"/>
    <w:rsid w:val="00C423E8"/>
    <w:rsid w:val="00C44496"/>
    <w:rsid w:val="00C4653D"/>
    <w:rsid w:val="00C5110D"/>
    <w:rsid w:val="00C5139C"/>
    <w:rsid w:val="00C561A7"/>
    <w:rsid w:val="00C61CF0"/>
    <w:rsid w:val="00C63499"/>
    <w:rsid w:val="00C654EA"/>
    <w:rsid w:val="00C77E57"/>
    <w:rsid w:val="00C7D47E"/>
    <w:rsid w:val="00C821FD"/>
    <w:rsid w:val="00C830D0"/>
    <w:rsid w:val="00C845A3"/>
    <w:rsid w:val="00C857B8"/>
    <w:rsid w:val="00C86A33"/>
    <w:rsid w:val="00C8761B"/>
    <w:rsid w:val="00C905A8"/>
    <w:rsid w:val="00C93AB9"/>
    <w:rsid w:val="00C93F5C"/>
    <w:rsid w:val="00C959CD"/>
    <w:rsid w:val="00CA13F9"/>
    <w:rsid w:val="00CA3E48"/>
    <w:rsid w:val="00CA3F26"/>
    <w:rsid w:val="00CA7115"/>
    <w:rsid w:val="00CB0488"/>
    <w:rsid w:val="00CB1280"/>
    <w:rsid w:val="00CB1AFC"/>
    <w:rsid w:val="00CB5893"/>
    <w:rsid w:val="00CB794D"/>
    <w:rsid w:val="00CB7F28"/>
    <w:rsid w:val="00CC2F1B"/>
    <w:rsid w:val="00CC9E42"/>
    <w:rsid w:val="00CD0091"/>
    <w:rsid w:val="00CD0C93"/>
    <w:rsid w:val="00CD4D32"/>
    <w:rsid w:val="00CE472D"/>
    <w:rsid w:val="00CE4AC2"/>
    <w:rsid w:val="00CF1A6A"/>
    <w:rsid w:val="00CF67DA"/>
    <w:rsid w:val="00D00C37"/>
    <w:rsid w:val="00D0268A"/>
    <w:rsid w:val="00D05037"/>
    <w:rsid w:val="00D069D6"/>
    <w:rsid w:val="00D07BCC"/>
    <w:rsid w:val="00D1367F"/>
    <w:rsid w:val="00D15544"/>
    <w:rsid w:val="00D20860"/>
    <w:rsid w:val="00D21A67"/>
    <w:rsid w:val="00D23565"/>
    <w:rsid w:val="00D23C00"/>
    <w:rsid w:val="00D25B5E"/>
    <w:rsid w:val="00D26EA2"/>
    <w:rsid w:val="00D276F1"/>
    <w:rsid w:val="00D300C0"/>
    <w:rsid w:val="00D30BED"/>
    <w:rsid w:val="00D32411"/>
    <w:rsid w:val="00D32430"/>
    <w:rsid w:val="00D33660"/>
    <w:rsid w:val="00D33B33"/>
    <w:rsid w:val="00D34125"/>
    <w:rsid w:val="00D34CE5"/>
    <w:rsid w:val="00D3648E"/>
    <w:rsid w:val="00D37D40"/>
    <w:rsid w:val="00D42994"/>
    <w:rsid w:val="00D44EF9"/>
    <w:rsid w:val="00D46749"/>
    <w:rsid w:val="00D47D07"/>
    <w:rsid w:val="00D51625"/>
    <w:rsid w:val="00D53008"/>
    <w:rsid w:val="00D55907"/>
    <w:rsid w:val="00D604AD"/>
    <w:rsid w:val="00D60C31"/>
    <w:rsid w:val="00D61280"/>
    <w:rsid w:val="00D6163F"/>
    <w:rsid w:val="00D62315"/>
    <w:rsid w:val="00D6512C"/>
    <w:rsid w:val="00D66081"/>
    <w:rsid w:val="00D67F56"/>
    <w:rsid w:val="00D71429"/>
    <w:rsid w:val="00D73146"/>
    <w:rsid w:val="00D74780"/>
    <w:rsid w:val="00D75716"/>
    <w:rsid w:val="00D77222"/>
    <w:rsid w:val="00D8616B"/>
    <w:rsid w:val="00D86BF9"/>
    <w:rsid w:val="00D86DEE"/>
    <w:rsid w:val="00D91023"/>
    <w:rsid w:val="00D924F7"/>
    <w:rsid w:val="00D92D3E"/>
    <w:rsid w:val="00D94761"/>
    <w:rsid w:val="00DA431B"/>
    <w:rsid w:val="00DA4F30"/>
    <w:rsid w:val="00DA5895"/>
    <w:rsid w:val="00DA6871"/>
    <w:rsid w:val="00DB0EA8"/>
    <w:rsid w:val="00DB3513"/>
    <w:rsid w:val="00DB3B59"/>
    <w:rsid w:val="00DB45E8"/>
    <w:rsid w:val="00DB6C2E"/>
    <w:rsid w:val="00DB6D2C"/>
    <w:rsid w:val="00DBC615"/>
    <w:rsid w:val="00DC1DBE"/>
    <w:rsid w:val="00DC213C"/>
    <w:rsid w:val="00DC5A7F"/>
    <w:rsid w:val="00DD13DE"/>
    <w:rsid w:val="00DD1F4E"/>
    <w:rsid w:val="00DD29FD"/>
    <w:rsid w:val="00DD6B07"/>
    <w:rsid w:val="00DD6E86"/>
    <w:rsid w:val="00DE4260"/>
    <w:rsid w:val="00DF2529"/>
    <w:rsid w:val="00DF30E4"/>
    <w:rsid w:val="00DF4AF5"/>
    <w:rsid w:val="00DF553F"/>
    <w:rsid w:val="00DF5897"/>
    <w:rsid w:val="00DF5CDB"/>
    <w:rsid w:val="00DF7873"/>
    <w:rsid w:val="00E0012A"/>
    <w:rsid w:val="00E00AF4"/>
    <w:rsid w:val="00E00B05"/>
    <w:rsid w:val="00E00DA6"/>
    <w:rsid w:val="00E01854"/>
    <w:rsid w:val="00E04990"/>
    <w:rsid w:val="00E11606"/>
    <w:rsid w:val="00E1588D"/>
    <w:rsid w:val="00E17465"/>
    <w:rsid w:val="00E175D1"/>
    <w:rsid w:val="00E179D4"/>
    <w:rsid w:val="00E22387"/>
    <w:rsid w:val="00E2244D"/>
    <w:rsid w:val="00E224D1"/>
    <w:rsid w:val="00E24752"/>
    <w:rsid w:val="00E303EE"/>
    <w:rsid w:val="00E30947"/>
    <w:rsid w:val="00E33F3F"/>
    <w:rsid w:val="00E35EA1"/>
    <w:rsid w:val="00E37CF8"/>
    <w:rsid w:val="00E42C80"/>
    <w:rsid w:val="00E43D82"/>
    <w:rsid w:val="00E44E6D"/>
    <w:rsid w:val="00E504B1"/>
    <w:rsid w:val="00E532CF"/>
    <w:rsid w:val="00E53CB2"/>
    <w:rsid w:val="00E54617"/>
    <w:rsid w:val="00E55635"/>
    <w:rsid w:val="00E56975"/>
    <w:rsid w:val="00E61A12"/>
    <w:rsid w:val="00E63EDB"/>
    <w:rsid w:val="00E650C8"/>
    <w:rsid w:val="00E6663C"/>
    <w:rsid w:val="00E6769B"/>
    <w:rsid w:val="00E6E5A6"/>
    <w:rsid w:val="00E724B6"/>
    <w:rsid w:val="00E77A4E"/>
    <w:rsid w:val="00E82885"/>
    <w:rsid w:val="00E8331C"/>
    <w:rsid w:val="00E8630C"/>
    <w:rsid w:val="00E90073"/>
    <w:rsid w:val="00E914C8"/>
    <w:rsid w:val="00E93822"/>
    <w:rsid w:val="00EA5C0C"/>
    <w:rsid w:val="00EA65A1"/>
    <w:rsid w:val="00EB112E"/>
    <w:rsid w:val="00EB175E"/>
    <w:rsid w:val="00EB1955"/>
    <w:rsid w:val="00EB6DAC"/>
    <w:rsid w:val="00EB706A"/>
    <w:rsid w:val="00EC0604"/>
    <w:rsid w:val="00EC1DA2"/>
    <w:rsid w:val="00EC4678"/>
    <w:rsid w:val="00EC48A4"/>
    <w:rsid w:val="00EC6C80"/>
    <w:rsid w:val="00ED0C09"/>
    <w:rsid w:val="00ED1978"/>
    <w:rsid w:val="00ED1FBC"/>
    <w:rsid w:val="00ED2A60"/>
    <w:rsid w:val="00ED3490"/>
    <w:rsid w:val="00ED5673"/>
    <w:rsid w:val="00ED79F3"/>
    <w:rsid w:val="00EE10BD"/>
    <w:rsid w:val="00EE5C33"/>
    <w:rsid w:val="00EE5C34"/>
    <w:rsid w:val="00EF2CD0"/>
    <w:rsid w:val="00EF2E86"/>
    <w:rsid w:val="00EF309B"/>
    <w:rsid w:val="00EF35C6"/>
    <w:rsid w:val="00EF42A6"/>
    <w:rsid w:val="00EF450F"/>
    <w:rsid w:val="00EF473F"/>
    <w:rsid w:val="00EF516A"/>
    <w:rsid w:val="00EF67E4"/>
    <w:rsid w:val="00EF7714"/>
    <w:rsid w:val="00EF799A"/>
    <w:rsid w:val="00F00245"/>
    <w:rsid w:val="00F00536"/>
    <w:rsid w:val="00F0053F"/>
    <w:rsid w:val="00F03B08"/>
    <w:rsid w:val="00F03E8A"/>
    <w:rsid w:val="00F050EC"/>
    <w:rsid w:val="00F06E75"/>
    <w:rsid w:val="00F11740"/>
    <w:rsid w:val="00F13D28"/>
    <w:rsid w:val="00F21415"/>
    <w:rsid w:val="00F23E50"/>
    <w:rsid w:val="00F23FC5"/>
    <w:rsid w:val="00F25951"/>
    <w:rsid w:val="00F26564"/>
    <w:rsid w:val="00F26BEF"/>
    <w:rsid w:val="00F30191"/>
    <w:rsid w:val="00F30B06"/>
    <w:rsid w:val="00F327E8"/>
    <w:rsid w:val="00F3690E"/>
    <w:rsid w:val="00F372B0"/>
    <w:rsid w:val="00F40C89"/>
    <w:rsid w:val="00F42E07"/>
    <w:rsid w:val="00F471CD"/>
    <w:rsid w:val="00F4784D"/>
    <w:rsid w:val="00F54BD5"/>
    <w:rsid w:val="00F5545E"/>
    <w:rsid w:val="00F55B7C"/>
    <w:rsid w:val="00F56598"/>
    <w:rsid w:val="00F63043"/>
    <w:rsid w:val="00F6550A"/>
    <w:rsid w:val="00F70195"/>
    <w:rsid w:val="00F729DD"/>
    <w:rsid w:val="00F73F7A"/>
    <w:rsid w:val="00F76325"/>
    <w:rsid w:val="00F7647E"/>
    <w:rsid w:val="00F76850"/>
    <w:rsid w:val="00F823E1"/>
    <w:rsid w:val="00F85ABB"/>
    <w:rsid w:val="00F87166"/>
    <w:rsid w:val="00F87495"/>
    <w:rsid w:val="00F9136E"/>
    <w:rsid w:val="00F9138E"/>
    <w:rsid w:val="00F91708"/>
    <w:rsid w:val="00F926E7"/>
    <w:rsid w:val="00F9309A"/>
    <w:rsid w:val="00F95143"/>
    <w:rsid w:val="00FA0312"/>
    <w:rsid w:val="00FA1C9B"/>
    <w:rsid w:val="00FA2384"/>
    <w:rsid w:val="00FA34DE"/>
    <w:rsid w:val="00FA3935"/>
    <w:rsid w:val="00FA3E8E"/>
    <w:rsid w:val="00FA6B50"/>
    <w:rsid w:val="00FA7CC7"/>
    <w:rsid w:val="00FB075A"/>
    <w:rsid w:val="00FB31E3"/>
    <w:rsid w:val="00FB67E5"/>
    <w:rsid w:val="00FB78BF"/>
    <w:rsid w:val="00FC069F"/>
    <w:rsid w:val="00FC7FAB"/>
    <w:rsid w:val="00FD3715"/>
    <w:rsid w:val="00FD38A9"/>
    <w:rsid w:val="00FD3C5C"/>
    <w:rsid w:val="00FD3F27"/>
    <w:rsid w:val="00FE1CE9"/>
    <w:rsid w:val="00FE1E90"/>
    <w:rsid w:val="00FE1F57"/>
    <w:rsid w:val="00FE2D4E"/>
    <w:rsid w:val="00FE3C72"/>
    <w:rsid w:val="00FE6638"/>
    <w:rsid w:val="00FF11FC"/>
    <w:rsid w:val="00FF1AA0"/>
    <w:rsid w:val="00FF2069"/>
    <w:rsid w:val="00FF3D7B"/>
    <w:rsid w:val="00FF4BA3"/>
    <w:rsid w:val="00FF4FD6"/>
    <w:rsid w:val="00FF5906"/>
    <w:rsid w:val="0105F4E8"/>
    <w:rsid w:val="01108582"/>
    <w:rsid w:val="0111450B"/>
    <w:rsid w:val="01375320"/>
    <w:rsid w:val="0139CE81"/>
    <w:rsid w:val="013AD741"/>
    <w:rsid w:val="01926E5C"/>
    <w:rsid w:val="019279C7"/>
    <w:rsid w:val="0198BB3D"/>
    <w:rsid w:val="01AC1929"/>
    <w:rsid w:val="01D02942"/>
    <w:rsid w:val="01D2239B"/>
    <w:rsid w:val="01D63E39"/>
    <w:rsid w:val="01E05433"/>
    <w:rsid w:val="020B12D6"/>
    <w:rsid w:val="022DCA29"/>
    <w:rsid w:val="0232A849"/>
    <w:rsid w:val="0237DCC5"/>
    <w:rsid w:val="0245768B"/>
    <w:rsid w:val="02567566"/>
    <w:rsid w:val="02614B89"/>
    <w:rsid w:val="0278555C"/>
    <w:rsid w:val="027E43C9"/>
    <w:rsid w:val="028FC30D"/>
    <w:rsid w:val="029BA91D"/>
    <w:rsid w:val="029F6B81"/>
    <w:rsid w:val="02A1FA03"/>
    <w:rsid w:val="02A3DBFE"/>
    <w:rsid w:val="02AF4BA9"/>
    <w:rsid w:val="02B55CD8"/>
    <w:rsid w:val="02E530D1"/>
    <w:rsid w:val="02FA9A49"/>
    <w:rsid w:val="0306E6A1"/>
    <w:rsid w:val="030FEFBD"/>
    <w:rsid w:val="0319A5E0"/>
    <w:rsid w:val="0339B349"/>
    <w:rsid w:val="035ACFD0"/>
    <w:rsid w:val="03721D31"/>
    <w:rsid w:val="03774F7F"/>
    <w:rsid w:val="03823740"/>
    <w:rsid w:val="039ACCE3"/>
    <w:rsid w:val="03BCCE3B"/>
    <w:rsid w:val="03C9EEAC"/>
    <w:rsid w:val="03CAB809"/>
    <w:rsid w:val="03D77F6C"/>
    <w:rsid w:val="03E26D0B"/>
    <w:rsid w:val="0403E5A1"/>
    <w:rsid w:val="0407891A"/>
    <w:rsid w:val="0422C7BE"/>
    <w:rsid w:val="0440E49F"/>
    <w:rsid w:val="0449D826"/>
    <w:rsid w:val="045CE24B"/>
    <w:rsid w:val="045E3331"/>
    <w:rsid w:val="046908BB"/>
    <w:rsid w:val="046B9242"/>
    <w:rsid w:val="04758D33"/>
    <w:rsid w:val="04875CEA"/>
    <w:rsid w:val="048CAE9E"/>
    <w:rsid w:val="0490F337"/>
    <w:rsid w:val="0493B0EC"/>
    <w:rsid w:val="04C5C291"/>
    <w:rsid w:val="05108115"/>
    <w:rsid w:val="0515D59B"/>
    <w:rsid w:val="051930E1"/>
    <w:rsid w:val="0522995D"/>
    <w:rsid w:val="0527D91D"/>
    <w:rsid w:val="054FC02E"/>
    <w:rsid w:val="05572B8E"/>
    <w:rsid w:val="055DDECB"/>
    <w:rsid w:val="0561AB67"/>
    <w:rsid w:val="0592D75F"/>
    <w:rsid w:val="05B382ED"/>
    <w:rsid w:val="05B5E48B"/>
    <w:rsid w:val="05B80177"/>
    <w:rsid w:val="05BD9327"/>
    <w:rsid w:val="05DD596B"/>
    <w:rsid w:val="05E60236"/>
    <w:rsid w:val="05F87EEF"/>
    <w:rsid w:val="05FEC18C"/>
    <w:rsid w:val="06115F76"/>
    <w:rsid w:val="06287EFF"/>
    <w:rsid w:val="0629C1E9"/>
    <w:rsid w:val="0646BE30"/>
    <w:rsid w:val="06485723"/>
    <w:rsid w:val="064C618F"/>
    <w:rsid w:val="06562AAD"/>
    <w:rsid w:val="068DC774"/>
    <w:rsid w:val="06C251B3"/>
    <w:rsid w:val="06E8F5EB"/>
    <w:rsid w:val="06F9BD19"/>
    <w:rsid w:val="06FE8130"/>
    <w:rsid w:val="0709F196"/>
    <w:rsid w:val="070C1A1D"/>
    <w:rsid w:val="0714E14C"/>
    <w:rsid w:val="074CFEA3"/>
    <w:rsid w:val="075BD623"/>
    <w:rsid w:val="076785E7"/>
    <w:rsid w:val="077679E6"/>
    <w:rsid w:val="078CD927"/>
    <w:rsid w:val="0791C5A9"/>
    <w:rsid w:val="07CEB1B8"/>
    <w:rsid w:val="07D7509F"/>
    <w:rsid w:val="07D7592A"/>
    <w:rsid w:val="07DD3EEC"/>
    <w:rsid w:val="07DE89EE"/>
    <w:rsid w:val="07EB2475"/>
    <w:rsid w:val="07FBC825"/>
    <w:rsid w:val="080769BC"/>
    <w:rsid w:val="081812BC"/>
    <w:rsid w:val="0820AE7F"/>
    <w:rsid w:val="0849333D"/>
    <w:rsid w:val="084AD120"/>
    <w:rsid w:val="0857C881"/>
    <w:rsid w:val="086831FA"/>
    <w:rsid w:val="08A1E9CD"/>
    <w:rsid w:val="08B1EB35"/>
    <w:rsid w:val="08C8DCE2"/>
    <w:rsid w:val="08CB7290"/>
    <w:rsid w:val="08DD415B"/>
    <w:rsid w:val="08E8CF04"/>
    <w:rsid w:val="090C93CC"/>
    <w:rsid w:val="093017B7"/>
    <w:rsid w:val="09626BD6"/>
    <w:rsid w:val="097CB7DB"/>
    <w:rsid w:val="09A3CBFC"/>
    <w:rsid w:val="09A633D5"/>
    <w:rsid w:val="09AC2E5A"/>
    <w:rsid w:val="09B3E31D"/>
    <w:rsid w:val="09B64F30"/>
    <w:rsid w:val="09CD0A7F"/>
    <w:rsid w:val="09E77F94"/>
    <w:rsid w:val="09F07ABC"/>
    <w:rsid w:val="09F2C784"/>
    <w:rsid w:val="09F323F0"/>
    <w:rsid w:val="0A063987"/>
    <w:rsid w:val="0A0CC4F4"/>
    <w:rsid w:val="0A1624BB"/>
    <w:rsid w:val="0A3A8E45"/>
    <w:rsid w:val="0A4DBB96"/>
    <w:rsid w:val="0A59745C"/>
    <w:rsid w:val="0A74B39F"/>
    <w:rsid w:val="0A777A65"/>
    <w:rsid w:val="0A780F44"/>
    <w:rsid w:val="0A8A20C1"/>
    <w:rsid w:val="0A93FCD7"/>
    <w:rsid w:val="0A978D17"/>
    <w:rsid w:val="0A9AD4F2"/>
    <w:rsid w:val="0AB66B39"/>
    <w:rsid w:val="0AB93E80"/>
    <w:rsid w:val="0ABE49F4"/>
    <w:rsid w:val="0AC9DE55"/>
    <w:rsid w:val="0ACC3CF5"/>
    <w:rsid w:val="0ACFD41B"/>
    <w:rsid w:val="0AE4A65A"/>
    <w:rsid w:val="0AF515C8"/>
    <w:rsid w:val="0AFAC384"/>
    <w:rsid w:val="0B0049C4"/>
    <w:rsid w:val="0B06DD7F"/>
    <w:rsid w:val="0B15E9DE"/>
    <w:rsid w:val="0B213417"/>
    <w:rsid w:val="0B48FDC1"/>
    <w:rsid w:val="0B6F193A"/>
    <w:rsid w:val="0B896965"/>
    <w:rsid w:val="0B97F569"/>
    <w:rsid w:val="0BA0DA18"/>
    <w:rsid w:val="0BB2EAC0"/>
    <w:rsid w:val="0BBFDBB3"/>
    <w:rsid w:val="0BCBD528"/>
    <w:rsid w:val="0BCD34D1"/>
    <w:rsid w:val="0BE6E19D"/>
    <w:rsid w:val="0BE98BF7"/>
    <w:rsid w:val="0BF5BAF0"/>
    <w:rsid w:val="0C092301"/>
    <w:rsid w:val="0C0CB7C5"/>
    <w:rsid w:val="0C2BB571"/>
    <w:rsid w:val="0C3FAAB9"/>
    <w:rsid w:val="0C405C68"/>
    <w:rsid w:val="0C406B47"/>
    <w:rsid w:val="0C5C7894"/>
    <w:rsid w:val="0C6202B1"/>
    <w:rsid w:val="0C66A1AE"/>
    <w:rsid w:val="0C8F7877"/>
    <w:rsid w:val="0CA53FB1"/>
    <w:rsid w:val="0CA853ED"/>
    <w:rsid w:val="0CAC43D4"/>
    <w:rsid w:val="0CE62909"/>
    <w:rsid w:val="0CE6A047"/>
    <w:rsid w:val="0D01A112"/>
    <w:rsid w:val="0D037256"/>
    <w:rsid w:val="0D04B70B"/>
    <w:rsid w:val="0D3514D0"/>
    <w:rsid w:val="0D43F46A"/>
    <w:rsid w:val="0D5E7B3E"/>
    <w:rsid w:val="0D6E3216"/>
    <w:rsid w:val="0D770554"/>
    <w:rsid w:val="0D85E205"/>
    <w:rsid w:val="0D95A61F"/>
    <w:rsid w:val="0D9A9E5F"/>
    <w:rsid w:val="0DA42CB0"/>
    <w:rsid w:val="0DB71807"/>
    <w:rsid w:val="0DDB762F"/>
    <w:rsid w:val="0DDEBC26"/>
    <w:rsid w:val="0DE0435B"/>
    <w:rsid w:val="0DF1A8F7"/>
    <w:rsid w:val="0E1F12C2"/>
    <w:rsid w:val="0E2D4D16"/>
    <w:rsid w:val="0E2D69C6"/>
    <w:rsid w:val="0E4A91CD"/>
    <w:rsid w:val="0E6A31EA"/>
    <w:rsid w:val="0E7758E3"/>
    <w:rsid w:val="0E7C4486"/>
    <w:rsid w:val="0E7F0504"/>
    <w:rsid w:val="0E8270A8"/>
    <w:rsid w:val="0E8A14B6"/>
    <w:rsid w:val="0E8CFB44"/>
    <w:rsid w:val="0EAFC9A1"/>
    <w:rsid w:val="0EB057C6"/>
    <w:rsid w:val="0EB95BA2"/>
    <w:rsid w:val="0EE1403F"/>
    <w:rsid w:val="0EE70B19"/>
    <w:rsid w:val="0F0076A8"/>
    <w:rsid w:val="0F10D0E6"/>
    <w:rsid w:val="0F232777"/>
    <w:rsid w:val="0F271497"/>
    <w:rsid w:val="0F4824C2"/>
    <w:rsid w:val="0F6165BE"/>
    <w:rsid w:val="0F6263E4"/>
    <w:rsid w:val="0F71F977"/>
    <w:rsid w:val="0F86B205"/>
    <w:rsid w:val="0FA729A9"/>
    <w:rsid w:val="0FB6F1AC"/>
    <w:rsid w:val="0FED6746"/>
    <w:rsid w:val="0FFC5EF4"/>
    <w:rsid w:val="0FFE73AB"/>
    <w:rsid w:val="101A6927"/>
    <w:rsid w:val="102B0360"/>
    <w:rsid w:val="1030E5B0"/>
    <w:rsid w:val="10335137"/>
    <w:rsid w:val="10407E71"/>
    <w:rsid w:val="10552C03"/>
    <w:rsid w:val="10719D3C"/>
    <w:rsid w:val="1092C614"/>
    <w:rsid w:val="10A104A6"/>
    <w:rsid w:val="10D20CA9"/>
    <w:rsid w:val="10DA0A8C"/>
    <w:rsid w:val="1116A73E"/>
    <w:rsid w:val="11192EED"/>
    <w:rsid w:val="112A27AE"/>
    <w:rsid w:val="1140E4E0"/>
    <w:rsid w:val="1141BC06"/>
    <w:rsid w:val="11468638"/>
    <w:rsid w:val="1152B974"/>
    <w:rsid w:val="1157C624"/>
    <w:rsid w:val="11792932"/>
    <w:rsid w:val="1194A401"/>
    <w:rsid w:val="11A22229"/>
    <w:rsid w:val="11D9DABC"/>
    <w:rsid w:val="120885F3"/>
    <w:rsid w:val="12307992"/>
    <w:rsid w:val="12326B8C"/>
    <w:rsid w:val="1246DF0B"/>
    <w:rsid w:val="12562660"/>
    <w:rsid w:val="126917C2"/>
    <w:rsid w:val="1273AF52"/>
    <w:rsid w:val="129415EC"/>
    <w:rsid w:val="12C83A69"/>
    <w:rsid w:val="12CDE527"/>
    <w:rsid w:val="12F2431D"/>
    <w:rsid w:val="1318AF1A"/>
    <w:rsid w:val="13276812"/>
    <w:rsid w:val="132B3E1D"/>
    <w:rsid w:val="1339A68D"/>
    <w:rsid w:val="133F5567"/>
    <w:rsid w:val="134B2760"/>
    <w:rsid w:val="1353F0A2"/>
    <w:rsid w:val="135E1431"/>
    <w:rsid w:val="1361B969"/>
    <w:rsid w:val="1377AE35"/>
    <w:rsid w:val="139C0270"/>
    <w:rsid w:val="139F7C45"/>
    <w:rsid w:val="13BDFCA5"/>
    <w:rsid w:val="13E676DF"/>
    <w:rsid w:val="13E89872"/>
    <w:rsid w:val="13EA06B4"/>
    <w:rsid w:val="13EDCA4E"/>
    <w:rsid w:val="13FF0993"/>
    <w:rsid w:val="141C68A7"/>
    <w:rsid w:val="143061CA"/>
    <w:rsid w:val="144076AC"/>
    <w:rsid w:val="14420C93"/>
    <w:rsid w:val="14467984"/>
    <w:rsid w:val="1446D393"/>
    <w:rsid w:val="144B7D2C"/>
    <w:rsid w:val="144D5047"/>
    <w:rsid w:val="145BC6C2"/>
    <w:rsid w:val="147885A2"/>
    <w:rsid w:val="14949768"/>
    <w:rsid w:val="14AD7D87"/>
    <w:rsid w:val="14B05196"/>
    <w:rsid w:val="14BA2331"/>
    <w:rsid w:val="14C00B97"/>
    <w:rsid w:val="14CC63CC"/>
    <w:rsid w:val="14E64770"/>
    <w:rsid w:val="14F6CE87"/>
    <w:rsid w:val="14FDA2D6"/>
    <w:rsid w:val="150F786B"/>
    <w:rsid w:val="1560C4E8"/>
    <w:rsid w:val="158AD584"/>
    <w:rsid w:val="15954667"/>
    <w:rsid w:val="15A3F65E"/>
    <w:rsid w:val="15B3D9B5"/>
    <w:rsid w:val="15B92997"/>
    <w:rsid w:val="15E74D8D"/>
    <w:rsid w:val="15EB4943"/>
    <w:rsid w:val="15EFCFFB"/>
    <w:rsid w:val="15F6E1A3"/>
    <w:rsid w:val="15FB4DDF"/>
    <w:rsid w:val="15FE457B"/>
    <w:rsid w:val="1610FC4A"/>
    <w:rsid w:val="161349F2"/>
    <w:rsid w:val="161F93B4"/>
    <w:rsid w:val="16358CDB"/>
    <w:rsid w:val="1655F392"/>
    <w:rsid w:val="166D868F"/>
    <w:rsid w:val="16841ADA"/>
    <w:rsid w:val="168D828D"/>
    <w:rsid w:val="169BFB52"/>
    <w:rsid w:val="16A85B65"/>
    <w:rsid w:val="16A9957E"/>
    <w:rsid w:val="16B2CF06"/>
    <w:rsid w:val="1709A1DF"/>
    <w:rsid w:val="17182F21"/>
    <w:rsid w:val="171A8049"/>
    <w:rsid w:val="171EC86E"/>
    <w:rsid w:val="172DCE42"/>
    <w:rsid w:val="17360E91"/>
    <w:rsid w:val="17386FC2"/>
    <w:rsid w:val="17396566"/>
    <w:rsid w:val="1741405F"/>
    <w:rsid w:val="174A20C5"/>
    <w:rsid w:val="174A81F7"/>
    <w:rsid w:val="1759B0F6"/>
    <w:rsid w:val="175E313F"/>
    <w:rsid w:val="1770519B"/>
    <w:rsid w:val="1780C78D"/>
    <w:rsid w:val="17930C3C"/>
    <w:rsid w:val="1794C849"/>
    <w:rsid w:val="17D431B6"/>
    <w:rsid w:val="17D52612"/>
    <w:rsid w:val="17D820C4"/>
    <w:rsid w:val="17F0C77B"/>
    <w:rsid w:val="17F7B5FC"/>
    <w:rsid w:val="1815527F"/>
    <w:rsid w:val="1818EC0C"/>
    <w:rsid w:val="183AAC00"/>
    <w:rsid w:val="185F8218"/>
    <w:rsid w:val="1863C990"/>
    <w:rsid w:val="186895FA"/>
    <w:rsid w:val="187A04BB"/>
    <w:rsid w:val="1891A714"/>
    <w:rsid w:val="189EE329"/>
    <w:rsid w:val="18C03C87"/>
    <w:rsid w:val="18D78B16"/>
    <w:rsid w:val="18EAC527"/>
    <w:rsid w:val="192C128D"/>
    <w:rsid w:val="192F37E5"/>
    <w:rsid w:val="19364335"/>
    <w:rsid w:val="19431DB0"/>
    <w:rsid w:val="19518555"/>
    <w:rsid w:val="1980FDBE"/>
    <w:rsid w:val="19841798"/>
    <w:rsid w:val="1986D835"/>
    <w:rsid w:val="199404DB"/>
    <w:rsid w:val="1994DC8F"/>
    <w:rsid w:val="19A384AA"/>
    <w:rsid w:val="19BE8B8F"/>
    <w:rsid w:val="19CDD480"/>
    <w:rsid w:val="19FA10A0"/>
    <w:rsid w:val="1A05A33A"/>
    <w:rsid w:val="1A0AC3BC"/>
    <w:rsid w:val="1A1458AC"/>
    <w:rsid w:val="1A1B04E7"/>
    <w:rsid w:val="1A300FBB"/>
    <w:rsid w:val="1A75EAA8"/>
    <w:rsid w:val="1A819AD2"/>
    <w:rsid w:val="1A969381"/>
    <w:rsid w:val="1AA17D49"/>
    <w:rsid w:val="1AB09CA5"/>
    <w:rsid w:val="1ABABEB0"/>
    <w:rsid w:val="1AC6D9C2"/>
    <w:rsid w:val="1ACB72A5"/>
    <w:rsid w:val="1AF20401"/>
    <w:rsid w:val="1B066ABD"/>
    <w:rsid w:val="1B1D27A5"/>
    <w:rsid w:val="1B1E3334"/>
    <w:rsid w:val="1B5E7FBE"/>
    <w:rsid w:val="1B60D448"/>
    <w:rsid w:val="1B614449"/>
    <w:rsid w:val="1B6425C6"/>
    <w:rsid w:val="1B724CC2"/>
    <w:rsid w:val="1B7E864C"/>
    <w:rsid w:val="1B898187"/>
    <w:rsid w:val="1BC4542D"/>
    <w:rsid w:val="1BC8B650"/>
    <w:rsid w:val="1BE05D4E"/>
    <w:rsid w:val="1BECAE82"/>
    <w:rsid w:val="1C14AF41"/>
    <w:rsid w:val="1C26A7CA"/>
    <w:rsid w:val="1C374DCA"/>
    <w:rsid w:val="1C3C7DEC"/>
    <w:rsid w:val="1C3D924A"/>
    <w:rsid w:val="1C48F13B"/>
    <w:rsid w:val="1C6FB76E"/>
    <w:rsid w:val="1C79556C"/>
    <w:rsid w:val="1C7EF079"/>
    <w:rsid w:val="1C8AE218"/>
    <w:rsid w:val="1C8B3A7B"/>
    <w:rsid w:val="1C8C2FE9"/>
    <w:rsid w:val="1C910CC0"/>
    <w:rsid w:val="1C974C2F"/>
    <w:rsid w:val="1CC3E31E"/>
    <w:rsid w:val="1CCAA104"/>
    <w:rsid w:val="1CCAE282"/>
    <w:rsid w:val="1CE2A020"/>
    <w:rsid w:val="1CE7A739"/>
    <w:rsid w:val="1CEDB923"/>
    <w:rsid w:val="1CF1ED1F"/>
    <w:rsid w:val="1CF2D2C7"/>
    <w:rsid w:val="1CF99150"/>
    <w:rsid w:val="1D08B4BB"/>
    <w:rsid w:val="1D146CF8"/>
    <w:rsid w:val="1D17C4DC"/>
    <w:rsid w:val="1D24C261"/>
    <w:rsid w:val="1D499176"/>
    <w:rsid w:val="1D5E1EAC"/>
    <w:rsid w:val="1D609CE3"/>
    <w:rsid w:val="1D8770A5"/>
    <w:rsid w:val="1D9CD786"/>
    <w:rsid w:val="1D9D37FB"/>
    <w:rsid w:val="1DA0456D"/>
    <w:rsid w:val="1DAA4B13"/>
    <w:rsid w:val="1DB9CF6F"/>
    <w:rsid w:val="1DBDB82A"/>
    <w:rsid w:val="1DC2782B"/>
    <w:rsid w:val="1E149BDB"/>
    <w:rsid w:val="1E2119D8"/>
    <w:rsid w:val="1E300058"/>
    <w:rsid w:val="1E3B79F4"/>
    <w:rsid w:val="1E49F5E1"/>
    <w:rsid w:val="1E4E320A"/>
    <w:rsid w:val="1E66EF2C"/>
    <w:rsid w:val="1E8B5CBF"/>
    <w:rsid w:val="1E939555"/>
    <w:rsid w:val="1EBA0C02"/>
    <w:rsid w:val="1EEFA8AD"/>
    <w:rsid w:val="1EF9F82C"/>
    <w:rsid w:val="1EFEBBEC"/>
    <w:rsid w:val="1F078043"/>
    <w:rsid w:val="1F12972E"/>
    <w:rsid w:val="1F154005"/>
    <w:rsid w:val="1F2ED13E"/>
    <w:rsid w:val="1F469EBE"/>
    <w:rsid w:val="1F4B7438"/>
    <w:rsid w:val="1F4C7121"/>
    <w:rsid w:val="1F754911"/>
    <w:rsid w:val="1F887F83"/>
    <w:rsid w:val="1F8A57BB"/>
    <w:rsid w:val="1F9E9384"/>
    <w:rsid w:val="1FA4422E"/>
    <w:rsid w:val="1FCE231A"/>
    <w:rsid w:val="1FDD0E28"/>
    <w:rsid w:val="1FE0D04B"/>
    <w:rsid w:val="2013E763"/>
    <w:rsid w:val="201C8082"/>
    <w:rsid w:val="201DA159"/>
    <w:rsid w:val="2025610C"/>
    <w:rsid w:val="202AA1AA"/>
    <w:rsid w:val="203460C7"/>
    <w:rsid w:val="204613E3"/>
    <w:rsid w:val="204E1915"/>
    <w:rsid w:val="205598DF"/>
    <w:rsid w:val="2078A02A"/>
    <w:rsid w:val="208868AA"/>
    <w:rsid w:val="208D59C0"/>
    <w:rsid w:val="2096A61F"/>
    <w:rsid w:val="2096C34B"/>
    <w:rsid w:val="20AB4992"/>
    <w:rsid w:val="20BC0CEB"/>
    <w:rsid w:val="20D6A00C"/>
    <w:rsid w:val="20E15F29"/>
    <w:rsid w:val="20F1F213"/>
    <w:rsid w:val="20F2C325"/>
    <w:rsid w:val="20FD29E5"/>
    <w:rsid w:val="210633B9"/>
    <w:rsid w:val="2109CD4C"/>
    <w:rsid w:val="210A1D00"/>
    <w:rsid w:val="210EFF69"/>
    <w:rsid w:val="2124F505"/>
    <w:rsid w:val="2127B088"/>
    <w:rsid w:val="213715A0"/>
    <w:rsid w:val="21432891"/>
    <w:rsid w:val="2144766C"/>
    <w:rsid w:val="214D409F"/>
    <w:rsid w:val="2153A1D0"/>
    <w:rsid w:val="21652F40"/>
    <w:rsid w:val="217BED08"/>
    <w:rsid w:val="2180C4E2"/>
    <w:rsid w:val="21937938"/>
    <w:rsid w:val="219ABA3B"/>
    <w:rsid w:val="21B640A5"/>
    <w:rsid w:val="21CDAC80"/>
    <w:rsid w:val="21D7C528"/>
    <w:rsid w:val="21E95985"/>
    <w:rsid w:val="21EDDBE0"/>
    <w:rsid w:val="22049ACA"/>
    <w:rsid w:val="220AF6D4"/>
    <w:rsid w:val="221BDB94"/>
    <w:rsid w:val="222AEA91"/>
    <w:rsid w:val="222F7CFB"/>
    <w:rsid w:val="223918C2"/>
    <w:rsid w:val="2252DB64"/>
    <w:rsid w:val="2256094E"/>
    <w:rsid w:val="22781946"/>
    <w:rsid w:val="227FB8EA"/>
    <w:rsid w:val="228133FB"/>
    <w:rsid w:val="2299B33B"/>
    <w:rsid w:val="22B0EB6F"/>
    <w:rsid w:val="22C02045"/>
    <w:rsid w:val="22CD1E76"/>
    <w:rsid w:val="22ECD780"/>
    <w:rsid w:val="22F84114"/>
    <w:rsid w:val="2312F158"/>
    <w:rsid w:val="23357C5E"/>
    <w:rsid w:val="23461A87"/>
    <w:rsid w:val="2346D7F1"/>
    <w:rsid w:val="23493684"/>
    <w:rsid w:val="23521106"/>
    <w:rsid w:val="2363D47F"/>
    <w:rsid w:val="2364AC76"/>
    <w:rsid w:val="2376C246"/>
    <w:rsid w:val="237ADB88"/>
    <w:rsid w:val="2387BA38"/>
    <w:rsid w:val="23A2E487"/>
    <w:rsid w:val="23A82A38"/>
    <w:rsid w:val="23A842EB"/>
    <w:rsid w:val="23B04EDF"/>
    <w:rsid w:val="23DB1851"/>
    <w:rsid w:val="23E7F90E"/>
    <w:rsid w:val="23E83ABE"/>
    <w:rsid w:val="24098B2F"/>
    <w:rsid w:val="2409D0A8"/>
    <w:rsid w:val="240B8C40"/>
    <w:rsid w:val="24132C61"/>
    <w:rsid w:val="241BFC7D"/>
    <w:rsid w:val="24224445"/>
    <w:rsid w:val="24270A44"/>
    <w:rsid w:val="242D77CE"/>
    <w:rsid w:val="242F3732"/>
    <w:rsid w:val="243AB996"/>
    <w:rsid w:val="243D02DA"/>
    <w:rsid w:val="2446A02B"/>
    <w:rsid w:val="24485F8F"/>
    <w:rsid w:val="24521A6C"/>
    <w:rsid w:val="245DD75F"/>
    <w:rsid w:val="2461A0F6"/>
    <w:rsid w:val="24634445"/>
    <w:rsid w:val="24648AD4"/>
    <w:rsid w:val="247D8B25"/>
    <w:rsid w:val="24D3C37C"/>
    <w:rsid w:val="24DC32A3"/>
    <w:rsid w:val="24E1202E"/>
    <w:rsid w:val="2518FDB7"/>
    <w:rsid w:val="2524E632"/>
    <w:rsid w:val="2546E01F"/>
    <w:rsid w:val="25486B34"/>
    <w:rsid w:val="255C1F6C"/>
    <w:rsid w:val="256388BE"/>
    <w:rsid w:val="25660F50"/>
    <w:rsid w:val="25669EC0"/>
    <w:rsid w:val="256C35D3"/>
    <w:rsid w:val="257F12A6"/>
    <w:rsid w:val="259B7E4E"/>
    <w:rsid w:val="25AD3522"/>
    <w:rsid w:val="25C53EDA"/>
    <w:rsid w:val="25DB5333"/>
    <w:rsid w:val="26118E85"/>
    <w:rsid w:val="261671C1"/>
    <w:rsid w:val="26195B86"/>
    <w:rsid w:val="262B7875"/>
    <w:rsid w:val="262C4D12"/>
    <w:rsid w:val="263443B4"/>
    <w:rsid w:val="263BAB22"/>
    <w:rsid w:val="26444480"/>
    <w:rsid w:val="26580041"/>
    <w:rsid w:val="266E2B5E"/>
    <w:rsid w:val="2682AA9E"/>
    <w:rsid w:val="26C2FC8B"/>
    <w:rsid w:val="26CE45F9"/>
    <w:rsid w:val="26D1F303"/>
    <w:rsid w:val="26D8643D"/>
    <w:rsid w:val="273FEB65"/>
    <w:rsid w:val="2759E507"/>
    <w:rsid w:val="276B621C"/>
    <w:rsid w:val="27832485"/>
    <w:rsid w:val="279DAC04"/>
    <w:rsid w:val="27B089A8"/>
    <w:rsid w:val="27B86B9B"/>
    <w:rsid w:val="27CADDFB"/>
    <w:rsid w:val="28164DED"/>
    <w:rsid w:val="281CFCFE"/>
    <w:rsid w:val="285BAA50"/>
    <w:rsid w:val="2870B520"/>
    <w:rsid w:val="2873DC4E"/>
    <w:rsid w:val="28820123"/>
    <w:rsid w:val="28A34466"/>
    <w:rsid w:val="28AF82B8"/>
    <w:rsid w:val="28B25B66"/>
    <w:rsid w:val="28BD8D5D"/>
    <w:rsid w:val="28CC1CF8"/>
    <w:rsid w:val="28D461FA"/>
    <w:rsid w:val="28E3A512"/>
    <w:rsid w:val="28E96F40"/>
    <w:rsid w:val="2913C00E"/>
    <w:rsid w:val="2930F0F6"/>
    <w:rsid w:val="2936705C"/>
    <w:rsid w:val="294B0F35"/>
    <w:rsid w:val="295F40A6"/>
    <w:rsid w:val="298F9B8B"/>
    <w:rsid w:val="29A4BDE2"/>
    <w:rsid w:val="29C136B2"/>
    <w:rsid w:val="29D988BE"/>
    <w:rsid w:val="29E001DE"/>
    <w:rsid w:val="29E33093"/>
    <w:rsid w:val="29E9C9ED"/>
    <w:rsid w:val="2A0436F0"/>
    <w:rsid w:val="2A1BD43E"/>
    <w:rsid w:val="2A244C1D"/>
    <w:rsid w:val="2A28D50C"/>
    <w:rsid w:val="2A36F9E1"/>
    <w:rsid w:val="2A58C6EB"/>
    <w:rsid w:val="2A5A829E"/>
    <w:rsid w:val="2A7E52B4"/>
    <w:rsid w:val="2A82060D"/>
    <w:rsid w:val="2A874351"/>
    <w:rsid w:val="2A87D2D6"/>
    <w:rsid w:val="2A949FED"/>
    <w:rsid w:val="2A9F1BA5"/>
    <w:rsid w:val="2A9FD2D7"/>
    <w:rsid w:val="2AA4A6D8"/>
    <w:rsid w:val="2AB627BE"/>
    <w:rsid w:val="2ABD581C"/>
    <w:rsid w:val="2AF36C7B"/>
    <w:rsid w:val="2B008E13"/>
    <w:rsid w:val="2B0876F8"/>
    <w:rsid w:val="2B1B0825"/>
    <w:rsid w:val="2B1FB523"/>
    <w:rsid w:val="2B31376D"/>
    <w:rsid w:val="2B35E846"/>
    <w:rsid w:val="2B457BD8"/>
    <w:rsid w:val="2B45FB46"/>
    <w:rsid w:val="2B4E9A15"/>
    <w:rsid w:val="2B590173"/>
    <w:rsid w:val="2B71598E"/>
    <w:rsid w:val="2B7BD23F"/>
    <w:rsid w:val="2B8A6ABE"/>
    <w:rsid w:val="2B9A5741"/>
    <w:rsid w:val="2B9E7119"/>
    <w:rsid w:val="2BAE6FD1"/>
    <w:rsid w:val="2BB0CF93"/>
    <w:rsid w:val="2BBCB7E7"/>
    <w:rsid w:val="2BE71FDA"/>
    <w:rsid w:val="2BF19775"/>
    <w:rsid w:val="2BF483DA"/>
    <w:rsid w:val="2C0337D5"/>
    <w:rsid w:val="2C1A2315"/>
    <w:rsid w:val="2C53D61B"/>
    <w:rsid w:val="2C59CFF7"/>
    <w:rsid w:val="2C5E237E"/>
    <w:rsid w:val="2CC0C4CC"/>
    <w:rsid w:val="2CCD57D9"/>
    <w:rsid w:val="2CD04578"/>
    <w:rsid w:val="2CD70956"/>
    <w:rsid w:val="2CDA83D3"/>
    <w:rsid w:val="2CDD0963"/>
    <w:rsid w:val="2CEEDFC6"/>
    <w:rsid w:val="2CFF0723"/>
    <w:rsid w:val="2D093EF0"/>
    <w:rsid w:val="2D216AAF"/>
    <w:rsid w:val="2D41538D"/>
    <w:rsid w:val="2D57EC8C"/>
    <w:rsid w:val="2D5FA849"/>
    <w:rsid w:val="2D6075CE"/>
    <w:rsid w:val="2D884A9F"/>
    <w:rsid w:val="2D9E8D59"/>
    <w:rsid w:val="2DA69033"/>
    <w:rsid w:val="2DA9016A"/>
    <w:rsid w:val="2DADB25B"/>
    <w:rsid w:val="2DB24472"/>
    <w:rsid w:val="2DF94A5E"/>
    <w:rsid w:val="2E0DB6D1"/>
    <w:rsid w:val="2E1C8BD4"/>
    <w:rsid w:val="2E1E9597"/>
    <w:rsid w:val="2E782F05"/>
    <w:rsid w:val="2E7AB314"/>
    <w:rsid w:val="2E828127"/>
    <w:rsid w:val="2E842AA0"/>
    <w:rsid w:val="2E8DFC19"/>
    <w:rsid w:val="2EA2DB96"/>
    <w:rsid w:val="2EA32C94"/>
    <w:rsid w:val="2EB6A1B6"/>
    <w:rsid w:val="2ECCC220"/>
    <w:rsid w:val="2ED24B6E"/>
    <w:rsid w:val="2F05983F"/>
    <w:rsid w:val="2F1C3822"/>
    <w:rsid w:val="2F1D297D"/>
    <w:rsid w:val="2F1E31AF"/>
    <w:rsid w:val="2F323B08"/>
    <w:rsid w:val="2F5D5458"/>
    <w:rsid w:val="2F65E778"/>
    <w:rsid w:val="2F88F5DF"/>
    <w:rsid w:val="2F9F33D8"/>
    <w:rsid w:val="2FA32D21"/>
    <w:rsid w:val="2FAA5374"/>
    <w:rsid w:val="2FBB762D"/>
    <w:rsid w:val="2FD2ED4C"/>
    <w:rsid w:val="2FE2E2FF"/>
    <w:rsid w:val="2FF570EB"/>
    <w:rsid w:val="2FFD19ED"/>
    <w:rsid w:val="30041BB0"/>
    <w:rsid w:val="301BE4ED"/>
    <w:rsid w:val="301E9A81"/>
    <w:rsid w:val="3023B621"/>
    <w:rsid w:val="30365247"/>
    <w:rsid w:val="3038D688"/>
    <w:rsid w:val="3040860E"/>
    <w:rsid w:val="3044E660"/>
    <w:rsid w:val="30832A4C"/>
    <w:rsid w:val="3087B22B"/>
    <w:rsid w:val="30915EE2"/>
    <w:rsid w:val="30981690"/>
    <w:rsid w:val="30A0CDAA"/>
    <w:rsid w:val="30AEAD09"/>
    <w:rsid w:val="30C976E3"/>
    <w:rsid w:val="30D9997B"/>
    <w:rsid w:val="30DD2E62"/>
    <w:rsid w:val="30DF73DF"/>
    <w:rsid w:val="30E3833A"/>
    <w:rsid w:val="30FFD4D3"/>
    <w:rsid w:val="310334FC"/>
    <w:rsid w:val="3108878B"/>
    <w:rsid w:val="3108D097"/>
    <w:rsid w:val="311A70F7"/>
    <w:rsid w:val="3121F8F4"/>
    <w:rsid w:val="312DE217"/>
    <w:rsid w:val="313B4ECC"/>
    <w:rsid w:val="313F3771"/>
    <w:rsid w:val="314C62E0"/>
    <w:rsid w:val="31536A58"/>
    <w:rsid w:val="31673EDF"/>
    <w:rsid w:val="317E357D"/>
    <w:rsid w:val="3192A1B5"/>
    <w:rsid w:val="3196A76A"/>
    <w:rsid w:val="31AA7A79"/>
    <w:rsid w:val="31C076BA"/>
    <w:rsid w:val="31CF0A3B"/>
    <w:rsid w:val="31D37F17"/>
    <w:rsid w:val="31E550E2"/>
    <w:rsid w:val="31E7EB70"/>
    <w:rsid w:val="31EC07C3"/>
    <w:rsid w:val="31F8A866"/>
    <w:rsid w:val="31F8ACE8"/>
    <w:rsid w:val="3203E881"/>
    <w:rsid w:val="3214ECB7"/>
    <w:rsid w:val="3218E21A"/>
    <w:rsid w:val="321ABE94"/>
    <w:rsid w:val="323FCE96"/>
    <w:rsid w:val="325AB1DB"/>
    <w:rsid w:val="32666AA1"/>
    <w:rsid w:val="327113E4"/>
    <w:rsid w:val="32725C5A"/>
    <w:rsid w:val="327BEB09"/>
    <w:rsid w:val="32886821"/>
    <w:rsid w:val="32940D55"/>
    <w:rsid w:val="32A57AEF"/>
    <w:rsid w:val="32C0F394"/>
    <w:rsid w:val="32C40F8A"/>
    <w:rsid w:val="32CAAFE1"/>
    <w:rsid w:val="32CEF5A1"/>
    <w:rsid w:val="32D24CA6"/>
    <w:rsid w:val="32D77A1E"/>
    <w:rsid w:val="32DEA798"/>
    <w:rsid w:val="3300142B"/>
    <w:rsid w:val="330173B8"/>
    <w:rsid w:val="331920A5"/>
    <w:rsid w:val="33231891"/>
    <w:rsid w:val="33471143"/>
    <w:rsid w:val="337BB303"/>
    <w:rsid w:val="339EA7AF"/>
    <w:rsid w:val="33B0DEA5"/>
    <w:rsid w:val="33C63EAD"/>
    <w:rsid w:val="33D947B5"/>
    <w:rsid w:val="33D9DBD2"/>
    <w:rsid w:val="33DFEABD"/>
    <w:rsid w:val="33E14196"/>
    <w:rsid w:val="33E9CC8F"/>
    <w:rsid w:val="33EC1DC2"/>
    <w:rsid w:val="33FFA931"/>
    <w:rsid w:val="3401F7A4"/>
    <w:rsid w:val="34054610"/>
    <w:rsid w:val="340796B7"/>
    <w:rsid w:val="342D0164"/>
    <w:rsid w:val="3431227F"/>
    <w:rsid w:val="34312EC0"/>
    <w:rsid w:val="34543C6F"/>
    <w:rsid w:val="345CC3F5"/>
    <w:rsid w:val="3488A35C"/>
    <w:rsid w:val="349DAA1F"/>
    <w:rsid w:val="349DDC6E"/>
    <w:rsid w:val="34A014B6"/>
    <w:rsid w:val="34A6A07B"/>
    <w:rsid w:val="34A9ABC4"/>
    <w:rsid w:val="34C89958"/>
    <w:rsid w:val="3511A281"/>
    <w:rsid w:val="35162A75"/>
    <w:rsid w:val="352AC987"/>
    <w:rsid w:val="357620B3"/>
    <w:rsid w:val="358594A6"/>
    <w:rsid w:val="35965632"/>
    <w:rsid w:val="35A4A960"/>
    <w:rsid w:val="35DEF709"/>
    <w:rsid w:val="35DF7E2F"/>
    <w:rsid w:val="35E8715F"/>
    <w:rsid w:val="35E8B2CC"/>
    <w:rsid w:val="35F15767"/>
    <w:rsid w:val="36042D65"/>
    <w:rsid w:val="360562FD"/>
    <w:rsid w:val="362B301F"/>
    <w:rsid w:val="363F3D17"/>
    <w:rsid w:val="364AEE4C"/>
    <w:rsid w:val="364CA0BC"/>
    <w:rsid w:val="3665EBEF"/>
    <w:rsid w:val="3667A712"/>
    <w:rsid w:val="36C3801C"/>
    <w:rsid w:val="36CBD56D"/>
    <w:rsid w:val="36CF8E2C"/>
    <w:rsid w:val="36E7581C"/>
    <w:rsid w:val="36EC5749"/>
    <w:rsid w:val="36F75989"/>
    <w:rsid w:val="36FF6A8E"/>
    <w:rsid w:val="37057B9A"/>
    <w:rsid w:val="370A0675"/>
    <w:rsid w:val="370F91D0"/>
    <w:rsid w:val="3711EA27"/>
    <w:rsid w:val="3712D54F"/>
    <w:rsid w:val="3714DC96"/>
    <w:rsid w:val="37156C03"/>
    <w:rsid w:val="3758D8A5"/>
    <w:rsid w:val="3775BAEC"/>
    <w:rsid w:val="3778C8E2"/>
    <w:rsid w:val="37983A22"/>
    <w:rsid w:val="37AC0D9E"/>
    <w:rsid w:val="37E62EC3"/>
    <w:rsid w:val="37F39D15"/>
    <w:rsid w:val="37FDFFF7"/>
    <w:rsid w:val="38088126"/>
    <w:rsid w:val="3810B8FA"/>
    <w:rsid w:val="3819BBFD"/>
    <w:rsid w:val="38226B9E"/>
    <w:rsid w:val="38274B63"/>
    <w:rsid w:val="3837847B"/>
    <w:rsid w:val="38497C06"/>
    <w:rsid w:val="384D6B93"/>
    <w:rsid w:val="38505055"/>
    <w:rsid w:val="386F170D"/>
    <w:rsid w:val="3870BEB1"/>
    <w:rsid w:val="38A5D6D6"/>
    <w:rsid w:val="38A96641"/>
    <w:rsid w:val="38ADBA88"/>
    <w:rsid w:val="3907C838"/>
    <w:rsid w:val="3926E3BB"/>
    <w:rsid w:val="393CA686"/>
    <w:rsid w:val="393EBC83"/>
    <w:rsid w:val="395E1745"/>
    <w:rsid w:val="3962D5F5"/>
    <w:rsid w:val="39C51781"/>
    <w:rsid w:val="39D2E42B"/>
    <w:rsid w:val="39F5F179"/>
    <w:rsid w:val="3A157C38"/>
    <w:rsid w:val="3A1AA6AE"/>
    <w:rsid w:val="3A2CB6EF"/>
    <w:rsid w:val="3A576CBC"/>
    <w:rsid w:val="3A6BB9AA"/>
    <w:rsid w:val="3A6EEAFB"/>
    <w:rsid w:val="3A704185"/>
    <w:rsid w:val="3A753A37"/>
    <w:rsid w:val="3A76FE97"/>
    <w:rsid w:val="3A7B61E7"/>
    <w:rsid w:val="3A8D59D5"/>
    <w:rsid w:val="3A9D61C9"/>
    <w:rsid w:val="3AAF9719"/>
    <w:rsid w:val="3AC1E613"/>
    <w:rsid w:val="3AC8AB98"/>
    <w:rsid w:val="3ACA6297"/>
    <w:rsid w:val="3ACF19A5"/>
    <w:rsid w:val="3ACFDAE4"/>
    <w:rsid w:val="3AF0B94B"/>
    <w:rsid w:val="3AFD326E"/>
    <w:rsid w:val="3B159C09"/>
    <w:rsid w:val="3B2127BB"/>
    <w:rsid w:val="3B243BA9"/>
    <w:rsid w:val="3B3FA029"/>
    <w:rsid w:val="3B4CC938"/>
    <w:rsid w:val="3B5F585C"/>
    <w:rsid w:val="3B664420"/>
    <w:rsid w:val="3B7BD605"/>
    <w:rsid w:val="3B94CB38"/>
    <w:rsid w:val="3B958965"/>
    <w:rsid w:val="3B95DADE"/>
    <w:rsid w:val="3B9CCF67"/>
    <w:rsid w:val="3BB950A9"/>
    <w:rsid w:val="3BDAC937"/>
    <w:rsid w:val="3BDE2DCE"/>
    <w:rsid w:val="3BEF4BA6"/>
    <w:rsid w:val="3C27E346"/>
    <w:rsid w:val="3C2B2AB3"/>
    <w:rsid w:val="3C2BE3E2"/>
    <w:rsid w:val="3C3449FC"/>
    <w:rsid w:val="3C3A5A0E"/>
    <w:rsid w:val="3C546FF4"/>
    <w:rsid w:val="3C60C8F1"/>
    <w:rsid w:val="3C67D5DA"/>
    <w:rsid w:val="3CB7605E"/>
    <w:rsid w:val="3CC5C255"/>
    <w:rsid w:val="3CE08AF6"/>
    <w:rsid w:val="3CE3F52C"/>
    <w:rsid w:val="3D13F1FF"/>
    <w:rsid w:val="3D176428"/>
    <w:rsid w:val="3D1A347F"/>
    <w:rsid w:val="3D2C12D1"/>
    <w:rsid w:val="3D2FE7D4"/>
    <w:rsid w:val="3D428830"/>
    <w:rsid w:val="3D6AEC91"/>
    <w:rsid w:val="3D6B060F"/>
    <w:rsid w:val="3DB74B95"/>
    <w:rsid w:val="3DB80EF1"/>
    <w:rsid w:val="3DBF6F09"/>
    <w:rsid w:val="3DCB9A87"/>
    <w:rsid w:val="3DD1374E"/>
    <w:rsid w:val="3DD94307"/>
    <w:rsid w:val="3DE2C1F2"/>
    <w:rsid w:val="3E18591A"/>
    <w:rsid w:val="3E45277E"/>
    <w:rsid w:val="3E4E294D"/>
    <w:rsid w:val="3E4E7A3D"/>
    <w:rsid w:val="3E55584E"/>
    <w:rsid w:val="3E616BBB"/>
    <w:rsid w:val="3E8417DC"/>
    <w:rsid w:val="3EA6B1D6"/>
    <w:rsid w:val="3EB364B5"/>
    <w:rsid w:val="3EBDA18F"/>
    <w:rsid w:val="3EBEA46F"/>
    <w:rsid w:val="3ECB29B4"/>
    <w:rsid w:val="3F06F934"/>
    <w:rsid w:val="3F152090"/>
    <w:rsid w:val="3F2C573A"/>
    <w:rsid w:val="3F4A10FA"/>
    <w:rsid w:val="3F4A6FBA"/>
    <w:rsid w:val="3F54F501"/>
    <w:rsid w:val="3F639817"/>
    <w:rsid w:val="3F8CD81B"/>
    <w:rsid w:val="3F931F5D"/>
    <w:rsid w:val="3FA37676"/>
    <w:rsid w:val="3FA6ECE4"/>
    <w:rsid w:val="3FAD78A9"/>
    <w:rsid w:val="3FD06A1C"/>
    <w:rsid w:val="3FF1F692"/>
    <w:rsid w:val="401B399F"/>
    <w:rsid w:val="4020AD66"/>
    <w:rsid w:val="402D7D83"/>
    <w:rsid w:val="4048A683"/>
    <w:rsid w:val="4060AE72"/>
    <w:rsid w:val="4084EDB7"/>
    <w:rsid w:val="4097FBDB"/>
    <w:rsid w:val="409FD397"/>
    <w:rsid w:val="40A090AF"/>
    <w:rsid w:val="40D64739"/>
    <w:rsid w:val="40EA677E"/>
    <w:rsid w:val="40EA865A"/>
    <w:rsid w:val="40F0795A"/>
    <w:rsid w:val="41024C4B"/>
    <w:rsid w:val="410CA34D"/>
    <w:rsid w:val="411D434E"/>
    <w:rsid w:val="411ED89D"/>
    <w:rsid w:val="414A2CFF"/>
    <w:rsid w:val="414BA751"/>
    <w:rsid w:val="4157B6E6"/>
    <w:rsid w:val="416993A9"/>
    <w:rsid w:val="416DD425"/>
    <w:rsid w:val="4171DFA2"/>
    <w:rsid w:val="4174FF16"/>
    <w:rsid w:val="417F8F3D"/>
    <w:rsid w:val="419EE74B"/>
    <w:rsid w:val="41B36D24"/>
    <w:rsid w:val="41C139E3"/>
    <w:rsid w:val="41C20F64"/>
    <w:rsid w:val="41C46A92"/>
    <w:rsid w:val="41D95C50"/>
    <w:rsid w:val="41E0FE8D"/>
    <w:rsid w:val="41E38038"/>
    <w:rsid w:val="41EE4183"/>
    <w:rsid w:val="42045778"/>
    <w:rsid w:val="4230E25E"/>
    <w:rsid w:val="4235A8B6"/>
    <w:rsid w:val="4240B16F"/>
    <w:rsid w:val="42570840"/>
    <w:rsid w:val="427970B5"/>
    <w:rsid w:val="428451FB"/>
    <w:rsid w:val="4298B750"/>
    <w:rsid w:val="42A180A1"/>
    <w:rsid w:val="42A20128"/>
    <w:rsid w:val="42D60944"/>
    <w:rsid w:val="42E4F52C"/>
    <w:rsid w:val="4304A689"/>
    <w:rsid w:val="431DA129"/>
    <w:rsid w:val="433705D1"/>
    <w:rsid w:val="435605A4"/>
    <w:rsid w:val="43734D0A"/>
    <w:rsid w:val="43B08B14"/>
    <w:rsid w:val="43B99B6E"/>
    <w:rsid w:val="43D3C2FB"/>
    <w:rsid w:val="43E46349"/>
    <w:rsid w:val="43FA6923"/>
    <w:rsid w:val="43FFEDD6"/>
    <w:rsid w:val="44071E34"/>
    <w:rsid w:val="440E26F0"/>
    <w:rsid w:val="44143BDD"/>
    <w:rsid w:val="44151939"/>
    <w:rsid w:val="441D8757"/>
    <w:rsid w:val="441FB9B3"/>
    <w:rsid w:val="4443EE7C"/>
    <w:rsid w:val="44454421"/>
    <w:rsid w:val="44507C2F"/>
    <w:rsid w:val="4457DC40"/>
    <w:rsid w:val="44621C13"/>
    <w:rsid w:val="44699662"/>
    <w:rsid w:val="4472E0BF"/>
    <w:rsid w:val="448AF1AC"/>
    <w:rsid w:val="4490BEC4"/>
    <w:rsid w:val="449A0CB5"/>
    <w:rsid w:val="44A7344B"/>
    <w:rsid w:val="44AE8920"/>
    <w:rsid w:val="44BE309E"/>
    <w:rsid w:val="44F4A9DD"/>
    <w:rsid w:val="4500EEA6"/>
    <w:rsid w:val="45098FEE"/>
    <w:rsid w:val="450A6E55"/>
    <w:rsid w:val="4512F3B0"/>
    <w:rsid w:val="45280A2F"/>
    <w:rsid w:val="452F4EBF"/>
    <w:rsid w:val="453471B8"/>
    <w:rsid w:val="45389FE2"/>
    <w:rsid w:val="4539C0C0"/>
    <w:rsid w:val="454DFAB2"/>
    <w:rsid w:val="4572702B"/>
    <w:rsid w:val="457C8BB8"/>
    <w:rsid w:val="4580BA3C"/>
    <w:rsid w:val="458F3C1B"/>
    <w:rsid w:val="45A8B6CD"/>
    <w:rsid w:val="45BDBC93"/>
    <w:rsid w:val="4602EE03"/>
    <w:rsid w:val="460391D0"/>
    <w:rsid w:val="461A2737"/>
    <w:rsid w:val="46277FA8"/>
    <w:rsid w:val="464C85DF"/>
    <w:rsid w:val="46716D90"/>
    <w:rsid w:val="46900F64"/>
    <w:rsid w:val="46A7C45B"/>
    <w:rsid w:val="46A89A22"/>
    <w:rsid w:val="46AE0AE0"/>
    <w:rsid w:val="46AEC411"/>
    <w:rsid w:val="46C5BF17"/>
    <w:rsid w:val="46F5EF6E"/>
    <w:rsid w:val="471B9F64"/>
    <w:rsid w:val="472DC826"/>
    <w:rsid w:val="47324DC4"/>
    <w:rsid w:val="473275AE"/>
    <w:rsid w:val="47331411"/>
    <w:rsid w:val="4734E7D6"/>
    <w:rsid w:val="473A433E"/>
    <w:rsid w:val="4759408E"/>
    <w:rsid w:val="47617644"/>
    <w:rsid w:val="4761BEAF"/>
    <w:rsid w:val="477F26A6"/>
    <w:rsid w:val="4780DEC5"/>
    <w:rsid w:val="4781E4B1"/>
    <w:rsid w:val="4795BF16"/>
    <w:rsid w:val="4798F2F5"/>
    <w:rsid w:val="47A3C12E"/>
    <w:rsid w:val="47A724B2"/>
    <w:rsid w:val="47AF4346"/>
    <w:rsid w:val="47C1F79C"/>
    <w:rsid w:val="47C3ED4C"/>
    <w:rsid w:val="47C84EFD"/>
    <w:rsid w:val="47FB1905"/>
    <w:rsid w:val="481ACA2D"/>
    <w:rsid w:val="4826F22F"/>
    <w:rsid w:val="4828A5C8"/>
    <w:rsid w:val="482976C7"/>
    <w:rsid w:val="484484E2"/>
    <w:rsid w:val="48782A21"/>
    <w:rsid w:val="487B5FE6"/>
    <w:rsid w:val="487F4D13"/>
    <w:rsid w:val="488212AB"/>
    <w:rsid w:val="488F5D27"/>
    <w:rsid w:val="4894FA17"/>
    <w:rsid w:val="48AB9967"/>
    <w:rsid w:val="48AFA486"/>
    <w:rsid w:val="48DFD6C8"/>
    <w:rsid w:val="48EA2397"/>
    <w:rsid w:val="490506C7"/>
    <w:rsid w:val="49158824"/>
    <w:rsid w:val="4920D946"/>
    <w:rsid w:val="49341A57"/>
    <w:rsid w:val="4938B167"/>
    <w:rsid w:val="493E8997"/>
    <w:rsid w:val="4954DBB6"/>
    <w:rsid w:val="49612D82"/>
    <w:rsid w:val="497710C5"/>
    <w:rsid w:val="49839294"/>
    <w:rsid w:val="4992DD64"/>
    <w:rsid w:val="499BA74E"/>
    <w:rsid w:val="49A62A20"/>
    <w:rsid w:val="49A904A0"/>
    <w:rsid w:val="49C2D650"/>
    <w:rsid w:val="49D680A1"/>
    <w:rsid w:val="49E5542F"/>
    <w:rsid w:val="4A098A7F"/>
    <w:rsid w:val="4A246A30"/>
    <w:rsid w:val="4A5262AF"/>
    <w:rsid w:val="4A5A47DE"/>
    <w:rsid w:val="4A665296"/>
    <w:rsid w:val="4A8700CD"/>
    <w:rsid w:val="4A88E97C"/>
    <w:rsid w:val="4AABA00C"/>
    <w:rsid w:val="4AC45075"/>
    <w:rsid w:val="4AC4C869"/>
    <w:rsid w:val="4AD4C529"/>
    <w:rsid w:val="4ADD2233"/>
    <w:rsid w:val="4AE225EB"/>
    <w:rsid w:val="4AEBD19E"/>
    <w:rsid w:val="4AF1F0BD"/>
    <w:rsid w:val="4AF55355"/>
    <w:rsid w:val="4B033727"/>
    <w:rsid w:val="4B033B1A"/>
    <w:rsid w:val="4B15FA77"/>
    <w:rsid w:val="4B214BB8"/>
    <w:rsid w:val="4B987D2B"/>
    <w:rsid w:val="4B99B42B"/>
    <w:rsid w:val="4BB8EBF7"/>
    <w:rsid w:val="4BC23650"/>
    <w:rsid w:val="4BD01CFF"/>
    <w:rsid w:val="4BEE3310"/>
    <w:rsid w:val="4BEF0C94"/>
    <w:rsid w:val="4C045E21"/>
    <w:rsid w:val="4C19CB2A"/>
    <w:rsid w:val="4C3774CD"/>
    <w:rsid w:val="4C3AA7CF"/>
    <w:rsid w:val="4C5F59E0"/>
    <w:rsid w:val="4C795B85"/>
    <w:rsid w:val="4C930302"/>
    <w:rsid w:val="4CA6E871"/>
    <w:rsid w:val="4CE6BE04"/>
    <w:rsid w:val="4CF9EF70"/>
    <w:rsid w:val="4D1CB9D7"/>
    <w:rsid w:val="4D2BF0C7"/>
    <w:rsid w:val="4D329A35"/>
    <w:rsid w:val="4D3D7BAF"/>
    <w:rsid w:val="4D3F09B1"/>
    <w:rsid w:val="4D40AFE9"/>
    <w:rsid w:val="4D437C26"/>
    <w:rsid w:val="4D475963"/>
    <w:rsid w:val="4D548891"/>
    <w:rsid w:val="4D6BE284"/>
    <w:rsid w:val="4D8626AC"/>
    <w:rsid w:val="4D8AF3F3"/>
    <w:rsid w:val="4DA7348C"/>
    <w:rsid w:val="4DDA4106"/>
    <w:rsid w:val="4DDC3DE4"/>
    <w:rsid w:val="4DDDEB80"/>
    <w:rsid w:val="4DEF7E91"/>
    <w:rsid w:val="4DF313DB"/>
    <w:rsid w:val="4E2375BD"/>
    <w:rsid w:val="4E305F0A"/>
    <w:rsid w:val="4E396072"/>
    <w:rsid w:val="4E54D8A8"/>
    <w:rsid w:val="4E586F87"/>
    <w:rsid w:val="4E66402E"/>
    <w:rsid w:val="4E73A103"/>
    <w:rsid w:val="4E972CD6"/>
    <w:rsid w:val="4E9C6A84"/>
    <w:rsid w:val="4EA396B5"/>
    <w:rsid w:val="4EAFBE72"/>
    <w:rsid w:val="4EB25D19"/>
    <w:rsid w:val="4EB43DED"/>
    <w:rsid w:val="4ECBA2C8"/>
    <w:rsid w:val="4ECEE154"/>
    <w:rsid w:val="4ED4C91A"/>
    <w:rsid w:val="4ED866BB"/>
    <w:rsid w:val="4ED91D10"/>
    <w:rsid w:val="4ED98C73"/>
    <w:rsid w:val="4EE1A756"/>
    <w:rsid w:val="4EE4E3A8"/>
    <w:rsid w:val="4EE76BA5"/>
    <w:rsid w:val="4EEC8B57"/>
    <w:rsid w:val="4EF980F6"/>
    <w:rsid w:val="4EFB0361"/>
    <w:rsid w:val="4F00066E"/>
    <w:rsid w:val="4F0266A8"/>
    <w:rsid w:val="4F0AAA75"/>
    <w:rsid w:val="4F21248A"/>
    <w:rsid w:val="4F24374C"/>
    <w:rsid w:val="4F512821"/>
    <w:rsid w:val="4F59FD03"/>
    <w:rsid w:val="4F83FAB9"/>
    <w:rsid w:val="4F85BA7C"/>
    <w:rsid w:val="4F9B93DF"/>
    <w:rsid w:val="4FA13550"/>
    <w:rsid w:val="4FB12E36"/>
    <w:rsid w:val="4FB17FB3"/>
    <w:rsid w:val="4FBC9DC7"/>
    <w:rsid w:val="4FC9F95A"/>
    <w:rsid w:val="4FCF6E5C"/>
    <w:rsid w:val="4FEBC8D1"/>
    <w:rsid w:val="4FEFE2C3"/>
    <w:rsid w:val="50025E4E"/>
    <w:rsid w:val="501C783A"/>
    <w:rsid w:val="502B94A6"/>
    <w:rsid w:val="504BD523"/>
    <w:rsid w:val="504DEFAE"/>
    <w:rsid w:val="5061EC52"/>
    <w:rsid w:val="5064EA03"/>
    <w:rsid w:val="506E0C70"/>
    <w:rsid w:val="5074371C"/>
    <w:rsid w:val="5080DBD2"/>
    <w:rsid w:val="50899959"/>
    <w:rsid w:val="508C5D1A"/>
    <w:rsid w:val="508E3A36"/>
    <w:rsid w:val="508F1FA1"/>
    <w:rsid w:val="5096D3C2"/>
    <w:rsid w:val="5099FAF0"/>
    <w:rsid w:val="50AF59B6"/>
    <w:rsid w:val="50B3ABA3"/>
    <w:rsid w:val="50B53DF8"/>
    <w:rsid w:val="50BEADE2"/>
    <w:rsid w:val="50C01E77"/>
    <w:rsid w:val="50C278F9"/>
    <w:rsid w:val="50D8BF47"/>
    <w:rsid w:val="50ED2A5D"/>
    <w:rsid w:val="5107A559"/>
    <w:rsid w:val="511532BC"/>
    <w:rsid w:val="51371DAB"/>
    <w:rsid w:val="5148A97E"/>
    <w:rsid w:val="514913DC"/>
    <w:rsid w:val="5196D5F5"/>
    <w:rsid w:val="51B1D988"/>
    <w:rsid w:val="51BAE2E9"/>
    <w:rsid w:val="51CD2DAC"/>
    <w:rsid w:val="51DEEC01"/>
    <w:rsid w:val="51F993FA"/>
    <w:rsid w:val="5203F5A9"/>
    <w:rsid w:val="520C25B4"/>
    <w:rsid w:val="5232A423"/>
    <w:rsid w:val="52598CAE"/>
    <w:rsid w:val="52636678"/>
    <w:rsid w:val="526B8962"/>
    <w:rsid w:val="5272BD0B"/>
    <w:rsid w:val="5277DAC0"/>
    <w:rsid w:val="52852CC3"/>
    <w:rsid w:val="52A5878C"/>
    <w:rsid w:val="52C51633"/>
    <w:rsid w:val="52C588BA"/>
    <w:rsid w:val="52C74993"/>
    <w:rsid w:val="52CFD85F"/>
    <w:rsid w:val="52DB8913"/>
    <w:rsid w:val="52E4A1A0"/>
    <w:rsid w:val="5302EBD1"/>
    <w:rsid w:val="53038DF9"/>
    <w:rsid w:val="5306D9CF"/>
    <w:rsid w:val="533AAB82"/>
    <w:rsid w:val="538962AA"/>
    <w:rsid w:val="538C2F28"/>
    <w:rsid w:val="53914C87"/>
    <w:rsid w:val="53925962"/>
    <w:rsid w:val="53A62775"/>
    <w:rsid w:val="53AA3424"/>
    <w:rsid w:val="53C713D3"/>
    <w:rsid w:val="53F647A9"/>
    <w:rsid w:val="540F5E4E"/>
    <w:rsid w:val="54195902"/>
    <w:rsid w:val="541C94DA"/>
    <w:rsid w:val="5433AB21"/>
    <w:rsid w:val="5436E87A"/>
    <w:rsid w:val="544597B8"/>
    <w:rsid w:val="546F69ED"/>
    <w:rsid w:val="547FBA2C"/>
    <w:rsid w:val="54875249"/>
    <w:rsid w:val="548F7999"/>
    <w:rsid w:val="54B47290"/>
    <w:rsid w:val="54C45795"/>
    <w:rsid w:val="54C55EA5"/>
    <w:rsid w:val="54E6E36E"/>
    <w:rsid w:val="54FCCE24"/>
    <w:rsid w:val="550FE755"/>
    <w:rsid w:val="55180ED5"/>
    <w:rsid w:val="5528784E"/>
    <w:rsid w:val="55310500"/>
    <w:rsid w:val="5536CA3D"/>
    <w:rsid w:val="5536E4C7"/>
    <w:rsid w:val="5540EC04"/>
    <w:rsid w:val="5548C20B"/>
    <w:rsid w:val="5562A0E5"/>
    <w:rsid w:val="55728C21"/>
    <w:rsid w:val="55798725"/>
    <w:rsid w:val="5585BE68"/>
    <w:rsid w:val="559AF8A1"/>
    <w:rsid w:val="559B982C"/>
    <w:rsid w:val="55AD3B23"/>
    <w:rsid w:val="55F26A43"/>
    <w:rsid w:val="5604123B"/>
    <w:rsid w:val="56181F62"/>
    <w:rsid w:val="5623342B"/>
    <w:rsid w:val="565466D3"/>
    <w:rsid w:val="566D368A"/>
    <w:rsid w:val="567269DD"/>
    <w:rsid w:val="56727A51"/>
    <w:rsid w:val="568AA0F9"/>
    <w:rsid w:val="568F4BE5"/>
    <w:rsid w:val="568FBD2C"/>
    <w:rsid w:val="56BEFAA1"/>
    <w:rsid w:val="57054E13"/>
    <w:rsid w:val="570D62EB"/>
    <w:rsid w:val="570EEB74"/>
    <w:rsid w:val="57155786"/>
    <w:rsid w:val="57195870"/>
    <w:rsid w:val="5719A414"/>
    <w:rsid w:val="573216B4"/>
    <w:rsid w:val="5794D74F"/>
    <w:rsid w:val="57BB621E"/>
    <w:rsid w:val="57C8FA6C"/>
    <w:rsid w:val="57D0C285"/>
    <w:rsid w:val="57DDBE20"/>
    <w:rsid w:val="57E01B7C"/>
    <w:rsid w:val="57E7F005"/>
    <w:rsid w:val="5818ED36"/>
    <w:rsid w:val="5826AE24"/>
    <w:rsid w:val="5828FCC9"/>
    <w:rsid w:val="5839B26E"/>
    <w:rsid w:val="586755E2"/>
    <w:rsid w:val="5868A5C2"/>
    <w:rsid w:val="586D34FE"/>
    <w:rsid w:val="587AB965"/>
    <w:rsid w:val="587ED881"/>
    <w:rsid w:val="588A0C0A"/>
    <w:rsid w:val="5896815C"/>
    <w:rsid w:val="58983EDF"/>
    <w:rsid w:val="589BBBBE"/>
    <w:rsid w:val="58A11E74"/>
    <w:rsid w:val="58C95606"/>
    <w:rsid w:val="58CA0ACB"/>
    <w:rsid w:val="58CB975E"/>
    <w:rsid w:val="58CC1E4C"/>
    <w:rsid w:val="58D85870"/>
    <w:rsid w:val="5917F349"/>
    <w:rsid w:val="59253F0E"/>
    <w:rsid w:val="5935ED3A"/>
    <w:rsid w:val="594604B4"/>
    <w:rsid w:val="5952D0CA"/>
    <w:rsid w:val="59640CA0"/>
    <w:rsid w:val="5967BDA8"/>
    <w:rsid w:val="5988B7B5"/>
    <w:rsid w:val="5996FEB2"/>
    <w:rsid w:val="599BD87B"/>
    <w:rsid w:val="59A15236"/>
    <w:rsid w:val="59BADE84"/>
    <w:rsid w:val="59BC9C46"/>
    <w:rsid w:val="59C5D83E"/>
    <w:rsid w:val="59E1EA04"/>
    <w:rsid w:val="59EB7FF8"/>
    <w:rsid w:val="5A2B47F1"/>
    <w:rsid w:val="5A41DFF0"/>
    <w:rsid w:val="5A583A79"/>
    <w:rsid w:val="5A8549E6"/>
    <w:rsid w:val="5A95743B"/>
    <w:rsid w:val="5ADF3266"/>
    <w:rsid w:val="5B0D0AB6"/>
    <w:rsid w:val="5B1B78A0"/>
    <w:rsid w:val="5B2E2117"/>
    <w:rsid w:val="5B2F5E62"/>
    <w:rsid w:val="5B2F6DBC"/>
    <w:rsid w:val="5B3294B1"/>
    <w:rsid w:val="5B338F91"/>
    <w:rsid w:val="5B3A0467"/>
    <w:rsid w:val="5B5284EE"/>
    <w:rsid w:val="5B590E16"/>
    <w:rsid w:val="5B6F0A37"/>
    <w:rsid w:val="5B929781"/>
    <w:rsid w:val="5BC19D66"/>
    <w:rsid w:val="5BC95B41"/>
    <w:rsid w:val="5C0E49DA"/>
    <w:rsid w:val="5C3F5D53"/>
    <w:rsid w:val="5C475B92"/>
    <w:rsid w:val="5C563F24"/>
    <w:rsid w:val="5C587F63"/>
    <w:rsid w:val="5C699018"/>
    <w:rsid w:val="5C6F2CB1"/>
    <w:rsid w:val="5C91B17E"/>
    <w:rsid w:val="5C91CB75"/>
    <w:rsid w:val="5CB7482D"/>
    <w:rsid w:val="5CBA3186"/>
    <w:rsid w:val="5CC28607"/>
    <w:rsid w:val="5CC72504"/>
    <w:rsid w:val="5CC73EFD"/>
    <w:rsid w:val="5CEC4A46"/>
    <w:rsid w:val="5CFD2D57"/>
    <w:rsid w:val="5D0835EA"/>
    <w:rsid w:val="5D1A2A72"/>
    <w:rsid w:val="5D1C94F5"/>
    <w:rsid w:val="5D204B63"/>
    <w:rsid w:val="5D25EE32"/>
    <w:rsid w:val="5D294746"/>
    <w:rsid w:val="5D2D9C77"/>
    <w:rsid w:val="5D4896B1"/>
    <w:rsid w:val="5D829634"/>
    <w:rsid w:val="5D8F140D"/>
    <w:rsid w:val="5D9FB5D4"/>
    <w:rsid w:val="5DBB53BB"/>
    <w:rsid w:val="5DD3E555"/>
    <w:rsid w:val="5DE00754"/>
    <w:rsid w:val="5DF91E2C"/>
    <w:rsid w:val="5DFBA19E"/>
    <w:rsid w:val="5E07F204"/>
    <w:rsid w:val="5E199A25"/>
    <w:rsid w:val="5E3EA4A4"/>
    <w:rsid w:val="5E47A2CF"/>
    <w:rsid w:val="5E4F9940"/>
    <w:rsid w:val="5E527AA1"/>
    <w:rsid w:val="5E7E2000"/>
    <w:rsid w:val="5EA160F3"/>
    <w:rsid w:val="5EB008EA"/>
    <w:rsid w:val="5EB55B27"/>
    <w:rsid w:val="5ED7E746"/>
    <w:rsid w:val="5EE31801"/>
    <w:rsid w:val="5EF8A761"/>
    <w:rsid w:val="5EFCC34E"/>
    <w:rsid w:val="5F058C35"/>
    <w:rsid w:val="5F0B74C4"/>
    <w:rsid w:val="5F1218F8"/>
    <w:rsid w:val="5F1F4492"/>
    <w:rsid w:val="5F233518"/>
    <w:rsid w:val="5F300887"/>
    <w:rsid w:val="5F428E0E"/>
    <w:rsid w:val="5F63F26C"/>
    <w:rsid w:val="5F69E0F9"/>
    <w:rsid w:val="5F8FDBB8"/>
    <w:rsid w:val="5FA91E1A"/>
    <w:rsid w:val="5FA92C5D"/>
    <w:rsid w:val="5FAF0F67"/>
    <w:rsid w:val="5FE18290"/>
    <w:rsid w:val="600F725F"/>
    <w:rsid w:val="6010C9CE"/>
    <w:rsid w:val="60186FD4"/>
    <w:rsid w:val="601A052C"/>
    <w:rsid w:val="602BDDCA"/>
    <w:rsid w:val="604018C5"/>
    <w:rsid w:val="606E725D"/>
    <w:rsid w:val="60708CC2"/>
    <w:rsid w:val="607DF783"/>
    <w:rsid w:val="608EA0A6"/>
    <w:rsid w:val="60989701"/>
    <w:rsid w:val="60B13435"/>
    <w:rsid w:val="60BDAB5F"/>
    <w:rsid w:val="60DB1887"/>
    <w:rsid w:val="60F7E6C1"/>
    <w:rsid w:val="60FC9DD3"/>
    <w:rsid w:val="610229A5"/>
    <w:rsid w:val="61067806"/>
    <w:rsid w:val="610FCEE6"/>
    <w:rsid w:val="611BC3A9"/>
    <w:rsid w:val="6123320D"/>
    <w:rsid w:val="6130870C"/>
    <w:rsid w:val="615E057E"/>
    <w:rsid w:val="616455C7"/>
    <w:rsid w:val="616472C0"/>
    <w:rsid w:val="617DAB81"/>
    <w:rsid w:val="617F4391"/>
    <w:rsid w:val="619643D7"/>
    <w:rsid w:val="61992B15"/>
    <w:rsid w:val="61B04922"/>
    <w:rsid w:val="61ECFC2F"/>
    <w:rsid w:val="61EE7102"/>
    <w:rsid w:val="61F50FCB"/>
    <w:rsid w:val="61FB7F73"/>
    <w:rsid w:val="620620F8"/>
    <w:rsid w:val="62118B3A"/>
    <w:rsid w:val="62231C06"/>
    <w:rsid w:val="6259DE27"/>
    <w:rsid w:val="625FEF1F"/>
    <w:rsid w:val="62651778"/>
    <w:rsid w:val="626ADDB0"/>
    <w:rsid w:val="6271022D"/>
    <w:rsid w:val="627245AC"/>
    <w:rsid w:val="6273320B"/>
    <w:rsid w:val="62744764"/>
    <w:rsid w:val="628B26F4"/>
    <w:rsid w:val="628DC206"/>
    <w:rsid w:val="62974A9C"/>
    <w:rsid w:val="6299C922"/>
    <w:rsid w:val="62A50ABF"/>
    <w:rsid w:val="62AFEFB3"/>
    <w:rsid w:val="62B2E2FD"/>
    <w:rsid w:val="62E0BEDC"/>
    <w:rsid w:val="62E4D8E5"/>
    <w:rsid w:val="62F6A26A"/>
    <w:rsid w:val="63225C69"/>
    <w:rsid w:val="6324B5A6"/>
    <w:rsid w:val="632C9ABD"/>
    <w:rsid w:val="633A5DA2"/>
    <w:rsid w:val="634C4633"/>
    <w:rsid w:val="63537BDF"/>
    <w:rsid w:val="63658201"/>
    <w:rsid w:val="636E9A30"/>
    <w:rsid w:val="6377776E"/>
    <w:rsid w:val="63870F5D"/>
    <w:rsid w:val="63969BC3"/>
    <w:rsid w:val="639C6381"/>
    <w:rsid w:val="63A9AF03"/>
    <w:rsid w:val="63B211C7"/>
    <w:rsid w:val="63B85F42"/>
    <w:rsid w:val="63C45640"/>
    <w:rsid w:val="63E5E70E"/>
    <w:rsid w:val="63EAFAFD"/>
    <w:rsid w:val="642AF4C6"/>
    <w:rsid w:val="64343E95"/>
    <w:rsid w:val="64413A9B"/>
    <w:rsid w:val="64615109"/>
    <w:rsid w:val="64620660"/>
    <w:rsid w:val="64626E05"/>
    <w:rsid w:val="646FA2E8"/>
    <w:rsid w:val="649C7750"/>
    <w:rsid w:val="64A8D0A4"/>
    <w:rsid w:val="64CE923C"/>
    <w:rsid w:val="64DB826F"/>
    <w:rsid w:val="64ED601C"/>
    <w:rsid w:val="64F8472A"/>
    <w:rsid w:val="6503E1D2"/>
    <w:rsid w:val="650494FB"/>
    <w:rsid w:val="650CE2C2"/>
    <w:rsid w:val="6510F9A2"/>
    <w:rsid w:val="652AA4A3"/>
    <w:rsid w:val="652CB08D"/>
    <w:rsid w:val="65426DBF"/>
    <w:rsid w:val="65519DB0"/>
    <w:rsid w:val="655A49CD"/>
    <w:rsid w:val="65688F12"/>
    <w:rsid w:val="656D72AA"/>
    <w:rsid w:val="658E8616"/>
    <w:rsid w:val="6595361D"/>
    <w:rsid w:val="65A2FBCE"/>
    <w:rsid w:val="65CFEB5E"/>
    <w:rsid w:val="662EDE4A"/>
    <w:rsid w:val="6634581B"/>
    <w:rsid w:val="663749C2"/>
    <w:rsid w:val="6647F810"/>
    <w:rsid w:val="666B8259"/>
    <w:rsid w:val="6681DDA9"/>
    <w:rsid w:val="6688948B"/>
    <w:rsid w:val="668D4813"/>
    <w:rsid w:val="6697432A"/>
    <w:rsid w:val="669AECD6"/>
    <w:rsid w:val="66C06D52"/>
    <w:rsid w:val="66CC55A6"/>
    <w:rsid w:val="66E1A94B"/>
    <w:rsid w:val="66F2E02F"/>
    <w:rsid w:val="66FE00D3"/>
    <w:rsid w:val="6719AFEE"/>
    <w:rsid w:val="6727265D"/>
    <w:rsid w:val="67438050"/>
    <w:rsid w:val="674DF9ED"/>
    <w:rsid w:val="6751CBCB"/>
    <w:rsid w:val="675C9EF3"/>
    <w:rsid w:val="675F93EB"/>
    <w:rsid w:val="6760123B"/>
    <w:rsid w:val="67654EC4"/>
    <w:rsid w:val="676D4B48"/>
    <w:rsid w:val="6796EF40"/>
    <w:rsid w:val="67ACAD10"/>
    <w:rsid w:val="67AD6405"/>
    <w:rsid w:val="67B4565B"/>
    <w:rsid w:val="67C9475C"/>
    <w:rsid w:val="67DEB0E6"/>
    <w:rsid w:val="67EEB718"/>
    <w:rsid w:val="67EF135A"/>
    <w:rsid w:val="67F89191"/>
    <w:rsid w:val="6800BB9C"/>
    <w:rsid w:val="6803BCA9"/>
    <w:rsid w:val="6809E067"/>
    <w:rsid w:val="680FBFE6"/>
    <w:rsid w:val="68162D60"/>
    <w:rsid w:val="681D8C09"/>
    <w:rsid w:val="682DE305"/>
    <w:rsid w:val="684649EC"/>
    <w:rsid w:val="684F0A7E"/>
    <w:rsid w:val="685DDC04"/>
    <w:rsid w:val="6877622F"/>
    <w:rsid w:val="688EF4FD"/>
    <w:rsid w:val="6893D849"/>
    <w:rsid w:val="68ACCC8C"/>
    <w:rsid w:val="68DDAE50"/>
    <w:rsid w:val="68E200C2"/>
    <w:rsid w:val="6903C125"/>
    <w:rsid w:val="691AEF03"/>
    <w:rsid w:val="694FCD36"/>
    <w:rsid w:val="696129D5"/>
    <w:rsid w:val="696D6FD7"/>
    <w:rsid w:val="696EA156"/>
    <w:rsid w:val="697ACA6A"/>
    <w:rsid w:val="6980CDF7"/>
    <w:rsid w:val="69A4B748"/>
    <w:rsid w:val="69B6F4BD"/>
    <w:rsid w:val="69CE0036"/>
    <w:rsid w:val="69D759ED"/>
    <w:rsid w:val="69F06BE5"/>
    <w:rsid w:val="69F0DBCC"/>
    <w:rsid w:val="6A22EF98"/>
    <w:rsid w:val="6A28F718"/>
    <w:rsid w:val="6A2C5C61"/>
    <w:rsid w:val="6A382853"/>
    <w:rsid w:val="6A3B88F7"/>
    <w:rsid w:val="6A3BD5CD"/>
    <w:rsid w:val="6A3C0035"/>
    <w:rsid w:val="6A41EFD7"/>
    <w:rsid w:val="6A488DA6"/>
    <w:rsid w:val="6A6DDA61"/>
    <w:rsid w:val="6AA561FF"/>
    <w:rsid w:val="6AB2FDFD"/>
    <w:rsid w:val="6AB90A11"/>
    <w:rsid w:val="6ABCA58C"/>
    <w:rsid w:val="6AD53C72"/>
    <w:rsid w:val="6AD5AD4D"/>
    <w:rsid w:val="6AEE6292"/>
    <w:rsid w:val="6AF15A00"/>
    <w:rsid w:val="6B03856A"/>
    <w:rsid w:val="6B078432"/>
    <w:rsid w:val="6B1D1446"/>
    <w:rsid w:val="6B267FC2"/>
    <w:rsid w:val="6B26C047"/>
    <w:rsid w:val="6B3B2966"/>
    <w:rsid w:val="6B3BC868"/>
    <w:rsid w:val="6B503BAE"/>
    <w:rsid w:val="6B8485F6"/>
    <w:rsid w:val="6B8AAF9A"/>
    <w:rsid w:val="6B922142"/>
    <w:rsid w:val="6B9BCBA9"/>
    <w:rsid w:val="6BAD6D62"/>
    <w:rsid w:val="6BB28236"/>
    <w:rsid w:val="6BB6F209"/>
    <w:rsid w:val="6BD91DC1"/>
    <w:rsid w:val="6BDCECF1"/>
    <w:rsid w:val="6BE7A796"/>
    <w:rsid w:val="6BF2104C"/>
    <w:rsid w:val="6C104F27"/>
    <w:rsid w:val="6C156D29"/>
    <w:rsid w:val="6C2D2FD0"/>
    <w:rsid w:val="6C5729A3"/>
    <w:rsid w:val="6C5CCE56"/>
    <w:rsid w:val="6C6E78C5"/>
    <w:rsid w:val="6C6F9C6C"/>
    <w:rsid w:val="6C7690B3"/>
    <w:rsid w:val="6C7EFFDA"/>
    <w:rsid w:val="6CA57236"/>
    <w:rsid w:val="6CAB880B"/>
    <w:rsid w:val="6CBD2050"/>
    <w:rsid w:val="6CC06000"/>
    <w:rsid w:val="6CCA9662"/>
    <w:rsid w:val="6CCCC4C1"/>
    <w:rsid w:val="6CCD5BF1"/>
    <w:rsid w:val="6CD0C7C4"/>
    <w:rsid w:val="6CF33141"/>
    <w:rsid w:val="6CFDD98E"/>
    <w:rsid w:val="6D11C1AC"/>
    <w:rsid w:val="6D1830E7"/>
    <w:rsid w:val="6D1FF78C"/>
    <w:rsid w:val="6D35DAAD"/>
    <w:rsid w:val="6D41FBB1"/>
    <w:rsid w:val="6D493DC3"/>
    <w:rsid w:val="6D52D677"/>
    <w:rsid w:val="6D652D1E"/>
    <w:rsid w:val="6D6FC3FE"/>
    <w:rsid w:val="6D7999CC"/>
    <w:rsid w:val="6D85E959"/>
    <w:rsid w:val="6DA6D156"/>
    <w:rsid w:val="6DBB3052"/>
    <w:rsid w:val="6DCD5E92"/>
    <w:rsid w:val="6DDF5EFE"/>
    <w:rsid w:val="6DE07DB0"/>
    <w:rsid w:val="6DE61A18"/>
    <w:rsid w:val="6DEE8858"/>
    <w:rsid w:val="6E02E922"/>
    <w:rsid w:val="6E145B87"/>
    <w:rsid w:val="6E33B2D7"/>
    <w:rsid w:val="6E414297"/>
    <w:rsid w:val="6E47BAE7"/>
    <w:rsid w:val="6E6E891F"/>
    <w:rsid w:val="6E73692A"/>
    <w:rsid w:val="6E753BAF"/>
    <w:rsid w:val="6E84D1C0"/>
    <w:rsid w:val="6E8DE84F"/>
    <w:rsid w:val="6EC07C64"/>
    <w:rsid w:val="6ED2681E"/>
    <w:rsid w:val="6EF302F8"/>
    <w:rsid w:val="6EFB21D4"/>
    <w:rsid w:val="6F03C357"/>
    <w:rsid w:val="6F23DBC8"/>
    <w:rsid w:val="6F4E1740"/>
    <w:rsid w:val="6F68B8B0"/>
    <w:rsid w:val="6F93E0CA"/>
    <w:rsid w:val="6FA48981"/>
    <w:rsid w:val="6FB08C1A"/>
    <w:rsid w:val="6FBF6840"/>
    <w:rsid w:val="6FC8A5A6"/>
    <w:rsid w:val="6FCC8F0C"/>
    <w:rsid w:val="6FD0C55E"/>
    <w:rsid w:val="6FD88CAA"/>
    <w:rsid w:val="6FE11688"/>
    <w:rsid w:val="6FE7645B"/>
    <w:rsid w:val="70056A2F"/>
    <w:rsid w:val="70078A6A"/>
    <w:rsid w:val="703B49D1"/>
    <w:rsid w:val="7048BBAE"/>
    <w:rsid w:val="7060B617"/>
    <w:rsid w:val="7065DFAE"/>
    <w:rsid w:val="70740C98"/>
    <w:rsid w:val="707AF828"/>
    <w:rsid w:val="707C9A46"/>
    <w:rsid w:val="7095ED1E"/>
    <w:rsid w:val="709CA8BD"/>
    <w:rsid w:val="709E7BBC"/>
    <w:rsid w:val="70B871D6"/>
    <w:rsid w:val="70F56D5D"/>
    <w:rsid w:val="70FE47EF"/>
    <w:rsid w:val="71136EA1"/>
    <w:rsid w:val="7150D27E"/>
    <w:rsid w:val="7163E4DD"/>
    <w:rsid w:val="7173D2F7"/>
    <w:rsid w:val="71745D0B"/>
    <w:rsid w:val="7181F789"/>
    <w:rsid w:val="7182E7E4"/>
    <w:rsid w:val="719E9D21"/>
    <w:rsid w:val="71D23C93"/>
    <w:rsid w:val="720F9412"/>
    <w:rsid w:val="7220F0C7"/>
    <w:rsid w:val="724E8862"/>
    <w:rsid w:val="725FC013"/>
    <w:rsid w:val="7264B8C6"/>
    <w:rsid w:val="72662307"/>
    <w:rsid w:val="7266C1B7"/>
    <w:rsid w:val="726D793F"/>
    <w:rsid w:val="729178DF"/>
    <w:rsid w:val="72B214F2"/>
    <w:rsid w:val="72C4B7DA"/>
    <w:rsid w:val="72E141FF"/>
    <w:rsid w:val="72E191BB"/>
    <w:rsid w:val="72E3C37B"/>
    <w:rsid w:val="7307FCB2"/>
    <w:rsid w:val="732A2509"/>
    <w:rsid w:val="734173D3"/>
    <w:rsid w:val="73527187"/>
    <w:rsid w:val="735A9E5F"/>
    <w:rsid w:val="7363E9C7"/>
    <w:rsid w:val="736A1EF6"/>
    <w:rsid w:val="73700785"/>
    <w:rsid w:val="7383E2DF"/>
    <w:rsid w:val="73A22BCF"/>
    <w:rsid w:val="73A492ED"/>
    <w:rsid w:val="73A6AA70"/>
    <w:rsid w:val="73B5765D"/>
    <w:rsid w:val="73BC0933"/>
    <w:rsid w:val="73D6B575"/>
    <w:rsid w:val="73ED30EB"/>
    <w:rsid w:val="740BD252"/>
    <w:rsid w:val="7416682C"/>
    <w:rsid w:val="743C2E74"/>
    <w:rsid w:val="7440CEF6"/>
    <w:rsid w:val="746835CE"/>
    <w:rsid w:val="746A32AF"/>
    <w:rsid w:val="74825D42"/>
    <w:rsid w:val="748B33D1"/>
    <w:rsid w:val="74975BBE"/>
    <w:rsid w:val="74A89695"/>
    <w:rsid w:val="74B0841B"/>
    <w:rsid w:val="74B3DFC0"/>
    <w:rsid w:val="74B9B3D3"/>
    <w:rsid w:val="74C09696"/>
    <w:rsid w:val="74D63DE3"/>
    <w:rsid w:val="74D6487B"/>
    <w:rsid w:val="74D6900E"/>
    <w:rsid w:val="74DE8EE8"/>
    <w:rsid w:val="74E088A1"/>
    <w:rsid w:val="74F2C3BB"/>
    <w:rsid w:val="750D9068"/>
    <w:rsid w:val="75182519"/>
    <w:rsid w:val="752081F4"/>
    <w:rsid w:val="753476DB"/>
    <w:rsid w:val="75427AD1"/>
    <w:rsid w:val="7542C387"/>
    <w:rsid w:val="754B188B"/>
    <w:rsid w:val="754B8093"/>
    <w:rsid w:val="75AD76C6"/>
    <w:rsid w:val="75B9747C"/>
    <w:rsid w:val="75BF5B7E"/>
    <w:rsid w:val="75D1A898"/>
    <w:rsid w:val="75D251DB"/>
    <w:rsid w:val="75E9EEAC"/>
    <w:rsid w:val="7637E72A"/>
    <w:rsid w:val="764B3130"/>
    <w:rsid w:val="765AC88A"/>
    <w:rsid w:val="765AFC6D"/>
    <w:rsid w:val="7694C70A"/>
    <w:rsid w:val="76A03D3F"/>
    <w:rsid w:val="76A086D1"/>
    <w:rsid w:val="76B98445"/>
    <w:rsid w:val="76C36657"/>
    <w:rsid w:val="76D8DA25"/>
    <w:rsid w:val="76DAC9F5"/>
    <w:rsid w:val="76EFDB9C"/>
    <w:rsid w:val="77052E77"/>
    <w:rsid w:val="770BA791"/>
    <w:rsid w:val="771A43CB"/>
    <w:rsid w:val="77226CB7"/>
    <w:rsid w:val="7729693F"/>
    <w:rsid w:val="77301C73"/>
    <w:rsid w:val="77320735"/>
    <w:rsid w:val="7737606B"/>
    <w:rsid w:val="774A36BD"/>
    <w:rsid w:val="775A241C"/>
    <w:rsid w:val="776EBC5D"/>
    <w:rsid w:val="777B4B68"/>
    <w:rsid w:val="778259A7"/>
    <w:rsid w:val="77965B76"/>
    <w:rsid w:val="77C33B09"/>
    <w:rsid w:val="77D09992"/>
    <w:rsid w:val="77E4018B"/>
    <w:rsid w:val="77ECB594"/>
    <w:rsid w:val="77FA016B"/>
    <w:rsid w:val="78012313"/>
    <w:rsid w:val="7812FDE4"/>
    <w:rsid w:val="7814E4F6"/>
    <w:rsid w:val="78242736"/>
    <w:rsid w:val="782630F9"/>
    <w:rsid w:val="783EF3B4"/>
    <w:rsid w:val="787C4333"/>
    <w:rsid w:val="789BA299"/>
    <w:rsid w:val="789CEF52"/>
    <w:rsid w:val="78A47316"/>
    <w:rsid w:val="78C7ACB0"/>
    <w:rsid w:val="78C811E6"/>
    <w:rsid w:val="78D4D1CC"/>
    <w:rsid w:val="78DDAB65"/>
    <w:rsid w:val="78E6A015"/>
    <w:rsid w:val="79022A28"/>
    <w:rsid w:val="790FC3D5"/>
    <w:rsid w:val="79108E42"/>
    <w:rsid w:val="7915DFA3"/>
    <w:rsid w:val="794B503C"/>
    <w:rsid w:val="794CFBCD"/>
    <w:rsid w:val="79562B9B"/>
    <w:rsid w:val="795BCE72"/>
    <w:rsid w:val="79680967"/>
    <w:rsid w:val="798D1652"/>
    <w:rsid w:val="798DFFEB"/>
    <w:rsid w:val="799F8D98"/>
    <w:rsid w:val="79AD24DF"/>
    <w:rsid w:val="79B3DC85"/>
    <w:rsid w:val="79BDDE0A"/>
    <w:rsid w:val="79BFF797"/>
    <w:rsid w:val="79CFEAB2"/>
    <w:rsid w:val="79D71FB1"/>
    <w:rsid w:val="79E055A0"/>
    <w:rsid w:val="7A05C959"/>
    <w:rsid w:val="7A06F7E2"/>
    <w:rsid w:val="7A15EBF4"/>
    <w:rsid w:val="7A281851"/>
    <w:rsid w:val="7A29093B"/>
    <w:rsid w:val="7A2C1B41"/>
    <w:rsid w:val="7A37144D"/>
    <w:rsid w:val="7A4DEF16"/>
    <w:rsid w:val="7A569D0A"/>
    <w:rsid w:val="7A7F003C"/>
    <w:rsid w:val="7A8DD1CB"/>
    <w:rsid w:val="7A910CF8"/>
    <w:rsid w:val="7A95D9B8"/>
    <w:rsid w:val="7AC6F6B8"/>
    <w:rsid w:val="7AFCE1D2"/>
    <w:rsid w:val="7AFCFBFA"/>
    <w:rsid w:val="7B069D42"/>
    <w:rsid w:val="7B1D1CFE"/>
    <w:rsid w:val="7B2CFFD4"/>
    <w:rsid w:val="7B5BC7F8"/>
    <w:rsid w:val="7B5C5245"/>
    <w:rsid w:val="7B5DF702"/>
    <w:rsid w:val="7B66FA4B"/>
    <w:rsid w:val="7B6A2910"/>
    <w:rsid w:val="7B88CC20"/>
    <w:rsid w:val="7B89F3D9"/>
    <w:rsid w:val="7B980892"/>
    <w:rsid w:val="7BA281CE"/>
    <w:rsid w:val="7BA6AACB"/>
    <w:rsid w:val="7BAE3B18"/>
    <w:rsid w:val="7BDD28B4"/>
    <w:rsid w:val="7BEF979E"/>
    <w:rsid w:val="7C001255"/>
    <w:rsid w:val="7C154C27"/>
    <w:rsid w:val="7C16E807"/>
    <w:rsid w:val="7C2FDFE2"/>
    <w:rsid w:val="7C388305"/>
    <w:rsid w:val="7C63AAB8"/>
    <w:rsid w:val="7C70AAC4"/>
    <w:rsid w:val="7C7AE6B3"/>
    <w:rsid w:val="7CB25969"/>
    <w:rsid w:val="7CBB9600"/>
    <w:rsid w:val="7CE468F9"/>
    <w:rsid w:val="7CE4FE35"/>
    <w:rsid w:val="7CF31065"/>
    <w:rsid w:val="7D18C052"/>
    <w:rsid w:val="7D2BA015"/>
    <w:rsid w:val="7D3197AC"/>
    <w:rsid w:val="7D35184D"/>
    <w:rsid w:val="7D4D8CB6"/>
    <w:rsid w:val="7D522916"/>
    <w:rsid w:val="7D60A166"/>
    <w:rsid w:val="7D639D0F"/>
    <w:rsid w:val="7D66B513"/>
    <w:rsid w:val="7D6D1976"/>
    <w:rsid w:val="7D6D5661"/>
    <w:rsid w:val="7D7D6D82"/>
    <w:rsid w:val="7D817886"/>
    <w:rsid w:val="7D8E1436"/>
    <w:rsid w:val="7D913B09"/>
    <w:rsid w:val="7D9DEB4B"/>
    <w:rsid w:val="7DA620A0"/>
    <w:rsid w:val="7DCDD8CA"/>
    <w:rsid w:val="7DEB6FE2"/>
    <w:rsid w:val="7E0EF6CE"/>
    <w:rsid w:val="7E1668A4"/>
    <w:rsid w:val="7E1D6D19"/>
    <w:rsid w:val="7E1E9FAB"/>
    <w:rsid w:val="7E1FD256"/>
    <w:rsid w:val="7E25FB3E"/>
    <w:rsid w:val="7E50D8C4"/>
    <w:rsid w:val="7E576661"/>
    <w:rsid w:val="7E63F7CC"/>
    <w:rsid w:val="7E7D87B4"/>
    <w:rsid w:val="7E848BBA"/>
    <w:rsid w:val="7E84FDFC"/>
    <w:rsid w:val="7E87155F"/>
    <w:rsid w:val="7E8FD016"/>
    <w:rsid w:val="7EA88BFF"/>
    <w:rsid w:val="7EAD5A65"/>
    <w:rsid w:val="7ED87BC6"/>
    <w:rsid w:val="7EE3B51D"/>
    <w:rsid w:val="7EE713E3"/>
    <w:rsid w:val="7EE95D17"/>
    <w:rsid w:val="7EF9FFED"/>
    <w:rsid w:val="7F12A8A4"/>
    <w:rsid w:val="7F1FBC16"/>
    <w:rsid w:val="7F24B6F8"/>
    <w:rsid w:val="7F3617D8"/>
    <w:rsid w:val="7F3C55EC"/>
    <w:rsid w:val="7F8058CE"/>
    <w:rsid w:val="7F81C6D0"/>
    <w:rsid w:val="7F8C4B72"/>
    <w:rsid w:val="7F90AE2A"/>
    <w:rsid w:val="7FBEEC73"/>
    <w:rsid w:val="7FD96581"/>
    <w:rsid w:val="7FE68F3A"/>
    <w:rsid w:val="7FF1C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C3FDF"/>
  <w15:chartTrackingRefBased/>
  <w15:docId w15:val="{0EE54C49-60FB-3C48-B5DB-A1372482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35"/>
  </w:style>
  <w:style w:type="paragraph" w:styleId="Heading1">
    <w:name w:val="heading 1"/>
    <w:basedOn w:val="Normal"/>
    <w:next w:val="Normal"/>
    <w:link w:val="Heading1Char"/>
    <w:uiPriority w:val="9"/>
    <w:qFormat/>
    <w:rsid w:val="0037333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7333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7333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7333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37333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7333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3733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7333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3733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33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7333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7333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373335"/>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CC2F1B"/>
    <w:pPr>
      <w:ind w:left="720"/>
      <w:contextualSpacing/>
    </w:pPr>
  </w:style>
  <w:style w:type="paragraph" w:styleId="TOCHeading">
    <w:name w:val="TOC Heading"/>
    <w:basedOn w:val="Heading1"/>
    <w:next w:val="Normal"/>
    <w:uiPriority w:val="39"/>
    <w:unhideWhenUsed/>
    <w:qFormat/>
    <w:rsid w:val="00373335"/>
    <w:pPr>
      <w:outlineLvl w:val="9"/>
    </w:pPr>
  </w:style>
  <w:style w:type="paragraph" w:styleId="TOC1">
    <w:name w:val="toc 1"/>
    <w:basedOn w:val="Normal"/>
    <w:next w:val="Normal"/>
    <w:autoRedefine/>
    <w:uiPriority w:val="39"/>
    <w:unhideWhenUsed/>
    <w:rsid w:val="001C7EA3"/>
    <w:pPr>
      <w:tabs>
        <w:tab w:val="right" w:leader="dot" w:pos="9350"/>
      </w:tabs>
      <w:spacing w:before="120"/>
    </w:pPr>
    <w:rPr>
      <w:rFonts w:cstheme="minorHAnsi"/>
      <w:b/>
      <w:noProof/>
    </w:rPr>
  </w:style>
  <w:style w:type="paragraph" w:styleId="TOC2">
    <w:name w:val="toc 2"/>
    <w:basedOn w:val="Normal"/>
    <w:next w:val="Normal"/>
    <w:autoRedefine/>
    <w:uiPriority w:val="39"/>
    <w:unhideWhenUsed/>
    <w:rsid w:val="00DC5A7F"/>
    <w:pPr>
      <w:spacing w:before="120"/>
      <w:ind w:left="240"/>
    </w:pPr>
    <w:rPr>
      <w:rFonts w:cstheme="minorHAnsi"/>
      <w:b/>
      <w:bCs/>
    </w:rPr>
  </w:style>
  <w:style w:type="paragraph" w:styleId="TOC3">
    <w:name w:val="toc 3"/>
    <w:basedOn w:val="Normal"/>
    <w:next w:val="Normal"/>
    <w:autoRedefine/>
    <w:uiPriority w:val="39"/>
    <w:unhideWhenUsed/>
    <w:rsid w:val="001433BB"/>
    <w:pPr>
      <w:tabs>
        <w:tab w:val="right" w:leader="dot" w:pos="9350"/>
      </w:tabs>
      <w:ind w:left="480"/>
    </w:pPr>
    <w:rPr>
      <w:rFonts w:cstheme="minorHAnsi"/>
      <w:sz w:val="20"/>
      <w:szCs w:val="20"/>
    </w:rPr>
  </w:style>
  <w:style w:type="character" w:styleId="Hyperlink">
    <w:name w:val="Hyperlink"/>
    <w:basedOn w:val="DefaultParagraphFont"/>
    <w:uiPriority w:val="99"/>
    <w:unhideWhenUsed/>
    <w:rsid w:val="00DC5A7F"/>
    <w:rPr>
      <w:color w:val="0563C1" w:themeColor="hyperlink"/>
      <w:u w:val="single"/>
    </w:rPr>
  </w:style>
  <w:style w:type="paragraph" w:styleId="TOC4">
    <w:name w:val="toc 4"/>
    <w:basedOn w:val="Normal"/>
    <w:next w:val="Normal"/>
    <w:autoRedefine/>
    <w:uiPriority w:val="39"/>
    <w:semiHidden/>
    <w:unhideWhenUsed/>
    <w:rsid w:val="00DC5A7F"/>
    <w:pPr>
      <w:ind w:left="720"/>
    </w:pPr>
    <w:rPr>
      <w:rFonts w:cstheme="minorHAnsi"/>
      <w:sz w:val="20"/>
      <w:szCs w:val="20"/>
    </w:rPr>
  </w:style>
  <w:style w:type="paragraph" w:styleId="TOC5">
    <w:name w:val="toc 5"/>
    <w:basedOn w:val="Normal"/>
    <w:next w:val="Normal"/>
    <w:autoRedefine/>
    <w:uiPriority w:val="39"/>
    <w:semiHidden/>
    <w:unhideWhenUsed/>
    <w:rsid w:val="00DC5A7F"/>
    <w:pPr>
      <w:ind w:left="960"/>
    </w:pPr>
    <w:rPr>
      <w:rFonts w:cstheme="minorHAnsi"/>
      <w:sz w:val="20"/>
      <w:szCs w:val="20"/>
    </w:rPr>
  </w:style>
  <w:style w:type="paragraph" w:styleId="TOC6">
    <w:name w:val="toc 6"/>
    <w:basedOn w:val="Normal"/>
    <w:next w:val="Normal"/>
    <w:autoRedefine/>
    <w:uiPriority w:val="39"/>
    <w:semiHidden/>
    <w:unhideWhenUsed/>
    <w:rsid w:val="00DC5A7F"/>
    <w:pPr>
      <w:ind w:left="1200"/>
    </w:pPr>
    <w:rPr>
      <w:rFonts w:cstheme="minorHAnsi"/>
      <w:sz w:val="20"/>
      <w:szCs w:val="20"/>
    </w:rPr>
  </w:style>
  <w:style w:type="paragraph" w:styleId="TOC7">
    <w:name w:val="toc 7"/>
    <w:basedOn w:val="Normal"/>
    <w:next w:val="Normal"/>
    <w:autoRedefine/>
    <w:uiPriority w:val="39"/>
    <w:semiHidden/>
    <w:unhideWhenUsed/>
    <w:rsid w:val="00DC5A7F"/>
    <w:pPr>
      <w:ind w:left="1440"/>
    </w:pPr>
    <w:rPr>
      <w:rFonts w:cstheme="minorHAnsi"/>
      <w:sz w:val="20"/>
      <w:szCs w:val="20"/>
    </w:rPr>
  </w:style>
  <w:style w:type="paragraph" w:styleId="TOC8">
    <w:name w:val="toc 8"/>
    <w:basedOn w:val="Normal"/>
    <w:next w:val="Normal"/>
    <w:autoRedefine/>
    <w:uiPriority w:val="39"/>
    <w:semiHidden/>
    <w:unhideWhenUsed/>
    <w:rsid w:val="00DC5A7F"/>
    <w:pPr>
      <w:ind w:left="1680"/>
    </w:pPr>
    <w:rPr>
      <w:rFonts w:cstheme="minorHAnsi"/>
      <w:sz w:val="20"/>
      <w:szCs w:val="20"/>
    </w:rPr>
  </w:style>
  <w:style w:type="paragraph" w:styleId="TOC9">
    <w:name w:val="toc 9"/>
    <w:basedOn w:val="Normal"/>
    <w:next w:val="Normal"/>
    <w:autoRedefine/>
    <w:uiPriority w:val="39"/>
    <w:semiHidden/>
    <w:unhideWhenUsed/>
    <w:rsid w:val="00DC5A7F"/>
    <w:pPr>
      <w:ind w:left="1920"/>
    </w:pPr>
    <w:rPr>
      <w:rFonts w:cstheme="minorHAnsi"/>
      <w:sz w:val="20"/>
      <w:szCs w:val="20"/>
    </w:rPr>
  </w:style>
  <w:style w:type="paragraph" w:styleId="Header">
    <w:name w:val="header"/>
    <w:basedOn w:val="Normal"/>
    <w:link w:val="HeaderChar"/>
    <w:uiPriority w:val="99"/>
    <w:unhideWhenUsed/>
    <w:rsid w:val="008E2ADF"/>
    <w:pPr>
      <w:tabs>
        <w:tab w:val="center" w:pos="4680"/>
        <w:tab w:val="right" w:pos="9360"/>
      </w:tabs>
    </w:pPr>
  </w:style>
  <w:style w:type="character" w:customStyle="1" w:styleId="HeaderChar">
    <w:name w:val="Header Char"/>
    <w:basedOn w:val="DefaultParagraphFont"/>
    <w:link w:val="Header"/>
    <w:uiPriority w:val="99"/>
    <w:rsid w:val="008E2ADF"/>
    <w:rPr>
      <w:lang w:val="en-GB"/>
    </w:rPr>
  </w:style>
  <w:style w:type="paragraph" w:styleId="Footer">
    <w:name w:val="footer"/>
    <w:basedOn w:val="Normal"/>
    <w:link w:val="FooterChar"/>
    <w:uiPriority w:val="99"/>
    <w:unhideWhenUsed/>
    <w:rsid w:val="008E2ADF"/>
    <w:pPr>
      <w:tabs>
        <w:tab w:val="center" w:pos="4680"/>
        <w:tab w:val="right" w:pos="9360"/>
      </w:tabs>
    </w:pPr>
  </w:style>
  <w:style w:type="character" w:customStyle="1" w:styleId="FooterChar">
    <w:name w:val="Footer Char"/>
    <w:basedOn w:val="DefaultParagraphFont"/>
    <w:link w:val="Footer"/>
    <w:uiPriority w:val="99"/>
    <w:rsid w:val="008E2ADF"/>
    <w:rPr>
      <w:lang w:val="en-GB"/>
    </w:rPr>
  </w:style>
  <w:style w:type="character" w:customStyle="1" w:styleId="fontstyle01">
    <w:name w:val="fontstyle01"/>
    <w:basedOn w:val="DefaultParagraphFont"/>
    <w:rsid w:val="00752086"/>
    <w:rPr>
      <w:rFonts w:ascii="Calibri" w:hAnsi="Calibri" w:cs="Calibri" w:hint="default"/>
      <w:b w:val="0"/>
      <w:bCs w:val="0"/>
      <w:i w:val="0"/>
      <w:iCs w:val="0"/>
      <w:color w:val="E77326"/>
      <w:sz w:val="22"/>
      <w:szCs w:val="22"/>
    </w:rPr>
  </w:style>
  <w:style w:type="character" w:customStyle="1" w:styleId="fontstyle21">
    <w:name w:val="fontstyle21"/>
    <w:basedOn w:val="DefaultParagraphFont"/>
    <w:rsid w:val="00752086"/>
    <w:rPr>
      <w:rFonts w:ascii="Calibri-Light" w:hAnsi="Calibri-Light" w:hint="default"/>
      <w:b w:val="0"/>
      <w:bCs w:val="0"/>
      <w:i w:val="0"/>
      <w:iCs w:val="0"/>
      <w:color w:val="403F41"/>
      <w:sz w:val="12"/>
      <w:szCs w:val="12"/>
    </w:rPr>
  </w:style>
  <w:style w:type="character" w:customStyle="1" w:styleId="fontstyle31">
    <w:name w:val="fontstyle31"/>
    <w:basedOn w:val="DefaultParagraphFont"/>
    <w:rsid w:val="000903F8"/>
    <w:rPr>
      <w:rFonts w:ascii="Calibri-Light" w:hAnsi="Calibri-Light" w:hint="default"/>
      <w:b w:val="0"/>
      <w:bCs w:val="0"/>
      <w:i w:val="0"/>
      <w:iCs w:val="0"/>
      <w:color w:val="403F41"/>
      <w:sz w:val="20"/>
      <w:szCs w:val="20"/>
    </w:rPr>
  </w:style>
  <w:style w:type="character" w:customStyle="1" w:styleId="Heading5Char">
    <w:name w:val="Heading 5 Char"/>
    <w:basedOn w:val="DefaultParagraphFont"/>
    <w:link w:val="Heading5"/>
    <w:uiPriority w:val="9"/>
    <w:semiHidden/>
    <w:rsid w:val="0037333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37333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3733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7333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37333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373335"/>
    <w:pPr>
      <w:spacing w:line="240" w:lineRule="auto"/>
    </w:pPr>
    <w:rPr>
      <w:b/>
      <w:bCs/>
      <w:color w:val="4472C4" w:themeColor="accent1"/>
      <w:sz w:val="18"/>
      <w:szCs w:val="18"/>
    </w:rPr>
  </w:style>
  <w:style w:type="paragraph" w:styleId="Title">
    <w:name w:val="Title"/>
    <w:basedOn w:val="Normal"/>
    <w:next w:val="Normal"/>
    <w:link w:val="TitleChar"/>
    <w:uiPriority w:val="10"/>
    <w:qFormat/>
    <w:rsid w:val="0037333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373335"/>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37333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373335"/>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373335"/>
    <w:rPr>
      <w:b/>
      <w:bCs/>
    </w:rPr>
  </w:style>
  <w:style w:type="character" w:styleId="Emphasis">
    <w:name w:val="Emphasis"/>
    <w:basedOn w:val="DefaultParagraphFont"/>
    <w:uiPriority w:val="20"/>
    <w:qFormat/>
    <w:rsid w:val="00373335"/>
    <w:rPr>
      <w:i/>
      <w:iCs/>
    </w:rPr>
  </w:style>
  <w:style w:type="paragraph" w:styleId="NoSpacing">
    <w:name w:val="No Spacing"/>
    <w:uiPriority w:val="1"/>
    <w:qFormat/>
    <w:rsid w:val="00373335"/>
    <w:pPr>
      <w:spacing w:after="0" w:line="240" w:lineRule="auto"/>
    </w:pPr>
  </w:style>
  <w:style w:type="paragraph" w:styleId="Quote">
    <w:name w:val="Quote"/>
    <w:basedOn w:val="Normal"/>
    <w:next w:val="Normal"/>
    <w:link w:val="QuoteChar"/>
    <w:uiPriority w:val="29"/>
    <w:qFormat/>
    <w:rsid w:val="00373335"/>
    <w:rPr>
      <w:i/>
      <w:iCs/>
      <w:color w:val="000000" w:themeColor="text1"/>
    </w:rPr>
  </w:style>
  <w:style w:type="character" w:customStyle="1" w:styleId="QuoteChar">
    <w:name w:val="Quote Char"/>
    <w:basedOn w:val="DefaultParagraphFont"/>
    <w:link w:val="Quote"/>
    <w:uiPriority w:val="29"/>
    <w:rsid w:val="00373335"/>
    <w:rPr>
      <w:i/>
      <w:iCs/>
      <w:color w:val="000000" w:themeColor="text1"/>
    </w:rPr>
  </w:style>
  <w:style w:type="paragraph" w:styleId="IntenseQuote">
    <w:name w:val="Intense Quote"/>
    <w:basedOn w:val="Normal"/>
    <w:next w:val="Normal"/>
    <w:link w:val="IntenseQuoteChar"/>
    <w:uiPriority w:val="30"/>
    <w:qFormat/>
    <w:rsid w:val="0037333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73335"/>
    <w:rPr>
      <w:b/>
      <w:bCs/>
      <w:i/>
      <w:iCs/>
      <w:color w:val="4472C4" w:themeColor="accent1"/>
    </w:rPr>
  </w:style>
  <w:style w:type="character" w:styleId="SubtleEmphasis">
    <w:name w:val="Subtle Emphasis"/>
    <w:basedOn w:val="DefaultParagraphFont"/>
    <w:uiPriority w:val="19"/>
    <w:qFormat/>
    <w:rsid w:val="00373335"/>
    <w:rPr>
      <w:i/>
      <w:iCs/>
      <w:color w:val="808080" w:themeColor="text1" w:themeTint="7F"/>
    </w:rPr>
  </w:style>
  <w:style w:type="character" w:styleId="IntenseEmphasis">
    <w:name w:val="Intense Emphasis"/>
    <w:basedOn w:val="DefaultParagraphFont"/>
    <w:uiPriority w:val="21"/>
    <w:qFormat/>
    <w:rsid w:val="00373335"/>
    <w:rPr>
      <w:b/>
      <w:bCs/>
      <w:i/>
      <w:iCs/>
      <w:color w:val="4472C4" w:themeColor="accent1"/>
    </w:rPr>
  </w:style>
  <w:style w:type="character" w:styleId="SubtleReference">
    <w:name w:val="Subtle Reference"/>
    <w:basedOn w:val="DefaultParagraphFont"/>
    <w:uiPriority w:val="31"/>
    <w:qFormat/>
    <w:rsid w:val="00373335"/>
    <w:rPr>
      <w:smallCaps/>
      <w:color w:val="ED7D31" w:themeColor="accent2"/>
      <w:u w:val="single"/>
    </w:rPr>
  </w:style>
  <w:style w:type="character" w:styleId="IntenseReference">
    <w:name w:val="Intense Reference"/>
    <w:basedOn w:val="DefaultParagraphFont"/>
    <w:uiPriority w:val="32"/>
    <w:qFormat/>
    <w:rsid w:val="00373335"/>
    <w:rPr>
      <w:b/>
      <w:bCs/>
      <w:smallCaps/>
      <w:color w:val="ED7D31" w:themeColor="accent2"/>
      <w:spacing w:val="5"/>
      <w:u w:val="single"/>
    </w:rPr>
  </w:style>
  <w:style w:type="character" w:styleId="BookTitle">
    <w:name w:val="Book Title"/>
    <w:basedOn w:val="DefaultParagraphFont"/>
    <w:uiPriority w:val="33"/>
    <w:qFormat/>
    <w:rsid w:val="00373335"/>
    <w:rPr>
      <w:b/>
      <w:bCs/>
      <w:smallCaps/>
      <w:spacing w:val="5"/>
    </w:rPr>
  </w:style>
  <w:style w:type="character" w:customStyle="1" w:styleId="veryhardreadability">
    <w:name w:val="veryhardreadability"/>
    <w:basedOn w:val="DefaultParagraphFont"/>
    <w:rsid w:val="00543585"/>
  </w:style>
  <w:style w:type="character" w:customStyle="1" w:styleId="hardreadability">
    <w:name w:val="hardreadability"/>
    <w:basedOn w:val="DefaultParagraphFont"/>
    <w:rsid w:val="00543585"/>
  </w:style>
  <w:style w:type="character" w:customStyle="1" w:styleId="complexword">
    <w:name w:val="complexword"/>
    <w:basedOn w:val="DefaultParagraphFont"/>
    <w:rsid w:val="00543585"/>
  </w:style>
  <w:style w:type="paragraph" w:styleId="FootnoteText">
    <w:name w:val="footnote text"/>
    <w:aliases w:val="Testo nota a piè di pagina Carattere,Footnote text,Testo nota a piè di pagina_Rientro,Footnote Text Char Char Char Char,Footnote Text Char Char,Footnote Text Char Char Char Char Char,Footnote Text Char Char Ch,stile 1,f,fn"/>
    <w:basedOn w:val="Normal"/>
    <w:link w:val="FootnoteTextChar"/>
    <w:uiPriority w:val="99"/>
    <w:unhideWhenUsed/>
    <w:qFormat/>
    <w:rsid w:val="005E4267"/>
    <w:pPr>
      <w:spacing w:after="0" w:line="240" w:lineRule="auto"/>
    </w:pPr>
    <w:rPr>
      <w:sz w:val="20"/>
      <w:szCs w:val="20"/>
    </w:rPr>
  </w:style>
  <w:style w:type="character" w:customStyle="1" w:styleId="FootnoteTextChar">
    <w:name w:val="Footnote Text Char"/>
    <w:aliases w:val="Testo nota a piè di pagina Carattere Char,Footnote text Char,Testo nota a piè di pagina_Rientro Char,Footnote Text Char Char Char Char Char1,Footnote Text Char Char Char,Footnote Text Char Char Char Char Char Char,stile 1 Char,f Char"/>
    <w:basedOn w:val="DefaultParagraphFont"/>
    <w:link w:val="FootnoteText"/>
    <w:uiPriority w:val="99"/>
    <w:rsid w:val="005E4267"/>
    <w:rPr>
      <w:sz w:val="20"/>
      <w:szCs w:val="20"/>
    </w:rPr>
  </w:style>
  <w:style w:type="character" w:styleId="FootnoteReference">
    <w:name w:val="footnote reference"/>
    <w:aliases w:val="Footnote symbol,Voetnootverwijzing,Times 10 Point,Exposant 3 Point,Footnote reference number,Ref,de nota al pie,note TESI,SUPERS,EN Footnote Reference,Footnote sign,BVI fnr,(Footnote Reference),Expos, Exposant 3 Point"/>
    <w:basedOn w:val="DefaultParagraphFont"/>
    <w:link w:val="SUPERSCharCharCharCharCharCharCharChar"/>
    <w:uiPriority w:val="99"/>
    <w:unhideWhenUsed/>
    <w:qFormat/>
    <w:rsid w:val="005E4267"/>
    <w:rPr>
      <w:vertAlign w:val="superscript"/>
    </w:rPr>
  </w:style>
  <w:style w:type="paragraph" w:styleId="BodyText">
    <w:name w:val="Body Text"/>
    <w:link w:val="BodyTextChar"/>
    <w:unhideWhenUsed/>
    <w:rsid w:val="00053194"/>
    <w:pPr>
      <w:spacing w:after="120" w:line="240" w:lineRule="auto"/>
    </w:pPr>
    <w:rPr>
      <w:rFonts w:ascii="Arial" w:eastAsia="Times New Roman" w:hAnsi="Arial" w:cs="Times New Roman"/>
      <w:kern w:val="28"/>
      <w:sz w:val="20"/>
      <w:szCs w:val="20"/>
      <w:lang w:val="hr-HR"/>
    </w:rPr>
  </w:style>
  <w:style w:type="character" w:customStyle="1" w:styleId="BodyTextChar">
    <w:name w:val="Body Text Char"/>
    <w:basedOn w:val="DefaultParagraphFont"/>
    <w:link w:val="BodyText"/>
    <w:rsid w:val="00053194"/>
    <w:rPr>
      <w:rFonts w:ascii="Arial" w:eastAsia="Times New Roman" w:hAnsi="Arial" w:cs="Times New Roman"/>
      <w:kern w:val="28"/>
      <w:sz w:val="20"/>
      <w:szCs w:val="20"/>
      <w:lang w:val="hr-HR"/>
    </w:rPr>
  </w:style>
  <w:style w:type="character" w:styleId="UnresolvedMention">
    <w:name w:val="Unresolved Mention"/>
    <w:basedOn w:val="DefaultParagraphFont"/>
    <w:uiPriority w:val="99"/>
    <w:semiHidden/>
    <w:unhideWhenUsed/>
    <w:rsid w:val="00D34CE5"/>
    <w:rPr>
      <w:color w:val="605E5C"/>
      <w:shd w:val="clear" w:color="auto" w:fill="E1DFDD"/>
    </w:rPr>
  </w:style>
  <w:style w:type="paragraph" w:styleId="z-TopofForm">
    <w:name w:val="HTML Top of Form"/>
    <w:basedOn w:val="Normal"/>
    <w:next w:val="Normal"/>
    <w:link w:val="z-TopofFormChar"/>
    <w:hidden/>
    <w:uiPriority w:val="99"/>
    <w:semiHidden/>
    <w:unhideWhenUsed/>
    <w:rsid w:val="00EF42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F42A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F42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F42A6"/>
    <w:rPr>
      <w:rFonts w:ascii="Arial" w:eastAsia="Times New Roman" w:hAnsi="Arial" w:cs="Arial"/>
      <w:vanish/>
      <w:sz w:val="16"/>
      <w:szCs w:val="16"/>
    </w:rPr>
  </w:style>
  <w:style w:type="character" w:customStyle="1" w:styleId="d2edcug0">
    <w:name w:val="d2edcug0"/>
    <w:basedOn w:val="DefaultParagraphFont"/>
    <w:rsid w:val="00EF42A6"/>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next w:val="Normal"/>
    <w:link w:val="FootnoteReference"/>
    <w:uiPriority w:val="99"/>
    <w:rsid w:val="008E5397"/>
    <w:pPr>
      <w:spacing w:after="160" w:line="240" w:lineRule="exact"/>
    </w:pPr>
    <w:rPr>
      <w:vertAlign w:val="superscript"/>
    </w:rPr>
  </w:style>
  <w:style w:type="table" w:styleId="TableGrid">
    <w:name w:val="Table Grid"/>
    <w:basedOn w:val="TableNormal"/>
    <w:uiPriority w:val="39"/>
    <w:rsid w:val="00E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3146"/>
    <w:pPr>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3B70"/>
    <w:rPr>
      <w:b/>
      <w:bCs/>
    </w:rPr>
  </w:style>
  <w:style w:type="character" w:customStyle="1" w:styleId="CommentSubjectChar">
    <w:name w:val="Comment Subject Char"/>
    <w:basedOn w:val="CommentTextChar"/>
    <w:link w:val="CommentSubject"/>
    <w:uiPriority w:val="99"/>
    <w:semiHidden/>
    <w:rsid w:val="00043B70"/>
    <w:rPr>
      <w:b/>
      <w:bCs/>
      <w:sz w:val="20"/>
      <w:szCs w:val="20"/>
    </w:rPr>
  </w:style>
  <w:style w:type="paragraph" w:customStyle="1" w:styleId="evidence-link">
    <w:name w:val="evidence-link"/>
    <w:basedOn w:val="Normal"/>
    <w:rsid w:val="001F08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08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149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1149E0"/>
  </w:style>
  <w:style w:type="character" w:styleId="FollowedHyperlink">
    <w:name w:val="FollowedHyperlink"/>
    <w:basedOn w:val="DefaultParagraphFont"/>
    <w:uiPriority w:val="99"/>
    <w:semiHidden/>
    <w:unhideWhenUsed/>
    <w:rsid w:val="008A4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05">
      <w:bodyDiv w:val="1"/>
      <w:marLeft w:val="0"/>
      <w:marRight w:val="0"/>
      <w:marTop w:val="0"/>
      <w:marBottom w:val="0"/>
      <w:divBdr>
        <w:top w:val="none" w:sz="0" w:space="0" w:color="auto"/>
        <w:left w:val="none" w:sz="0" w:space="0" w:color="auto"/>
        <w:bottom w:val="none" w:sz="0" w:space="0" w:color="auto"/>
        <w:right w:val="none" w:sz="0" w:space="0" w:color="auto"/>
      </w:divBdr>
    </w:div>
    <w:div w:id="190538035">
      <w:bodyDiv w:val="1"/>
      <w:marLeft w:val="0"/>
      <w:marRight w:val="0"/>
      <w:marTop w:val="0"/>
      <w:marBottom w:val="0"/>
      <w:divBdr>
        <w:top w:val="none" w:sz="0" w:space="0" w:color="auto"/>
        <w:left w:val="none" w:sz="0" w:space="0" w:color="auto"/>
        <w:bottom w:val="none" w:sz="0" w:space="0" w:color="auto"/>
        <w:right w:val="none" w:sz="0" w:space="0" w:color="auto"/>
      </w:divBdr>
    </w:div>
    <w:div w:id="248588098">
      <w:bodyDiv w:val="1"/>
      <w:marLeft w:val="0"/>
      <w:marRight w:val="0"/>
      <w:marTop w:val="0"/>
      <w:marBottom w:val="0"/>
      <w:divBdr>
        <w:top w:val="none" w:sz="0" w:space="0" w:color="auto"/>
        <w:left w:val="none" w:sz="0" w:space="0" w:color="auto"/>
        <w:bottom w:val="none" w:sz="0" w:space="0" w:color="auto"/>
        <w:right w:val="none" w:sz="0" w:space="0" w:color="auto"/>
      </w:divBdr>
    </w:div>
    <w:div w:id="345517469">
      <w:bodyDiv w:val="1"/>
      <w:marLeft w:val="0"/>
      <w:marRight w:val="0"/>
      <w:marTop w:val="0"/>
      <w:marBottom w:val="0"/>
      <w:divBdr>
        <w:top w:val="none" w:sz="0" w:space="0" w:color="auto"/>
        <w:left w:val="none" w:sz="0" w:space="0" w:color="auto"/>
        <w:bottom w:val="none" w:sz="0" w:space="0" w:color="auto"/>
        <w:right w:val="none" w:sz="0" w:space="0" w:color="auto"/>
      </w:divBdr>
    </w:div>
    <w:div w:id="386539372">
      <w:bodyDiv w:val="1"/>
      <w:marLeft w:val="0"/>
      <w:marRight w:val="0"/>
      <w:marTop w:val="0"/>
      <w:marBottom w:val="0"/>
      <w:divBdr>
        <w:top w:val="none" w:sz="0" w:space="0" w:color="auto"/>
        <w:left w:val="none" w:sz="0" w:space="0" w:color="auto"/>
        <w:bottom w:val="none" w:sz="0" w:space="0" w:color="auto"/>
        <w:right w:val="none" w:sz="0" w:space="0" w:color="auto"/>
      </w:divBdr>
      <w:divsChild>
        <w:div w:id="913005834">
          <w:marLeft w:val="274"/>
          <w:marRight w:val="0"/>
          <w:marTop w:val="0"/>
          <w:marBottom w:val="0"/>
          <w:divBdr>
            <w:top w:val="none" w:sz="0" w:space="0" w:color="auto"/>
            <w:left w:val="none" w:sz="0" w:space="0" w:color="auto"/>
            <w:bottom w:val="none" w:sz="0" w:space="0" w:color="auto"/>
            <w:right w:val="none" w:sz="0" w:space="0" w:color="auto"/>
          </w:divBdr>
        </w:div>
        <w:div w:id="1400786903">
          <w:marLeft w:val="274"/>
          <w:marRight w:val="0"/>
          <w:marTop w:val="0"/>
          <w:marBottom w:val="0"/>
          <w:divBdr>
            <w:top w:val="none" w:sz="0" w:space="0" w:color="auto"/>
            <w:left w:val="none" w:sz="0" w:space="0" w:color="auto"/>
            <w:bottom w:val="none" w:sz="0" w:space="0" w:color="auto"/>
            <w:right w:val="none" w:sz="0" w:space="0" w:color="auto"/>
          </w:divBdr>
        </w:div>
      </w:divsChild>
    </w:div>
    <w:div w:id="391663247">
      <w:bodyDiv w:val="1"/>
      <w:marLeft w:val="0"/>
      <w:marRight w:val="0"/>
      <w:marTop w:val="0"/>
      <w:marBottom w:val="0"/>
      <w:divBdr>
        <w:top w:val="none" w:sz="0" w:space="0" w:color="auto"/>
        <w:left w:val="none" w:sz="0" w:space="0" w:color="auto"/>
        <w:bottom w:val="none" w:sz="0" w:space="0" w:color="auto"/>
        <w:right w:val="none" w:sz="0" w:space="0" w:color="auto"/>
      </w:divBdr>
    </w:div>
    <w:div w:id="400953475">
      <w:bodyDiv w:val="1"/>
      <w:marLeft w:val="0"/>
      <w:marRight w:val="0"/>
      <w:marTop w:val="0"/>
      <w:marBottom w:val="0"/>
      <w:divBdr>
        <w:top w:val="none" w:sz="0" w:space="0" w:color="auto"/>
        <w:left w:val="none" w:sz="0" w:space="0" w:color="auto"/>
        <w:bottom w:val="none" w:sz="0" w:space="0" w:color="auto"/>
        <w:right w:val="none" w:sz="0" w:space="0" w:color="auto"/>
      </w:divBdr>
    </w:div>
    <w:div w:id="518468480">
      <w:bodyDiv w:val="1"/>
      <w:marLeft w:val="0"/>
      <w:marRight w:val="0"/>
      <w:marTop w:val="0"/>
      <w:marBottom w:val="0"/>
      <w:divBdr>
        <w:top w:val="none" w:sz="0" w:space="0" w:color="auto"/>
        <w:left w:val="none" w:sz="0" w:space="0" w:color="auto"/>
        <w:bottom w:val="none" w:sz="0" w:space="0" w:color="auto"/>
        <w:right w:val="none" w:sz="0" w:space="0" w:color="auto"/>
      </w:divBdr>
      <w:divsChild>
        <w:div w:id="436481647">
          <w:marLeft w:val="547"/>
          <w:marRight w:val="0"/>
          <w:marTop w:val="0"/>
          <w:marBottom w:val="0"/>
          <w:divBdr>
            <w:top w:val="none" w:sz="0" w:space="0" w:color="auto"/>
            <w:left w:val="none" w:sz="0" w:space="0" w:color="auto"/>
            <w:bottom w:val="none" w:sz="0" w:space="0" w:color="auto"/>
            <w:right w:val="none" w:sz="0" w:space="0" w:color="auto"/>
          </w:divBdr>
        </w:div>
        <w:div w:id="1516505478">
          <w:marLeft w:val="547"/>
          <w:marRight w:val="0"/>
          <w:marTop w:val="0"/>
          <w:marBottom w:val="0"/>
          <w:divBdr>
            <w:top w:val="none" w:sz="0" w:space="0" w:color="auto"/>
            <w:left w:val="none" w:sz="0" w:space="0" w:color="auto"/>
            <w:bottom w:val="none" w:sz="0" w:space="0" w:color="auto"/>
            <w:right w:val="none" w:sz="0" w:space="0" w:color="auto"/>
          </w:divBdr>
        </w:div>
        <w:div w:id="944728228">
          <w:marLeft w:val="547"/>
          <w:marRight w:val="0"/>
          <w:marTop w:val="0"/>
          <w:marBottom w:val="0"/>
          <w:divBdr>
            <w:top w:val="none" w:sz="0" w:space="0" w:color="auto"/>
            <w:left w:val="none" w:sz="0" w:space="0" w:color="auto"/>
            <w:bottom w:val="none" w:sz="0" w:space="0" w:color="auto"/>
            <w:right w:val="none" w:sz="0" w:space="0" w:color="auto"/>
          </w:divBdr>
        </w:div>
        <w:div w:id="2015257411">
          <w:marLeft w:val="547"/>
          <w:marRight w:val="0"/>
          <w:marTop w:val="0"/>
          <w:marBottom w:val="0"/>
          <w:divBdr>
            <w:top w:val="none" w:sz="0" w:space="0" w:color="auto"/>
            <w:left w:val="none" w:sz="0" w:space="0" w:color="auto"/>
            <w:bottom w:val="none" w:sz="0" w:space="0" w:color="auto"/>
            <w:right w:val="none" w:sz="0" w:space="0" w:color="auto"/>
          </w:divBdr>
        </w:div>
      </w:divsChild>
    </w:div>
    <w:div w:id="561908675">
      <w:bodyDiv w:val="1"/>
      <w:marLeft w:val="0"/>
      <w:marRight w:val="0"/>
      <w:marTop w:val="0"/>
      <w:marBottom w:val="0"/>
      <w:divBdr>
        <w:top w:val="none" w:sz="0" w:space="0" w:color="auto"/>
        <w:left w:val="none" w:sz="0" w:space="0" w:color="auto"/>
        <w:bottom w:val="none" w:sz="0" w:space="0" w:color="auto"/>
        <w:right w:val="none" w:sz="0" w:space="0" w:color="auto"/>
      </w:divBdr>
      <w:divsChild>
        <w:div w:id="279916423">
          <w:marLeft w:val="547"/>
          <w:marRight w:val="0"/>
          <w:marTop w:val="0"/>
          <w:marBottom w:val="0"/>
          <w:divBdr>
            <w:top w:val="none" w:sz="0" w:space="0" w:color="auto"/>
            <w:left w:val="none" w:sz="0" w:space="0" w:color="auto"/>
            <w:bottom w:val="none" w:sz="0" w:space="0" w:color="auto"/>
            <w:right w:val="none" w:sz="0" w:space="0" w:color="auto"/>
          </w:divBdr>
        </w:div>
        <w:div w:id="1458795452">
          <w:marLeft w:val="547"/>
          <w:marRight w:val="0"/>
          <w:marTop w:val="0"/>
          <w:marBottom w:val="0"/>
          <w:divBdr>
            <w:top w:val="none" w:sz="0" w:space="0" w:color="auto"/>
            <w:left w:val="none" w:sz="0" w:space="0" w:color="auto"/>
            <w:bottom w:val="none" w:sz="0" w:space="0" w:color="auto"/>
            <w:right w:val="none" w:sz="0" w:space="0" w:color="auto"/>
          </w:divBdr>
        </w:div>
      </w:divsChild>
    </w:div>
    <w:div w:id="741102311">
      <w:bodyDiv w:val="1"/>
      <w:marLeft w:val="0"/>
      <w:marRight w:val="0"/>
      <w:marTop w:val="0"/>
      <w:marBottom w:val="0"/>
      <w:divBdr>
        <w:top w:val="none" w:sz="0" w:space="0" w:color="auto"/>
        <w:left w:val="none" w:sz="0" w:space="0" w:color="auto"/>
        <w:bottom w:val="none" w:sz="0" w:space="0" w:color="auto"/>
        <w:right w:val="none" w:sz="0" w:space="0" w:color="auto"/>
      </w:divBdr>
      <w:divsChild>
        <w:div w:id="938831590">
          <w:marLeft w:val="547"/>
          <w:marRight w:val="0"/>
          <w:marTop w:val="0"/>
          <w:marBottom w:val="0"/>
          <w:divBdr>
            <w:top w:val="none" w:sz="0" w:space="0" w:color="auto"/>
            <w:left w:val="none" w:sz="0" w:space="0" w:color="auto"/>
            <w:bottom w:val="none" w:sz="0" w:space="0" w:color="auto"/>
            <w:right w:val="none" w:sz="0" w:space="0" w:color="auto"/>
          </w:divBdr>
        </w:div>
        <w:div w:id="2131505910">
          <w:marLeft w:val="547"/>
          <w:marRight w:val="0"/>
          <w:marTop w:val="0"/>
          <w:marBottom w:val="0"/>
          <w:divBdr>
            <w:top w:val="none" w:sz="0" w:space="0" w:color="auto"/>
            <w:left w:val="none" w:sz="0" w:space="0" w:color="auto"/>
            <w:bottom w:val="none" w:sz="0" w:space="0" w:color="auto"/>
            <w:right w:val="none" w:sz="0" w:space="0" w:color="auto"/>
          </w:divBdr>
        </w:div>
        <w:div w:id="791703579">
          <w:marLeft w:val="547"/>
          <w:marRight w:val="0"/>
          <w:marTop w:val="0"/>
          <w:marBottom w:val="0"/>
          <w:divBdr>
            <w:top w:val="none" w:sz="0" w:space="0" w:color="auto"/>
            <w:left w:val="none" w:sz="0" w:space="0" w:color="auto"/>
            <w:bottom w:val="none" w:sz="0" w:space="0" w:color="auto"/>
            <w:right w:val="none" w:sz="0" w:space="0" w:color="auto"/>
          </w:divBdr>
        </w:div>
        <w:div w:id="253781751">
          <w:marLeft w:val="547"/>
          <w:marRight w:val="0"/>
          <w:marTop w:val="0"/>
          <w:marBottom w:val="0"/>
          <w:divBdr>
            <w:top w:val="none" w:sz="0" w:space="0" w:color="auto"/>
            <w:left w:val="none" w:sz="0" w:space="0" w:color="auto"/>
            <w:bottom w:val="none" w:sz="0" w:space="0" w:color="auto"/>
            <w:right w:val="none" w:sz="0" w:space="0" w:color="auto"/>
          </w:divBdr>
        </w:div>
        <w:div w:id="1569800194">
          <w:marLeft w:val="547"/>
          <w:marRight w:val="0"/>
          <w:marTop w:val="0"/>
          <w:marBottom w:val="0"/>
          <w:divBdr>
            <w:top w:val="none" w:sz="0" w:space="0" w:color="auto"/>
            <w:left w:val="none" w:sz="0" w:space="0" w:color="auto"/>
            <w:bottom w:val="none" w:sz="0" w:space="0" w:color="auto"/>
            <w:right w:val="none" w:sz="0" w:space="0" w:color="auto"/>
          </w:divBdr>
        </w:div>
      </w:divsChild>
    </w:div>
    <w:div w:id="807823835">
      <w:bodyDiv w:val="1"/>
      <w:marLeft w:val="0"/>
      <w:marRight w:val="0"/>
      <w:marTop w:val="0"/>
      <w:marBottom w:val="0"/>
      <w:divBdr>
        <w:top w:val="none" w:sz="0" w:space="0" w:color="auto"/>
        <w:left w:val="none" w:sz="0" w:space="0" w:color="auto"/>
        <w:bottom w:val="none" w:sz="0" w:space="0" w:color="auto"/>
        <w:right w:val="none" w:sz="0" w:space="0" w:color="auto"/>
      </w:divBdr>
    </w:div>
    <w:div w:id="845558144">
      <w:bodyDiv w:val="1"/>
      <w:marLeft w:val="0"/>
      <w:marRight w:val="0"/>
      <w:marTop w:val="0"/>
      <w:marBottom w:val="0"/>
      <w:divBdr>
        <w:top w:val="none" w:sz="0" w:space="0" w:color="auto"/>
        <w:left w:val="none" w:sz="0" w:space="0" w:color="auto"/>
        <w:bottom w:val="none" w:sz="0" w:space="0" w:color="auto"/>
        <w:right w:val="none" w:sz="0" w:space="0" w:color="auto"/>
      </w:divBdr>
    </w:div>
    <w:div w:id="917440533">
      <w:bodyDiv w:val="1"/>
      <w:marLeft w:val="0"/>
      <w:marRight w:val="0"/>
      <w:marTop w:val="0"/>
      <w:marBottom w:val="0"/>
      <w:divBdr>
        <w:top w:val="none" w:sz="0" w:space="0" w:color="auto"/>
        <w:left w:val="none" w:sz="0" w:space="0" w:color="auto"/>
        <w:bottom w:val="none" w:sz="0" w:space="0" w:color="auto"/>
        <w:right w:val="none" w:sz="0" w:space="0" w:color="auto"/>
      </w:divBdr>
    </w:div>
    <w:div w:id="1015956426">
      <w:bodyDiv w:val="1"/>
      <w:marLeft w:val="0"/>
      <w:marRight w:val="0"/>
      <w:marTop w:val="0"/>
      <w:marBottom w:val="0"/>
      <w:divBdr>
        <w:top w:val="none" w:sz="0" w:space="0" w:color="auto"/>
        <w:left w:val="none" w:sz="0" w:space="0" w:color="auto"/>
        <w:bottom w:val="none" w:sz="0" w:space="0" w:color="auto"/>
        <w:right w:val="none" w:sz="0" w:space="0" w:color="auto"/>
      </w:divBdr>
    </w:div>
    <w:div w:id="1063024065">
      <w:bodyDiv w:val="1"/>
      <w:marLeft w:val="0"/>
      <w:marRight w:val="0"/>
      <w:marTop w:val="0"/>
      <w:marBottom w:val="0"/>
      <w:divBdr>
        <w:top w:val="none" w:sz="0" w:space="0" w:color="auto"/>
        <w:left w:val="none" w:sz="0" w:space="0" w:color="auto"/>
        <w:bottom w:val="none" w:sz="0" w:space="0" w:color="auto"/>
        <w:right w:val="none" w:sz="0" w:space="0" w:color="auto"/>
      </w:divBdr>
    </w:div>
    <w:div w:id="1146821845">
      <w:bodyDiv w:val="1"/>
      <w:marLeft w:val="0"/>
      <w:marRight w:val="0"/>
      <w:marTop w:val="0"/>
      <w:marBottom w:val="0"/>
      <w:divBdr>
        <w:top w:val="none" w:sz="0" w:space="0" w:color="auto"/>
        <w:left w:val="none" w:sz="0" w:space="0" w:color="auto"/>
        <w:bottom w:val="none" w:sz="0" w:space="0" w:color="auto"/>
        <w:right w:val="none" w:sz="0" w:space="0" w:color="auto"/>
      </w:divBdr>
    </w:div>
    <w:div w:id="1244219035">
      <w:bodyDiv w:val="1"/>
      <w:marLeft w:val="0"/>
      <w:marRight w:val="0"/>
      <w:marTop w:val="0"/>
      <w:marBottom w:val="0"/>
      <w:divBdr>
        <w:top w:val="none" w:sz="0" w:space="0" w:color="auto"/>
        <w:left w:val="none" w:sz="0" w:space="0" w:color="auto"/>
        <w:bottom w:val="none" w:sz="0" w:space="0" w:color="auto"/>
        <w:right w:val="none" w:sz="0" w:space="0" w:color="auto"/>
      </w:divBdr>
    </w:div>
    <w:div w:id="1284506915">
      <w:bodyDiv w:val="1"/>
      <w:marLeft w:val="0"/>
      <w:marRight w:val="0"/>
      <w:marTop w:val="0"/>
      <w:marBottom w:val="0"/>
      <w:divBdr>
        <w:top w:val="none" w:sz="0" w:space="0" w:color="auto"/>
        <w:left w:val="none" w:sz="0" w:space="0" w:color="auto"/>
        <w:bottom w:val="none" w:sz="0" w:space="0" w:color="auto"/>
        <w:right w:val="none" w:sz="0" w:space="0" w:color="auto"/>
      </w:divBdr>
    </w:div>
    <w:div w:id="1302346648">
      <w:bodyDiv w:val="1"/>
      <w:marLeft w:val="0"/>
      <w:marRight w:val="0"/>
      <w:marTop w:val="0"/>
      <w:marBottom w:val="0"/>
      <w:divBdr>
        <w:top w:val="none" w:sz="0" w:space="0" w:color="auto"/>
        <w:left w:val="none" w:sz="0" w:space="0" w:color="auto"/>
        <w:bottom w:val="none" w:sz="0" w:space="0" w:color="auto"/>
        <w:right w:val="none" w:sz="0" w:space="0" w:color="auto"/>
      </w:divBdr>
    </w:div>
    <w:div w:id="1312951713">
      <w:bodyDiv w:val="1"/>
      <w:marLeft w:val="0"/>
      <w:marRight w:val="0"/>
      <w:marTop w:val="0"/>
      <w:marBottom w:val="0"/>
      <w:divBdr>
        <w:top w:val="none" w:sz="0" w:space="0" w:color="auto"/>
        <w:left w:val="none" w:sz="0" w:space="0" w:color="auto"/>
        <w:bottom w:val="none" w:sz="0" w:space="0" w:color="auto"/>
        <w:right w:val="none" w:sz="0" w:space="0" w:color="auto"/>
      </w:divBdr>
    </w:div>
    <w:div w:id="1346977007">
      <w:bodyDiv w:val="1"/>
      <w:marLeft w:val="0"/>
      <w:marRight w:val="0"/>
      <w:marTop w:val="0"/>
      <w:marBottom w:val="0"/>
      <w:divBdr>
        <w:top w:val="none" w:sz="0" w:space="0" w:color="auto"/>
        <w:left w:val="none" w:sz="0" w:space="0" w:color="auto"/>
        <w:bottom w:val="none" w:sz="0" w:space="0" w:color="auto"/>
        <w:right w:val="none" w:sz="0" w:space="0" w:color="auto"/>
      </w:divBdr>
    </w:div>
    <w:div w:id="1361082758">
      <w:bodyDiv w:val="1"/>
      <w:marLeft w:val="0"/>
      <w:marRight w:val="0"/>
      <w:marTop w:val="0"/>
      <w:marBottom w:val="0"/>
      <w:divBdr>
        <w:top w:val="none" w:sz="0" w:space="0" w:color="auto"/>
        <w:left w:val="none" w:sz="0" w:space="0" w:color="auto"/>
        <w:bottom w:val="none" w:sz="0" w:space="0" w:color="auto"/>
        <w:right w:val="none" w:sz="0" w:space="0" w:color="auto"/>
      </w:divBdr>
    </w:div>
    <w:div w:id="1439063847">
      <w:bodyDiv w:val="1"/>
      <w:marLeft w:val="0"/>
      <w:marRight w:val="0"/>
      <w:marTop w:val="0"/>
      <w:marBottom w:val="0"/>
      <w:divBdr>
        <w:top w:val="none" w:sz="0" w:space="0" w:color="auto"/>
        <w:left w:val="none" w:sz="0" w:space="0" w:color="auto"/>
        <w:bottom w:val="none" w:sz="0" w:space="0" w:color="auto"/>
        <w:right w:val="none" w:sz="0" w:space="0" w:color="auto"/>
      </w:divBdr>
    </w:div>
    <w:div w:id="1454520948">
      <w:bodyDiv w:val="1"/>
      <w:marLeft w:val="0"/>
      <w:marRight w:val="0"/>
      <w:marTop w:val="0"/>
      <w:marBottom w:val="0"/>
      <w:divBdr>
        <w:top w:val="none" w:sz="0" w:space="0" w:color="auto"/>
        <w:left w:val="none" w:sz="0" w:space="0" w:color="auto"/>
        <w:bottom w:val="none" w:sz="0" w:space="0" w:color="auto"/>
        <w:right w:val="none" w:sz="0" w:space="0" w:color="auto"/>
      </w:divBdr>
    </w:div>
    <w:div w:id="1464227331">
      <w:bodyDiv w:val="1"/>
      <w:marLeft w:val="0"/>
      <w:marRight w:val="0"/>
      <w:marTop w:val="0"/>
      <w:marBottom w:val="0"/>
      <w:divBdr>
        <w:top w:val="none" w:sz="0" w:space="0" w:color="auto"/>
        <w:left w:val="none" w:sz="0" w:space="0" w:color="auto"/>
        <w:bottom w:val="none" w:sz="0" w:space="0" w:color="auto"/>
        <w:right w:val="none" w:sz="0" w:space="0" w:color="auto"/>
      </w:divBdr>
      <w:divsChild>
        <w:div w:id="719522014">
          <w:marLeft w:val="0"/>
          <w:marRight w:val="0"/>
          <w:marTop w:val="0"/>
          <w:marBottom w:val="0"/>
          <w:divBdr>
            <w:top w:val="none" w:sz="0" w:space="0" w:color="auto"/>
            <w:left w:val="none" w:sz="0" w:space="0" w:color="auto"/>
            <w:bottom w:val="none" w:sz="0" w:space="0" w:color="auto"/>
            <w:right w:val="none" w:sz="0" w:space="0" w:color="auto"/>
          </w:divBdr>
          <w:divsChild>
            <w:div w:id="1944073241">
              <w:marLeft w:val="0"/>
              <w:marRight w:val="0"/>
              <w:marTop w:val="0"/>
              <w:marBottom w:val="0"/>
              <w:divBdr>
                <w:top w:val="none" w:sz="0" w:space="0" w:color="auto"/>
                <w:left w:val="none" w:sz="0" w:space="0" w:color="auto"/>
                <w:bottom w:val="none" w:sz="0" w:space="0" w:color="auto"/>
                <w:right w:val="none" w:sz="0" w:space="0" w:color="auto"/>
              </w:divBdr>
              <w:divsChild>
                <w:div w:id="1805847906">
                  <w:marLeft w:val="0"/>
                  <w:marRight w:val="0"/>
                  <w:marTop w:val="0"/>
                  <w:marBottom w:val="0"/>
                  <w:divBdr>
                    <w:top w:val="none" w:sz="0" w:space="0" w:color="auto"/>
                    <w:left w:val="none" w:sz="0" w:space="0" w:color="auto"/>
                    <w:bottom w:val="none" w:sz="0" w:space="0" w:color="auto"/>
                    <w:right w:val="none" w:sz="0" w:space="0" w:color="auto"/>
                  </w:divBdr>
                  <w:divsChild>
                    <w:div w:id="1449201805">
                      <w:marLeft w:val="0"/>
                      <w:marRight w:val="0"/>
                      <w:marTop w:val="0"/>
                      <w:marBottom w:val="0"/>
                      <w:divBdr>
                        <w:top w:val="none" w:sz="0" w:space="0" w:color="auto"/>
                        <w:left w:val="none" w:sz="0" w:space="0" w:color="auto"/>
                        <w:bottom w:val="none" w:sz="0" w:space="0" w:color="auto"/>
                        <w:right w:val="none" w:sz="0" w:space="0" w:color="auto"/>
                      </w:divBdr>
                      <w:divsChild>
                        <w:div w:id="2044013109">
                          <w:marLeft w:val="0"/>
                          <w:marRight w:val="0"/>
                          <w:marTop w:val="0"/>
                          <w:marBottom w:val="0"/>
                          <w:divBdr>
                            <w:top w:val="none" w:sz="0" w:space="0" w:color="auto"/>
                            <w:left w:val="none" w:sz="0" w:space="0" w:color="auto"/>
                            <w:bottom w:val="none" w:sz="0" w:space="0" w:color="auto"/>
                            <w:right w:val="none" w:sz="0" w:space="0" w:color="auto"/>
                          </w:divBdr>
                          <w:divsChild>
                            <w:div w:id="841899423">
                              <w:marLeft w:val="0"/>
                              <w:marRight w:val="0"/>
                              <w:marTop w:val="0"/>
                              <w:marBottom w:val="0"/>
                              <w:divBdr>
                                <w:top w:val="none" w:sz="0" w:space="0" w:color="auto"/>
                                <w:left w:val="none" w:sz="0" w:space="0" w:color="auto"/>
                                <w:bottom w:val="none" w:sz="0" w:space="0" w:color="auto"/>
                                <w:right w:val="none" w:sz="0" w:space="0" w:color="auto"/>
                              </w:divBdr>
                              <w:divsChild>
                                <w:div w:id="1208909534">
                                  <w:marLeft w:val="0"/>
                                  <w:marRight w:val="0"/>
                                  <w:marTop w:val="0"/>
                                  <w:marBottom w:val="0"/>
                                  <w:divBdr>
                                    <w:top w:val="none" w:sz="0" w:space="0" w:color="auto"/>
                                    <w:left w:val="none" w:sz="0" w:space="0" w:color="auto"/>
                                    <w:bottom w:val="none" w:sz="0" w:space="0" w:color="auto"/>
                                    <w:right w:val="none" w:sz="0" w:space="0" w:color="auto"/>
                                  </w:divBdr>
                                  <w:divsChild>
                                    <w:div w:id="2130973319">
                                      <w:marLeft w:val="0"/>
                                      <w:marRight w:val="0"/>
                                      <w:marTop w:val="0"/>
                                      <w:marBottom w:val="0"/>
                                      <w:divBdr>
                                        <w:top w:val="none" w:sz="0" w:space="0" w:color="auto"/>
                                        <w:left w:val="none" w:sz="0" w:space="0" w:color="auto"/>
                                        <w:bottom w:val="none" w:sz="0" w:space="0" w:color="auto"/>
                                        <w:right w:val="none" w:sz="0" w:space="0" w:color="auto"/>
                                      </w:divBdr>
                                      <w:divsChild>
                                        <w:div w:id="1560744097">
                                          <w:marLeft w:val="0"/>
                                          <w:marRight w:val="0"/>
                                          <w:marTop w:val="0"/>
                                          <w:marBottom w:val="0"/>
                                          <w:divBdr>
                                            <w:top w:val="none" w:sz="0" w:space="0" w:color="auto"/>
                                            <w:left w:val="none" w:sz="0" w:space="0" w:color="auto"/>
                                            <w:bottom w:val="none" w:sz="0" w:space="0" w:color="auto"/>
                                            <w:right w:val="none" w:sz="0" w:space="0" w:color="auto"/>
                                          </w:divBdr>
                                          <w:divsChild>
                                            <w:div w:id="92821029">
                                              <w:marLeft w:val="0"/>
                                              <w:marRight w:val="0"/>
                                              <w:marTop w:val="0"/>
                                              <w:marBottom w:val="0"/>
                                              <w:divBdr>
                                                <w:top w:val="none" w:sz="0" w:space="0" w:color="auto"/>
                                                <w:left w:val="none" w:sz="0" w:space="0" w:color="auto"/>
                                                <w:bottom w:val="none" w:sz="0" w:space="0" w:color="auto"/>
                                                <w:right w:val="none" w:sz="0" w:space="0" w:color="auto"/>
                                              </w:divBdr>
                                              <w:divsChild>
                                                <w:div w:id="641888841">
                                                  <w:marLeft w:val="0"/>
                                                  <w:marRight w:val="0"/>
                                                  <w:marTop w:val="0"/>
                                                  <w:marBottom w:val="0"/>
                                                  <w:divBdr>
                                                    <w:top w:val="none" w:sz="0" w:space="0" w:color="auto"/>
                                                    <w:left w:val="none" w:sz="0" w:space="0" w:color="auto"/>
                                                    <w:bottom w:val="none" w:sz="0" w:space="0" w:color="auto"/>
                                                    <w:right w:val="none" w:sz="0" w:space="0" w:color="auto"/>
                                                  </w:divBdr>
                                                  <w:divsChild>
                                                    <w:div w:id="773596570">
                                                      <w:marLeft w:val="0"/>
                                                      <w:marRight w:val="0"/>
                                                      <w:marTop w:val="0"/>
                                                      <w:marBottom w:val="0"/>
                                                      <w:divBdr>
                                                        <w:top w:val="none" w:sz="0" w:space="0" w:color="auto"/>
                                                        <w:left w:val="none" w:sz="0" w:space="0" w:color="auto"/>
                                                        <w:bottom w:val="none" w:sz="0" w:space="0" w:color="auto"/>
                                                        <w:right w:val="none" w:sz="0" w:space="0" w:color="auto"/>
                                                      </w:divBdr>
                                                      <w:divsChild>
                                                        <w:div w:id="1441611678">
                                                          <w:marLeft w:val="0"/>
                                                          <w:marRight w:val="0"/>
                                                          <w:marTop w:val="0"/>
                                                          <w:marBottom w:val="0"/>
                                                          <w:divBdr>
                                                            <w:top w:val="none" w:sz="0" w:space="0" w:color="auto"/>
                                                            <w:left w:val="none" w:sz="0" w:space="0" w:color="auto"/>
                                                            <w:bottom w:val="none" w:sz="0" w:space="0" w:color="auto"/>
                                                            <w:right w:val="none" w:sz="0" w:space="0" w:color="auto"/>
                                                          </w:divBdr>
                                                          <w:divsChild>
                                                            <w:div w:id="137378632">
                                                              <w:marLeft w:val="0"/>
                                                              <w:marRight w:val="0"/>
                                                              <w:marTop w:val="0"/>
                                                              <w:marBottom w:val="0"/>
                                                              <w:divBdr>
                                                                <w:top w:val="none" w:sz="0" w:space="0" w:color="auto"/>
                                                                <w:left w:val="none" w:sz="0" w:space="0" w:color="auto"/>
                                                                <w:bottom w:val="none" w:sz="0" w:space="0" w:color="auto"/>
                                                                <w:right w:val="none" w:sz="0" w:space="0" w:color="auto"/>
                                                              </w:divBdr>
                                                              <w:divsChild>
                                                                <w:div w:id="2105416773">
                                                                  <w:marLeft w:val="0"/>
                                                                  <w:marRight w:val="0"/>
                                                                  <w:marTop w:val="0"/>
                                                                  <w:marBottom w:val="0"/>
                                                                  <w:divBdr>
                                                                    <w:top w:val="none" w:sz="0" w:space="0" w:color="auto"/>
                                                                    <w:left w:val="none" w:sz="0" w:space="0" w:color="auto"/>
                                                                    <w:bottom w:val="none" w:sz="0" w:space="0" w:color="auto"/>
                                                                    <w:right w:val="none" w:sz="0" w:space="0" w:color="auto"/>
                                                                  </w:divBdr>
                                                                  <w:divsChild>
                                                                    <w:div w:id="684752428">
                                                                      <w:marLeft w:val="0"/>
                                                                      <w:marRight w:val="0"/>
                                                                      <w:marTop w:val="0"/>
                                                                      <w:marBottom w:val="0"/>
                                                                      <w:divBdr>
                                                                        <w:top w:val="none" w:sz="0" w:space="0" w:color="auto"/>
                                                                        <w:left w:val="none" w:sz="0" w:space="0" w:color="auto"/>
                                                                        <w:bottom w:val="none" w:sz="0" w:space="0" w:color="auto"/>
                                                                        <w:right w:val="none" w:sz="0" w:space="0" w:color="auto"/>
                                                                      </w:divBdr>
                                                                      <w:divsChild>
                                                                        <w:div w:id="928150153">
                                                                          <w:marLeft w:val="0"/>
                                                                          <w:marRight w:val="0"/>
                                                                          <w:marTop w:val="0"/>
                                                                          <w:marBottom w:val="0"/>
                                                                          <w:divBdr>
                                                                            <w:top w:val="none" w:sz="0" w:space="0" w:color="auto"/>
                                                                            <w:left w:val="none" w:sz="0" w:space="0" w:color="auto"/>
                                                                            <w:bottom w:val="none" w:sz="0" w:space="0" w:color="auto"/>
                                                                            <w:right w:val="none" w:sz="0" w:space="0" w:color="auto"/>
                                                                          </w:divBdr>
                                                                          <w:divsChild>
                                                                            <w:div w:id="873007825">
                                                                              <w:marLeft w:val="0"/>
                                                                              <w:marRight w:val="0"/>
                                                                              <w:marTop w:val="0"/>
                                                                              <w:marBottom w:val="0"/>
                                                                              <w:divBdr>
                                                                                <w:top w:val="none" w:sz="0" w:space="0" w:color="auto"/>
                                                                                <w:left w:val="none" w:sz="0" w:space="0" w:color="auto"/>
                                                                                <w:bottom w:val="none" w:sz="0" w:space="0" w:color="auto"/>
                                                                                <w:right w:val="none" w:sz="0" w:space="0" w:color="auto"/>
                                                                              </w:divBdr>
                                                                              <w:divsChild>
                                                                                <w:div w:id="1148061037">
                                                                                  <w:marLeft w:val="0"/>
                                                                                  <w:marRight w:val="0"/>
                                                                                  <w:marTop w:val="0"/>
                                                                                  <w:marBottom w:val="0"/>
                                                                                  <w:divBdr>
                                                                                    <w:top w:val="none" w:sz="0" w:space="0" w:color="auto"/>
                                                                                    <w:left w:val="none" w:sz="0" w:space="0" w:color="auto"/>
                                                                                    <w:bottom w:val="none" w:sz="0" w:space="0" w:color="auto"/>
                                                                                    <w:right w:val="none" w:sz="0" w:space="0" w:color="auto"/>
                                                                                  </w:divBdr>
                                                                                  <w:divsChild>
                                                                                    <w:div w:id="1907378466">
                                                                                      <w:marLeft w:val="0"/>
                                                                                      <w:marRight w:val="0"/>
                                                                                      <w:marTop w:val="0"/>
                                                                                      <w:marBottom w:val="0"/>
                                                                                      <w:divBdr>
                                                                                        <w:top w:val="none" w:sz="0" w:space="0" w:color="auto"/>
                                                                                        <w:left w:val="none" w:sz="0" w:space="0" w:color="auto"/>
                                                                                        <w:bottom w:val="none" w:sz="0" w:space="0" w:color="auto"/>
                                                                                        <w:right w:val="none" w:sz="0" w:space="0" w:color="auto"/>
                                                                                      </w:divBdr>
                                                                                      <w:divsChild>
                                                                                        <w:div w:id="1370187159">
                                                                                          <w:marLeft w:val="0"/>
                                                                                          <w:marRight w:val="0"/>
                                                                                          <w:marTop w:val="0"/>
                                                                                          <w:marBottom w:val="0"/>
                                                                                          <w:divBdr>
                                                                                            <w:top w:val="none" w:sz="0" w:space="0" w:color="auto"/>
                                                                                            <w:left w:val="none" w:sz="0" w:space="0" w:color="auto"/>
                                                                                            <w:bottom w:val="none" w:sz="0" w:space="0" w:color="auto"/>
                                                                                            <w:right w:val="none" w:sz="0" w:space="0" w:color="auto"/>
                                                                                          </w:divBdr>
                                                                                          <w:divsChild>
                                                                                            <w:div w:id="6621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4284751">
                              <w:marLeft w:val="0"/>
                              <w:marRight w:val="0"/>
                              <w:marTop w:val="0"/>
                              <w:marBottom w:val="0"/>
                              <w:divBdr>
                                <w:top w:val="none" w:sz="0" w:space="0" w:color="auto"/>
                                <w:left w:val="none" w:sz="0" w:space="0" w:color="auto"/>
                                <w:bottom w:val="none" w:sz="0" w:space="0" w:color="auto"/>
                                <w:right w:val="none" w:sz="0" w:space="0" w:color="auto"/>
                              </w:divBdr>
                              <w:divsChild>
                                <w:div w:id="874346866">
                                  <w:marLeft w:val="0"/>
                                  <w:marRight w:val="0"/>
                                  <w:marTop w:val="0"/>
                                  <w:marBottom w:val="0"/>
                                  <w:divBdr>
                                    <w:top w:val="none" w:sz="0" w:space="0" w:color="auto"/>
                                    <w:left w:val="none" w:sz="0" w:space="0" w:color="auto"/>
                                    <w:bottom w:val="none" w:sz="0" w:space="0" w:color="auto"/>
                                    <w:right w:val="none" w:sz="0" w:space="0" w:color="auto"/>
                                  </w:divBdr>
                                  <w:divsChild>
                                    <w:div w:id="326985349">
                                      <w:marLeft w:val="0"/>
                                      <w:marRight w:val="0"/>
                                      <w:marTop w:val="0"/>
                                      <w:marBottom w:val="0"/>
                                      <w:divBdr>
                                        <w:top w:val="none" w:sz="0" w:space="0" w:color="auto"/>
                                        <w:left w:val="none" w:sz="0" w:space="0" w:color="auto"/>
                                        <w:bottom w:val="none" w:sz="0" w:space="0" w:color="auto"/>
                                        <w:right w:val="none" w:sz="0" w:space="0" w:color="auto"/>
                                      </w:divBdr>
                                      <w:divsChild>
                                        <w:div w:id="317345514">
                                          <w:marLeft w:val="0"/>
                                          <w:marRight w:val="0"/>
                                          <w:marTop w:val="0"/>
                                          <w:marBottom w:val="0"/>
                                          <w:divBdr>
                                            <w:top w:val="none" w:sz="0" w:space="0" w:color="auto"/>
                                            <w:left w:val="none" w:sz="0" w:space="0" w:color="auto"/>
                                            <w:bottom w:val="none" w:sz="0" w:space="0" w:color="auto"/>
                                            <w:right w:val="none" w:sz="0" w:space="0" w:color="auto"/>
                                          </w:divBdr>
                                          <w:divsChild>
                                            <w:div w:id="563642307">
                                              <w:marLeft w:val="0"/>
                                              <w:marRight w:val="0"/>
                                              <w:marTop w:val="0"/>
                                              <w:marBottom w:val="0"/>
                                              <w:divBdr>
                                                <w:top w:val="none" w:sz="0" w:space="0" w:color="auto"/>
                                                <w:left w:val="none" w:sz="0" w:space="0" w:color="auto"/>
                                                <w:bottom w:val="none" w:sz="0" w:space="0" w:color="auto"/>
                                                <w:right w:val="none" w:sz="0" w:space="0" w:color="auto"/>
                                              </w:divBdr>
                                              <w:divsChild>
                                                <w:div w:id="685911881">
                                                  <w:marLeft w:val="0"/>
                                                  <w:marRight w:val="0"/>
                                                  <w:marTop w:val="0"/>
                                                  <w:marBottom w:val="0"/>
                                                  <w:divBdr>
                                                    <w:top w:val="single" w:sz="6" w:space="3" w:color="auto"/>
                                                    <w:left w:val="single" w:sz="6" w:space="8" w:color="auto"/>
                                                    <w:bottom w:val="single" w:sz="6" w:space="3" w:color="auto"/>
                                                    <w:right w:val="single" w:sz="6" w:space="0" w:color="auto"/>
                                                  </w:divBdr>
                                                  <w:divsChild>
                                                    <w:div w:id="904417587">
                                                      <w:marLeft w:val="0"/>
                                                      <w:marRight w:val="0"/>
                                                      <w:marTop w:val="0"/>
                                                      <w:marBottom w:val="0"/>
                                                      <w:divBdr>
                                                        <w:top w:val="none" w:sz="0" w:space="0" w:color="auto"/>
                                                        <w:left w:val="none" w:sz="0" w:space="0" w:color="auto"/>
                                                        <w:bottom w:val="none" w:sz="0" w:space="0" w:color="auto"/>
                                                        <w:right w:val="none" w:sz="0" w:space="0" w:color="auto"/>
                                                      </w:divBdr>
                                                      <w:divsChild>
                                                        <w:div w:id="1273245517">
                                                          <w:marLeft w:val="0"/>
                                                          <w:marRight w:val="540"/>
                                                          <w:marTop w:val="0"/>
                                                          <w:marBottom w:val="0"/>
                                                          <w:divBdr>
                                                            <w:top w:val="none" w:sz="0" w:space="0" w:color="auto"/>
                                                            <w:left w:val="none" w:sz="0" w:space="0" w:color="auto"/>
                                                            <w:bottom w:val="none" w:sz="0" w:space="0" w:color="auto"/>
                                                            <w:right w:val="none" w:sz="0" w:space="0" w:color="auto"/>
                                                          </w:divBdr>
                                                          <w:divsChild>
                                                            <w:div w:id="159732257">
                                                              <w:marLeft w:val="0"/>
                                                              <w:marRight w:val="0"/>
                                                              <w:marTop w:val="0"/>
                                                              <w:marBottom w:val="0"/>
                                                              <w:divBdr>
                                                                <w:top w:val="none" w:sz="0" w:space="0" w:color="auto"/>
                                                                <w:left w:val="none" w:sz="0" w:space="0" w:color="auto"/>
                                                                <w:bottom w:val="none" w:sz="0" w:space="0" w:color="auto"/>
                                                                <w:right w:val="none" w:sz="0" w:space="0" w:color="auto"/>
                                                              </w:divBdr>
                                                              <w:divsChild>
                                                                <w:div w:id="1356080494">
                                                                  <w:marLeft w:val="0"/>
                                                                  <w:marRight w:val="0"/>
                                                                  <w:marTop w:val="0"/>
                                                                  <w:marBottom w:val="0"/>
                                                                  <w:divBdr>
                                                                    <w:top w:val="none" w:sz="0" w:space="0" w:color="auto"/>
                                                                    <w:left w:val="none" w:sz="0" w:space="0" w:color="auto"/>
                                                                    <w:bottom w:val="none" w:sz="0" w:space="0" w:color="auto"/>
                                                                    <w:right w:val="none" w:sz="0" w:space="0" w:color="auto"/>
                                                                  </w:divBdr>
                                                                  <w:divsChild>
                                                                    <w:div w:id="894464331">
                                                                      <w:marLeft w:val="0"/>
                                                                      <w:marRight w:val="0"/>
                                                                      <w:marTop w:val="0"/>
                                                                      <w:marBottom w:val="0"/>
                                                                      <w:divBdr>
                                                                        <w:top w:val="none" w:sz="0" w:space="0" w:color="auto"/>
                                                                        <w:left w:val="none" w:sz="0" w:space="0" w:color="auto"/>
                                                                        <w:bottom w:val="none" w:sz="0" w:space="0" w:color="auto"/>
                                                                        <w:right w:val="none" w:sz="0" w:space="0" w:color="auto"/>
                                                                      </w:divBdr>
                                                                      <w:divsChild>
                                                                        <w:div w:id="920217545">
                                                                          <w:marLeft w:val="0"/>
                                                                          <w:marRight w:val="0"/>
                                                                          <w:marTop w:val="0"/>
                                                                          <w:marBottom w:val="0"/>
                                                                          <w:divBdr>
                                                                            <w:top w:val="none" w:sz="0" w:space="0" w:color="auto"/>
                                                                            <w:left w:val="none" w:sz="0" w:space="0" w:color="auto"/>
                                                                            <w:bottom w:val="none" w:sz="0" w:space="0" w:color="auto"/>
                                                                            <w:right w:val="none" w:sz="0" w:space="0" w:color="auto"/>
                                                                          </w:divBdr>
                                                                        </w:div>
                                                                      </w:divsChild>
                                                                    </w:div>
                                                                    <w:div w:id="1747216864">
                                                                      <w:marLeft w:val="0"/>
                                                                      <w:marRight w:val="0"/>
                                                                      <w:marTop w:val="0"/>
                                                                      <w:marBottom w:val="0"/>
                                                                      <w:divBdr>
                                                                        <w:top w:val="none" w:sz="0" w:space="0" w:color="auto"/>
                                                                        <w:left w:val="none" w:sz="0" w:space="0" w:color="auto"/>
                                                                        <w:bottom w:val="none" w:sz="0" w:space="0" w:color="auto"/>
                                                                        <w:right w:val="none" w:sz="0" w:space="0" w:color="auto"/>
                                                                      </w:divBdr>
                                                                      <w:divsChild>
                                                                        <w:div w:id="1805924769">
                                                                          <w:marLeft w:val="0"/>
                                                                          <w:marRight w:val="0"/>
                                                                          <w:marTop w:val="0"/>
                                                                          <w:marBottom w:val="0"/>
                                                                          <w:divBdr>
                                                                            <w:top w:val="none" w:sz="0" w:space="0" w:color="auto"/>
                                                                            <w:left w:val="none" w:sz="0" w:space="0" w:color="auto"/>
                                                                            <w:bottom w:val="none" w:sz="0" w:space="0" w:color="auto"/>
                                                                            <w:right w:val="none" w:sz="0" w:space="0" w:color="auto"/>
                                                                          </w:divBdr>
                                                                          <w:divsChild>
                                                                            <w:div w:id="998849900">
                                                                              <w:marLeft w:val="0"/>
                                                                              <w:marRight w:val="0"/>
                                                                              <w:marTop w:val="0"/>
                                                                              <w:marBottom w:val="0"/>
                                                                              <w:divBdr>
                                                                                <w:top w:val="none" w:sz="0" w:space="0" w:color="auto"/>
                                                                                <w:left w:val="none" w:sz="0" w:space="0" w:color="auto"/>
                                                                                <w:bottom w:val="none" w:sz="0" w:space="0" w:color="auto"/>
                                                                                <w:right w:val="none" w:sz="0" w:space="0" w:color="auto"/>
                                                                              </w:divBdr>
                                                                              <w:divsChild>
                                                                                <w:div w:id="1674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564568">
          <w:marLeft w:val="0"/>
          <w:marRight w:val="0"/>
          <w:marTop w:val="0"/>
          <w:marBottom w:val="0"/>
          <w:divBdr>
            <w:top w:val="none" w:sz="0" w:space="0" w:color="auto"/>
            <w:left w:val="none" w:sz="0" w:space="0" w:color="auto"/>
            <w:bottom w:val="none" w:sz="0" w:space="0" w:color="auto"/>
            <w:right w:val="none" w:sz="0" w:space="0" w:color="auto"/>
          </w:divBdr>
          <w:divsChild>
            <w:div w:id="1586455405">
              <w:marLeft w:val="0"/>
              <w:marRight w:val="0"/>
              <w:marTop w:val="0"/>
              <w:marBottom w:val="0"/>
              <w:divBdr>
                <w:top w:val="none" w:sz="0" w:space="0" w:color="auto"/>
                <w:left w:val="none" w:sz="0" w:space="0" w:color="auto"/>
                <w:bottom w:val="none" w:sz="0" w:space="0" w:color="auto"/>
                <w:right w:val="none" w:sz="0" w:space="0" w:color="auto"/>
              </w:divBdr>
              <w:divsChild>
                <w:div w:id="513035996">
                  <w:marLeft w:val="0"/>
                  <w:marRight w:val="0"/>
                  <w:marTop w:val="0"/>
                  <w:marBottom w:val="0"/>
                  <w:divBdr>
                    <w:top w:val="none" w:sz="0" w:space="0" w:color="auto"/>
                    <w:left w:val="none" w:sz="0" w:space="0" w:color="auto"/>
                    <w:bottom w:val="none" w:sz="0" w:space="0" w:color="auto"/>
                    <w:right w:val="none" w:sz="0" w:space="0" w:color="auto"/>
                  </w:divBdr>
                  <w:divsChild>
                    <w:div w:id="1601908827">
                      <w:marLeft w:val="0"/>
                      <w:marRight w:val="0"/>
                      <w:marTop w:val="0"/>
                      <w:marBottom w:val="0"/>
                      <w:divBdr>
                        <w:top w:val="none" w:sz="0" w:space="0" w:color="auto"/>
                        <w:left w:val="none" w:sz="0" w:space="0" w:color="auto"/>
                        <w:bottom w:val="none" w:sz="0" w:space="0" w:color="auto"/>
                        <w:right w:val="none" w:sz="0" w:space="0" w:color="auto"/>
                      </w:divBdr>
                      <w:divsChild>
                        <w:div w:id="671564600">
                          <w:marLeft w:val="0"/>
                          <w:marRight w:val="0"/>
                          <w:marTop w:val="0"/>
                          <w:marBottom w:val="0"/>
                          <w:divBdr>
                            <w:top w:val="none" w:sz="0" w:space="0" w:color="auto"/>
                            <w:left w:val="none" w:sz="0" w:space="0" w:color="auto"/>
                            <w:bottom w:val="none" w:sz="0" w:space="0" w:color="auto"/>
                            <w:right w:val="none" w:sz="0" w:space="0" w:color="auto"/>
                          </w:divBdr>
                          <w:divsChild>
                            <w:div w:id="2112048121">
                              <w:marLeft w:val="0"/>
                              <w:marRight w:val="0"/>
                              <w:marTop w:val="0"/>
                              <w:marBottom w:val="0"/>
                              <w:divBdr>
                                <w:top w:val="none" w:sz="0" w:space="0" w:color="auto"/>
                                <w:left w:val="none" w:sz="0" w:space="0" w:color="auto"/>
                                <w:bottom w:val="none" w:sz="0" w:space="0" w:color="auto"/>
                                <w:right w:val="none" w:sz="0" w:space="0" w:color="auto"/>
                              </w:divBdr>
                              <w:divsChild>
                                <w:div w:id="1158420218">
                                  <w:marLeft w:val="0"/>
                                  <w:marRight w:val="0"/>
                                  <w:marTop w:val="0"/>
                                  <w:marBottom w:val="0"/>
                                  <w:divBdr>
                                    <w:top w:val="none" w:sz="0" w:space="0" w:color="auto"/>
                                    <w:left w:val="none" w:sz="0" w:space="0" w:color="auto"/>
                                    <w:bottom w:val="none" w:sz="0" w:space="0" w:color="auto"/>
                                    <w:right w:val="none" w:sz="0" w:space="0" w:color="auto"/>
                                  </w:divBdr>
                                  <w:divsChild>
                                    <w:div w:id="1590503952">
                                      <w:marLeft w:val="0"/>
                                      <w:marRight w:val="0"/>
                                      <w:marTop w:val="0"/>
                                      <w:marBottom w:val="0"/>
                                      <w:divBdr>
                                        <w:top w:val="none" w:sz="0" w:space="0" w:color="auto"/>
                                        <w:left w:val="none" w:sz="0" w:space="0" w:color="auto"/>
                                        <w:bottom w:val="none" w:sz="0" w:space="0" w:color="auto"/>
                                        <w:right w:val="none" w:sz="0" w:space="0" w:color="auto"/>
                                      </w:divBdr>
                                      <w:divsChild>
                                        <w:div w:id="1112743731">
                                          <w:marLeft w:val="0"/>
                                          <w:marRight w:val="0"/>
                                          <w:marTop w:val="0"/>
                                          <w:marBottom w:val="0"/>
                                          <w:divBdr>
                                            <w:top w:val="none" w:sz="0" w:space="0" w:color="auto"/>
                                            <w:left w:val="none" w:sz="0" w:space="0" w:color="auto"/>
                                            <w:bottom w:val="none" w:sz="0" w:space="0" w:color="auto"/>
                                            <w:right w:val="none" w:sz="0" w:space="0" w:color="auto"/>
                                          </w:divBdr>
                                          <w:divsChild>
                                            <w:div w:id="1760173707">
                                              <w:marLeft w:val="0"/>
                                              <w:marRight w:val="0"/>
                                              <w:marTop w:val="0"/>
                                              <w:marBottom w:val="0"/>
                                              <w:divBdr>
                                                <w:top w:val="none" w:sz="0" w:space="0" w:color="auto"/>
                                                <w:left w:val="none" w:sz="0" w:space="0" w:color="auto"/>
                                                <w:bottom w:val="none" w:sz="0" w:space="0" w:color="auto"/>
                                                <w:right w:val="none" w:sz="0" w:space="0" w:color="auto"/>
                                              </w:divBdr>
                                              <w:divsChild>
                                                <w:div w:id="1877429059">
                                                  <w:marLeft w:val="0"/>
                                                  <w:marRight w:val="0"/>
                                                  <w:marTop w:val="0"/>
                                                  <w:marBottom w:val="0"/>
                                                  <w:divBdr>
                                                    <w:top w:val="none" w:sz="0" w:space="0" w:color="auto"/>
                                                    <w:left w:val="none" w:sz="0" w:space="0" w:color="auto"/>
                                                    <w:bottom w:val="none" w:sz="0" w:space="0" w:color="auto"/>
                                                    <w:right w:val="none" w:sz="0" w:space="0" w:color="auto"/>
                                                  </w:divBdr>
                                                  <w:divsChild>
                                                    <w:div w:id="1127233783">
                                                      <w:marLeft w:val="0"/>
                                                      <w:marRight w:val="0"/>
                                                      <w:marTop w:val="0"/>
                                                      <w:marBottom w:val="0"/>
                                                      <w:divBdr>
                                                        <w:top w:val="none" w:sz="0" w:space="0" w:color="auto"/>
                                                        <w:left w:val="none" w:sz="0" w:space="0" w:color="auto"/>
                                                        <w:bottom w:val="none" w:sz="0" w:space="0" w:color="auto"/>
                                                        <w:right w:val="none" w:sz="0" w:space="0" w:color="auto"/>
                                                      </w:divBdr>
                                                      <w:divsChild>
                                                        <w:div w:id="287902993">
                                                          <w:marLeft w:val="0"/>
                                                          <w:marRight w:val="0"/>
                                                          <w:marTop w:val="0"/>
                                                          <w:marBottom w:val="0"/>
                                                          <w:divBdr>
                                                            <w:top w:val="none" w:sz="0" w:space="0" w:color="auto"/>
                                                            <w:left w:val="none" w:sz="0" w:space="0" w:color="auto"/>
                                                            <w:bottom w:val="none" w:sz="0" w:space="0" w:color="auto"/>
                                                            <w:right w:val="none" w:sz="0" w:space="0" w:color="auto"/>
                                                          </w:divBdr>
                                                          <w:divsChild>
                                                            <w:div w:id="723678463">
                                                              <w:marLeft w:val="0"/>
                                                              <w:marRight w:val="0"/>
                                                              <w:marTop w:val="0"/>
                                                              <w:marBottom w:val="0"/>
                                                              <w:divBdr>
                                                                <w:top w:val="none" w:sz="0" w:space="0" w:color="auto"/>
                                                                <w:left w:val="none" w:sz="0" w:space="0" w:color="auto"/>
                                                                <w:bottom w:val="none" w:sz="0" w:space="0" w:color="auto"/>
                                                                <w:right w:val="none" w:sz="0" w:space="0" w:color="auto"/>
                                                              </w:divBdr>
                                                              <w:divsChild>
                                                                <w:div w:id="930351646">
                                                                  <w:marLeft w:val="0"/>
                                                                  <w:marRight w:val="0"/>
                                                                  <w:marTop w:val="0"/>
                                                                  <w:marBottom w:val="0"/>
                                                                  <w:divBdr>
                                                                    <w:top w:val="none" w:sz="0" w:space="0" w:color="auto"/>
                                                                    <w:left w:val="none" w:sz="0" w:space="0" w:color="auto"/>
                                                                    <w:bottom w:val="none" w:sz="0" w:space="0" w:color="auto"/>
                                                                    <w:right w:val="none" w:sz="0" w:space="0" w:color="auto"/>
                                                                  </w:divBdr>
                                                                  <w:divsChild>
                                                                    <w:div w:id="1087920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96243223">
                                          <w:marLeft w:val="0"/>
                                          <w:marRight w:val="0"/>
                                          <w:marTop w:val="0"/>
                                          <w:marBottom w:val="0"/>
                                          <w:divBdr>
                                            <w:top w:val="none" w:sz="0" w:space="0" w:color="auto"/>
                                            <w:left w:val="none" w:sz="0" w:space="0" w:color="auto"/>
                                            <w:bottom w:val="none" w:sz="0" w:space="0" w:color="auto"/>
                                            <w:right w:val="none" w:sz="0" w:space="0" w:color="auto"/>
                                          </w:divBdr>
                                          <w:divsChild>
                                            <w:div w:id="1932665035">
                                              <w:marLeft w:val="0"/>
                                              <w:marRight w:val="0"/>
                                              <w:marTop w:val="0"/>
                                              <w:marBottom w:val="0"/>
                                              <w:divBdr>
                                                <w:top w:val="none" w:sz="0" w:space="0" w:color="auto"/>
                                                <w:left w:val="none" w:sz="0" w:space="0" w:color="auto"/>
                                                <w:bottom w:val="none" w:sz="0" w:space="0" w:color="auto"/>
                                                <w:right w:val="none" w:sz="0" w:space="0" w:color="auto"/>
                                              </w:divBdr>
                                              <w:divsChild>
                                                <w:div w:id="175068933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7944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12438">
      <w:bodyDiv w:val="1"/>
      <w:marLeft w:val="0"/>
      <w:marRight w:val="0"/>
      <w:marTop w:val="0"/>
      <w:marBottom w:val="0"/>
      <w:divBdr>
        <w:top w:val="none" w:sz="0" w:space="0" w:color="auto"/>
        <w:left w:val="none" w:sz="0" w:space="0" w:color="auto"/>
        <w:bottom w:val="none" w:sz="0" w:space="0" w:color="auto"/>
        <w:right w:val="none" w:sz="0" w:space="0" w:color="auto"/>
      </w:divBdr>
    </w:div>
    <w:div w:id="1499080625">
      <w:bodyDiv w:val="1"/>
      <w:marLeft w:val="0"/>
      <w:marRight w:val="0"/>
      <w:marTop w:val="0"/>
      <w:marBottom w:val="0"/>
      <w:divBdr>
        <w:top w:val="none" w:sz="0" w:space="0" w:color="auto"/>
        <w:left w:val="none" w:sz="0" w:space="0" w:color="auto"/>
        <w:bottom w:val="none" w:sz="0" w:space="0" w:color="auto"/>
        <w:right w:val="none" w:sz="0" w:space="0" w:color="auto"/>
      </w:divBdr>
      <w:divsChild>
        <w:div w:id="610748889">
          <w:marLeft w:val="0"/>
          <w:marRight w:val="0"/>
          <w:marTop w:val="0"/>
          <w:marBottom w:val="0"/>
          <w:divBdr>
            <w:top w:val="none" w:sz="0" w:space="0" w:color="auto"/>
            <w:left w:val="none" w:sz="0" w:space="0" w:color="auto"/>
            <w:bottom w:val="none" w:sz="0" w:space="0" w:color="auto"/>
            <w:right w:val="none" w:sz="0" w:space="0" w:color="auto"/>
          </w:divBdr>
          <w:divsChild>
            <w:div w:id="20400234">
              <w:marLeft w:val="0"/>
              <w:marRight w:val="0"/>
              <w:marTop w:val="0"/>
              <w:marBottom w:val="0"/>
              <w:divBdr>
                <w:top w:val="none" w:sz="0" w:space="0" w:color="auto"/>
                <w:left w:val="none" w:sz="0" w:space="0" w:color="auto"/>
                <w:bottom w:val="none" w:sz="0" w:space="0" w:color="auto"/>
                <w:right w:val="none" w:sz="0" w:space="0" w:color="auto"/>
              </w:divBdr>
              <w:divsChild>
                <w:div w:id="1393849295">
                  <w:marLeft w:val="0"/>
                  <w:marRight w:val="0"/>
                  <w:marTop w:val="0"/>
                  <w:marBottom w:val="0"/>
                  <w:divBdr>
                    <w:top w:val="none" w:sz="0" w:space="0" w:color="auto"/>
                    <w:left w:val="none" w:sz="0" w:space="0" w:color="auto"/>
                    <w:bottom w:val="none" w:sz="0" w:space="0" w:color="auto"/>
                    <w:right w:val="none" w:sz="0" w:space="0" w:color="auto"/>
                  </w:divBdr>
                  <w:divsChild>
                    <w:div w:id="978657371">
                      <w:marLeft w:val="0"/>
                      <w:marRight w:val="0"/>
                      <w:marTop w:val="0"/>
                      <w:marBottom w:val="0"/>
                      <w:divBdr>
                        <w:top w:val="none" w:sz="0" w:space="0" w:color="auto"/>
                        <w:left w:val="none" w:sz="0" w:space="0" w:color="auto"/>
                        <w:bottom w:val="none" w:sz="0" w:space="0" w:color="auto"/>
                        <w:right w:val="none" w:sz="0" w:space="0" w:color="auto"/>
                      </w:divBdr>
                      <w:divsChild>
                        <w:div w:id="1436514711">
                          <w:marLeft w:val="0"/>
                          <w:marRight w:val="0"/>
                          <w:marTop w:val="0"/>
                          <w:marBottom w:val="0"/>
                          <w:divBdr>
                            <w:top w:val="none" w:sz="0" w:space="0" w:color="auto"/>
                            <w:left w:val="none" w:sz="0" w:space="0" w:color="auto"/>
                            <w:bottom w:val="none" w:sz="0" w:space="0" w:color="auto"/>
                            <w:right w:val="none" w:sz="0" w:space="0" w:color="auto"/>
                          </w:divBdr>
                          <w:divsChild>
                            <w:div w:id="358698415">
                              <w:marLeft w:val="0"/>
                              <w:marRight w:val="0"/>
                              <w:marTop w:val="0"/>
                              <w:marBottom w:val="0"/>
                              <w:divBdr>
                                <w:top w:val="none" w:sz="0" w:space="0" w:color="auto"/>
                                <w:left w:val="none" w:sz="0" w:space="0" w:color="auto"/>
                                <w:bottom w:val="none" w:sz="0" w:space="0" w:color="auto"/>
                                <w:right w:val="none" w:sz="0" w:space="0" w:color="auto"/>
                              </w:divBdr>
                              <w:divsChild>
                                <w:div w:id="1071005040">
                                  <w:marLeft w:val="0"/>
                                  <w:marRight w:val="0"/>
                                  <w:marTop w:val="0"/>
                                  <w:marBottom w:val="0"/>
                                  <w:divBdr>
                                    <w:top w:val="none" w:sz="0" w:space="0" w:color="auto"/>
                                    <w:left w:val="none" w:sz="0" w:space="0" w:color="auto"/>
                                    <w:bottom w:val="none" w:sz="0" w:space="0" w:color="auto"/>
                                    <w:right w:val="none" w:sz="0" w:space="0" w:color="auto"/>
                                  </w:divBdr>
                                  <w:divsChild>
                                    <w:div w:id="434643155">
                                      <w:marLeft w:val="0"/>
                                      <w:marRight w:val="0"/>
                                      <w:marTop w:val="0"/>
                                      <w:marBottom w:val="0"/>
                                      <w:divBdr>
                                        <w:top w:val="none" w:sz="0" w:space="0" w:color="auto"/>
                                        <w:left w:val="none" w:sz="0" w:space="0" w:color="auto"/>
                                        <w:bottom w:val="none" w:sz="0" w:space="0" w:color="auto"/>
                                        <w:right w:val="none" w:sz="0" w:space="0" w:color="auto"/>
                                      </w:divBdr>
                                      <w:divsChild>
                                        <w:div w:id="488985139">
                                          <w:marLeft w:val="0"/>
                                          <w:marRight w:val="0"/>
                                          <w:marTop w:val="0"/>
                                          <w:marBottom w:val="0"/>
                                          <w:divBdr>
                                            <w:top w:val="none" w:sz="0" w:space="0" w:color="auto"/>
                                            <w:left w:val="none" w:sz="0" w:space="0" w:color="auto"/>
                                            <w:bottom w:val="none" w:sz="0" w:space="0" w:color="auto"/>
                                            <w:right w:val="none" w:sz="0" w:space="0" w:color="auto"/>
                                          </w:divBdr>
                                          <w:divsChild>
                                            <w:div w:id="930357034">
                                              <w:marLeft w:val="0"/>
                                              <w:marRight w:val="0"/>
                                              <w:marTop w:val="0"/>
                                              <w:marBottom w:val="0"/>
                                              <w:divBdr>
                                                <w:top w:val="none" w:sz="0" w:space="0" w:color="auto"/>
                                                <w:left w:val="none" w:sz="0" w:space="0" w:color="auto"/>
                                                <w:bottom w:val="none" w:sz="0" w:space="0" w:color="auto"/>
                                                <w:right w:val="none" w:sz="0" w:space="0" w:color="auto"/>
                                              </w:divBdr>
                                              <w:divsChild>
                                                <w:div w:id="68756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35413">
          <w:marLeft w:val="0"/>
          <w:marRight w:val="0"/>
          <w:marTop w:val="0"/>
          <w:marBottom w:val="0"/>
          <w:divBdr>
            <w:top w:val="none" w:sz="0" w:space="0" w:color="auto"/>
            <w:left w:val="none" w:sz="0" w:space="0" w:color="auto"/>
            <w:bottom w:val="none" w:sz="0" w:space="0" w:color="auto"/>
            <w:right w:val="none" w:sz="0" w:space="0" w:color="auto"/>
          </w:divBdr>
          <w:divsChild>
            <w:div w:id="358631627">
              <w:marLeft w:val="120"/>
              <w:marRight w:val="120"/>
              <w:marTop w:val="0"/>
              <w:marBottom w:val="0"/>
              <w:divBdr>
                <w:top w:val="none" w:sz="0" w:space="0" w:color="auto"/>
                <w:left w:val="none" w:sz="0" w:space="0" w:color="auto"/>
                <w:bottom w:val="none" w:sz="0" w:space="0" w:color="auto"/>
                <w:right w:val="none" w:sz="0" w:space="0" w:color="auto"/>
              </w:divBdr>
              <w:divsChild>
                <w:div w:id="763958667">
                  <w:marLeft w:val="0"/>
                  <w:marRight w:val="0"/>
                  <w:marTop w:val="0"/>
                  <w:marBottom w:val="0"/>
                  <w:divBdr>
                    <w:top w:val="none" w:sz="0" w:space="0" w:color="auto"/>
                    <w:left w:val="none" w:sz="0" w:space="0" w:color="auto"/>
                    <w:bottom w:val="none" w:sz="0" w:space="0" w:color="auto"/>
                    <w:right w:val="none" w:sz="0" w:space="0" w:color="auto"/>
                  </w:divBdr>
                </w:div>
              </w:divsChild>
            </w:div>
            <w:div w:id="1794519707">
              <w:marLeft w:val="0"/>
              <w:marRight w:val="0"/>
              <w:marTop w:val="0"/>
              <w:marBottom w:val="0"/>
              <w:divBdr>
                <w:top w:val="none" w:sz="0" w:space="0" w:color="auto"/>
                <w:left w:val="none" w:sz="0" w:space="0" w:color="auto"/>
                <w:bottom w:val="none" w:sz="0" w:space="0" w:color="auto"/>
                <w:right w:val="none" w:sz="0" w:space="0" w:color="auto"/>
              </w:divBdr>
              <w:divsChild>
                <w:div w:id="312955582">
                  <w:marLeft w:val="0"/>
                  <w:marRight w:val="0"/>
                  <w:marTop w:val="0"/>
                  <w:marBottom w:val="0"/>
                  <w:divBdr>
                    <w:top w:val="none" w:sz="0" w:space="0" w:color="auto"/>
                    <w:left w:val="none" w:sz="0" w:space="0" w:color="auto"/>
                    <w:bottom w:val="none" w:sz="0" w:space="0" w:color="auto"/>
                    <w:right w:val="none" w:sz="0" w:space="0" w:color="auto"/>
                  </w:divBdr>
                  <w:divsChild>
                    <w:div w:id="1275793336">
                      <w:marLeft w:val="0"/>
                      <w:marRight w:val="0"/>
                      <w:marTop w:val="0"/>
                      <w:marBottom w:val="0"/>
                      <w:divBdr>
                        <w:top w:val="none" w:sz="0" w:space="0" w:color="auto"/>
                        <w:left w:val="none" w:sz="0" w:space="0" w:color="auto"/>
                        <w:bottom w:val="none" w:sz="0" w:space="0" w:color="auto"/>
                        <w:right w:val="none" w:sz="0" w:space="0" w:color="auto"/>
                      </w:divBdr>
                      <w:divsChild>
                        <w:div w:id="1342510757">
                          <w:marLeft w:val="0"/>
                          <w:marRight w:val="0"/>
                          <w:marTop w:val="0"/>
                          <w:marBottom w:val="0"/>
                          <w:divBdr>
                            <w:top w:val="none" w:sz="0" w:space="0" w:color="auto"/>
                            <w:left w:val="none" w:sz="0" w:space="0" w:color="auto"/>
                            <w:bottom w:val="none" w:sz="0" w:space="0" w:color="auto"/>
                            <w:right w:val="none" w:sz="0" w:space="0" w:color="auto"/>
                          </w:divBdr>
                          <w:divsChild>
                            <w:div w:id="2081829797">
                              <w:marLeft w:val="0"/>
                              <w:marRight w:val="0"/>
                              <w:marTop w:val="0"/>
                              <w:marBottom w:val="0"/>
                              <w:divBdr>
                                <w:top w:val="none" w:sz="0" w:space="0" w:color="auto"/>
                                <w:left w:val="none" w:sz="0" w:space="0" w:color="auto"/>
                                <w:bottom w:val="none" w:sz="0" w:space="0" w:color="auto"/>
                                <w:right w:val="none" w:sz="0" w:space="0" w:color="auto"/>
                              </w:divBdr>
                              <w:divsChild>
                                <w:div w:id="193427844">
                                  <w:marLeft w:val="0"/>
                                  <w:marRight w:val="0"/>
                                  <w:marTop w:val="0"/>
                                  <w:marBottom w:val="0"/>
                                  <w:divBdr>
                                    <w:top w:val="none" w:sz="0" w:space="0" w:color="auto"/>
                                    <w:left w:val="none" w:sz="0" w:space="0" w:color="auto"/>
                                    <w:bottom w:val="none" w:sz="0" w:space="0" w:color="auto"/>
                                    <w:right w:val="none" w:sz="0" w:space="0" w:color="auto"/>
                                  </w:divBdr>
                                  <w:divsChild>
                                    <w:div w:id="942615729">
                                      <w:marLeft w:val="0"/>
                                      <w:marRight w:val="0"/>
                                      <w:marTop w:val="0"/>
                                      <w:marBottom w:val="0"/>
                                      <w:divBdr>
                                        <w:top w:val="none" w:sz="0" w:space="0" w:color="auto"/>
                                        <w:left w:val="none" w:sz="0" w:space="0" w:color="auto"/>
                                        <w:bottom w:val="none" w:sz="0" w:space="0" w:color="auto"/>
                                        <w:right w:val="none" w:sz="0" w:space="0" w:color="auto"/>
                                      </w:divBdr>
                                      <w:divsChild>
                                        <w:div w:id="720131436">
                                          <w:marLeft w:val="0"/>
                                          <w:marRight w:val="0"/>
                                          <w:marTop w:val="0"/>
                                          <w:marBottom w:val="0"/>
                                          <w:divBdr>
                                            <w:top w:val="none" w:sz="0" w:space="0" w:color="auto"/>
                                            <w:left w:val="none" w:sz="0" w:space="0" w:color="auto"/>
                                            <w:bottom w:val="none" w:sz="0" w:space="0" w:color="auto"/>
                                            <w:right w:val="none" w:sz="0" w:space="0" w:color="auto"/>
                                          </w:divBdr>
                                        </w:div>
                                        <w:div w:id="2130391302">
                                          <w:marLeft w:val="0"/>
                                          <w:marRight w:val="0"/>
                                          <w:marTop w:val="0"/>
                                          <w:marBottom w:val="0"/>
                                          <w:divBdr>
                                            <w:top w:val="none" w:sz="0" w:space="0" w:color="auto"/>
                                            <w:left w:val="none" w:sz="0" w:space="0" w:color="auto"/>
                                            <w:bottom w:val="none" w:sz="0" w:space="0" w:color="auto"/>
                                            <w:right w:val="none" w:sz="0" w:space="0" w:color="auto"/>
                                          </w:divBdr>
                                          <w:divsChild>
                                            <w:div w:id="938633937">
                                              <w:marLeft w:val="0"/>
                                              <w:marRight w:val="0"/>
                                              <w:marTop w:val="0"/>
                                              <w:marBottom w:val="0"/>
                                              <w:divBdr>
                                                <w:top w:val="none" w:sz="0" w:space="0" w:color="auto"/>
                                                <w:left w:val="none" w:sz="0" w:space="0" w:color="auto"/>
                                                <w:bottom w:val="none" w:sz="0" w:space="0" w:color="auto"/>
                                                <w:right w:val="none" w:sz="0" w:space="0" w:color="auto"/>
                                              </w:divBdr>
                                              <w:divsChild>
                                                <w:div w:id="6307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130423">
      <w:bodyDiv w:val="1"/>
      <w:marLeft w:val="0"/>
      <w:marRight w:val="0"/>
      <w:marTop w:val="0"/>
      <w:marBottom w:val="0"/>
      <w:divBdr>
        <w:top w:val="none" w:sz="0" w:space="0" w:color="auto"/>
        <w:left w:val="none" w:sz="0" w:space="0" w:color="auto"/>
        <w:bottom w:val="none" w:sz="0" w:space="0" w:color="auto"/>
        <w:right w:val="none" w:sz="0" w:space="0" w:color="auto"/>
      </w:divBdr>
    </w:div>
    <w:div w:id="1525702848">
      <w:bodyDiv w:val="1"/>
      <w:marLeft w:val="0"/>
      <w:marRight w:val="0"/>
      <w:marTop w:val="0"/>
      <w:marBottom w:val="0"/>
      <w:divBdr>
        <w:top w:val="none" w:sz="0" w:space="0" w:color="auto"/>
        <w:left w:val="none" w:sz="0" w:space="0" w:color="auto"/>
        <w:bottom w:val="none" w:sz="0" w:space="0" w:color="auto"/>
        <w:right w:val="none" w:sz="0" w:space="0" w:color="auto"/>
      </w:divBdr>
    </w:div>
    <w:div w:id="1588658799">
      <w:bodyDiv w:val="1"/>
      <w:marLeft w:val="0"/>
      <w:marRight w:val="0"/>
      <w:marTop w:val="0"/>
      <w:marBottom w:val="0"/>
      <w:divBdr>
        <w:top w:val="none" w:sz="0" w:space="0" w:color="auto"/>
        <w:left w:val="none" w:sz="0" w:space="0" w:color="auto"/>
        <w:bottom w:val="none" w:sz="0" w:space="0" w:color="auto"/>
        <w:right w:val="none" w:sz="0" w:space="0" w:color="auto"/>
      </w:divBdr>
    </w:div>
    <w:div w:id="1621373630">
      <w:bodyDiv w:val="1"/>
      <w:marLeft w:val="0"/>
      <w:marRight w:val="0"/>
      <w:marTop w:val="0"/>
      <w:marBottom w:val="0"/>
      <w:divBdr>
        <w:top w:val="none" w:sz="0" w:space="0" w:color="auto"/>
        <w:left w:val="none" w:sz="0" w:space="0" w:color="auto"/>
        <w:bottom w:val="none" w:sz="0" w:space="0" w:color="auto"/>
        <w:right w:val="none" w:sz="0" w:space="0" w:color="auto"/>
      </w:divBdr>
    </w:div>
    <w:div w:id="1836606875">
      <w:bodyDiv w:val="1"/>
      <w:marLeft w:val="0"/>
      <w:marRight w:val="0"/>
      <w:marTop w:val="0"/>
      <w:marBottom w:val="0"/>
      <w:divBdr>
        <w:top w:val="none" w:sz="0" w:space="0" w:color="auto"/>
        <w:left w:val="none" w:sz="0" w:space="0" w:color="auto"/>
        <w:bottom w:val="none" w:sz="0" w:space="0" w:color="auto"/>
        <w:right w:val="none" w:sz="0" w:space="0" w:color="auto"/>
      </w:divBdr>
    </w:div>
    <w:div w:id="1869103633">
      <w:bodyDiv w:val="1"/>
      <w:marLeft w:val="0"/>
      <w:marRight w:val="0"/>
      <w:marTop w:val="0"/>
      <w:marBottom w:val="0"/>
      <w:divBdr>
        <w:top w:val="none" w:sz="0" w:space="0" w:color="auto"/>
        <w:left w:val="none" w:sz="0" w:space="0" w:color="auto"/>
        <w:bottom w:val="none" w:sz="0" w:space="0" w:color="auto"/>
        <w:right w:val="none" w:sz="0" w:space="0" w:color="auto"/>
      </w:divBdr>
    </w:div>
    <w:div w:id="1912811588">
      <w:bodyDiv w:val="1"/>
      <w:marLeft w:val="0"/>
      <w:marRight w:val="0"/>
      <w:marTop w:val="0"/>
      <w:marBottom w:val="0"/>
      <w:divBdr>
        <w:top w:val="none" w:sz="0" w:space="0" w:color="auto"/>
        <w:left w:val="none" w:sz="0" w:space="0" w:color="auto"/>
        <w:bottom w:val="none" w:sz="0" w:space="0" w:color="auto"/>
        <w:right w:val="none" w:sz="0" w:space="0" w:color="auto"/>
      </w:divBdr>
    </w:div>
    <w:div w:id="1928806160">
      <w:bodyDiv w:val="1"/>
      <w:marLeft w:val="0"/>
      <w:marRight w:val="0"/>
      <w:marTop w:val="0"/>
      <w:marBottom w:val="0"/>
      <w:divBdr>
        <w:top w:val="none" w:sz="0" w:space="0" w:color="auto"/>
        <w:left w:val="none" w:sz="0" w:space="0" w:color="auto"/>
        <w:bottom w:val="none" w:sz="0" w:space="0" w:color="auto"/>
        <w:right w:val="none" w:sz="0" w:space="0" w:color="auto"/>
      </w:divBdr>
      <w:divsChild>
        <w:div w:id="685249458">
          <w:marLeft w:val="0"/>
          <w:marRight w:val="0"/>
          <w:marTop w:val="0"/>
          <w:marBottom w:val="0"/>
          <w:divBdr>
            <w:top w:val="none" w:sz="0" w:space="0" w:color="auto"/>
            <w:left w:val="none" w:sz="0" w:space="0" w:color="auto"/>
            <w:bottom w:val="none" w:sz="0" w:space="0" w:color="auto"/>
            <w:right w:val="none" w:sz="0" w:space="0" w:color="auto"/>
          </w:divBdr>
          <w:divsChild>
            <w:div w:id="21588724">
              <w:marLeft w:val="0"/>
              <w:marRight w:val="0"/>
              <w:marTop w:val="0"/>
              <w:marBottom w:val="0"/>
              <w:divBdr>
                <w:top w:val="none" w:sz="0" w:space="0" w:color="auto"/>
                <w:left w:val="none" w:sz="0" w:space="0" w:color="auto"/>
                <w:bottom w:val="none" w:sz="0" w:space="0" w:color="auto"/>
                <w:right w:val="none" w:sz="0" w:space="0" w:color="auto"/>
              </w:divBdr>
              <w:divsChild>
                <w:div w:id="1565141752">
                  <w:marLeft w:val="0"/>
                  <w:marRight w:val="0"/>
                  <w:marTop w:val="0"/>
                  <w:marBottom w:val="0"/>
                  <w:divBdr>
                    <w:top w:val="none" w:sz="0" w:space="0" w:color="auto"/>
                    <w:left w:val="none" w:sz="0" w:space="0" w:color="auto"/>
                    <w:bottom w:val="none" w:sz="0" w:space="0" w:color="auto"/>
                    <w:right w:val="none" w:sz="0" w:space="0" w:color="auto"/>
                  </w:divBdr>
                  <w:divsChild>
                    <w:div w:id="231043436">
                      <w:marLeft w:val="0"/>
                      <w:marRight w:val="0"/>
                      <w:marTop w:val="0"/>
                      <w:marBottom w:val="0"/>
                      <w:divBdr>
                        <w:top w:val="none" w:sz="0" w:space="0" w:color="auto"/>
                        <w:left w:val="none" w:sz="0" w:space="0" w:color="auto"/>
                        <w:bottom w:val="none" w:sz="0" w:space="0" w:color="auto"/>
                        <w:right w:val="none" w:sz="0" w:space="0" w:color="auto"/>
                      </w:divBdr>
                      <w:divsChild>
                        <w:div w:id="2043238637">
                          <w:marLeft w:val="0"/>
                          <w:marRight w:val="0"/>
                          <w:marTop w:val="0"/>
                          <w:marBottom w:val="0"/>
                          <w:divBdr>
                            <w:top w:val="none" w:sz="0" w:space="0" w:color="auto"/>
                            <w:left w:val="none" w:sz="0" w:space="0" w:color="auto"/>
                            <w:bottom w:val="none" w:sz="0" w:space="0" w:color="auto"/>
                            <w:right w:val="none" w:sz="0" w:space="0" w:color="auto"/>
                          </w:divBdr>
                          <w:divsChild>
                            <w:div w:id="2018187129">
                              <w:marLeft w:val="0"/>
                              <w:marRight w:val="0"/>
                              <w:marTop w:val="0"/>
                              <w:marBottom w:val="0"/>
                              <w:divBdr>
                                <w:top w:val="none" w:sz="0" w:space="0" w:color="auto"/>
                                <w:left w:val="none" w:sz="0" w:space="0" w:color="auto"/>
                                <w:bottom w:val="none" w:sz="0" w:space="0" w:color="auto"/>
                                <w:right w:val="none" w:sz="0" w:space="0" w:color="auto"/>
                              </w:divBdr>
                              <w:divsChild>
                                <w:div w:id="2000304876">
                                  <w:marLeft w:val="0"/>
                                  <w:marRight w:val="0"/>
                                  <w:marTop w:val="0"/>
                                  <w:marBottom w:val="0"/>
                                  <w:divBdr>
                                    <w:top w:val="none" w:sz="0" w:space="0" w:color="auto"/>
                                    <w:left w:val="none" w:sz="0" w:space="0" w:color="auto"/>
                                    <w:bottom w:val="none" w:sz="0" w:space="0" w:color="auto"/>
                                    <w:right w:val="none" w:sz="0" w:space="0" w:color="auto"/>
                                  </w:divBdr>
                                  <w:divsChild>
                                    <w:div w:id="1786849413">
                                      <w:marLeft w:val="0"/>
                                      <w:marRight w:val="0"/>
                                      <w:marTop w:val="0"/>
                                      <w:marBottom w:val="0"/>
                                      <w:divBdr>
                                        <w:top w:val="none" w:sz="0" w:space="0" w:color="auto"/>
                                        <w:left w:val="none" w:sz="0" w:space="0" w:color="auto"/>
                                        <w:bottom w:val="none" w:sz="0" w:space="0" w:color="auto"/>
                                        <w:right w:val="none" w:sz="0" w:space="0" w:color="auto"/>
                                      </w:divBdr>
                                      <w:divsChild>
                                        <w:div w:id="1283458501">
                                          <w:marLeft w:val="0"/>
                                          <w:marRight w:val="0"/>
                                          <w:marTop w:val="0"/>
                                          <w:marBottom w:val="0"/>
                                          <w:divBdr>
                                            <w:top w:val="none" w:sz="0" w:space="0" w:color="auto"/>
                                            <w:left w:val="none" w:sz="0" w:space="0" w:color="auto"/>
                                            <w:bottom w:val="none" w:sz="0" w:space="0" w:color="auto"/>
                                            <w:right w:val="none" w:sz="0" w:space="0" w:color="auto"/>
                                          </w:divBdr>
                                          <w:divsChild>
                                            <w:div w:id="1246525650">
                                              <w:marLeft w:val="0"/>
                                              <w:marRight w:val="0"/>
                                              <w:marTop w:val="0"/>
                                              <w:marBottom w:val="0"/>
                                              <w:divBdr>
                                                <w:top w:val="none" w:sz="0" w:space="0" w:color="auto"/>
                                                <w:left w:val="none" w:sz="0" w:space="0" w:color="auto"/>
                                                <w:bottom w:val="none" w:sz="0" w:space="0" w:color="auto"/>
                                                <w:right w:val="none" w:sz="0" w:space="0" w:color="auto"/>
                                              </w:divBdr>
                                              <w:divsChild>
                                                <w:div w:id="15846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1820902">
          <w:marLeft w:val="0"/>
          <w:marRight w:val="0"/>
          <w:marTop w:val="0"/>
          <w:marBottom w:val="0"/>
          <w:divBdr>
            <w:top w:val="none" w:sz="0" w:space="0" w:color="auto"/>
            <w:left w:val="none" w:sz="0" w:space="0" w:color="auto"/>
            <w:bottom w:val="none" w:sz="0" w:space="0" w:color="auto"/>
            <w:right w:val="none" w:sz="0" w:space="0" w:color="auto"/>
          </w:divBdr>
          <w:divsChild>
            <w:div w:id="1949773807">
              <w:marLeft w:val="120"/>
              <w:marRight w:val="120"/>
              <w:marTop w:val="0"/>
              <w:marBottom w:val="0"/>
              <w:divBdr>
                <w:top w:val="none" w:sz="0" w:space="0" w:color="auto"/>
                <w:left w:val="none" w:sz="0" w:space="0" w:color="auto"/>
                <w:bottom w:val="none" w:sz="0" w:space="0" w:color="auto"/>
                <w:right w:val="none" w:sz="0" w:space="0" w:color="auto"/>
              </w:divBdr>
              <w:divsChild>
                <w:div w:id="735739786">
                  <w:marLeft w:val="0"/>
                  <w:marRight w:val="0"/>
                  <w:marTop w:val="0"/>
                  <w:marBottom w:val="0"/>
                  <w:divBdr>
                    <w:top w:val="none" w:sz="0" w:space="0" w:color="auto"/>
                    <w:left w:val="none" w:sz="0" w:space="0" w:color="auto"/>
                    <w:bottom w:val="none" w:sz="0" w:space="0" w:color="auto"/>
                    <w:right w:val="none" w:sz="0" w:space="0" w:color="auto"/>
                  </w:divBdr>
                </w:div>
              </w:divsChild>
            </w:div>
            <w:div w:id="534972741">
              <w:marLeft w:val="0"/>
              <w:marRight w:val="0"/>
              <w:marTop w:val="0"/>
              <w:marBottom w:val="0"/>
              <w:divBdr>
                <w:top w:val="none" w:sz="0" w:space="0" w:color="auto"/>
                <w:left w:val="none" w:sz="0" w:space="0" w:color="auto"/>
                <w:bottom w:val="none" w:sz="0" w:space="0" w:color="auto"/>
                <w:right w:val="none" w:sz="0" w:space="0" w:color="auto"/>
              </w:divBdr>
              <w:divsChild>
                <w:div w:id="143473325">
                  <w:marLeft w:val="0"/>
                  <w:marRight w:val="0"/>
                  <w:marTop w:val="0"/>
                  <w:marBottom w:val="0"/>
                  <w:divBdr>
                    <w:top w:val="none" w:sz="0" w:space="0" w:color="auto"/>
                    <w:left w:val="none" w:sz="0" w:space="0" w:color="auto"/>
                    <w:bottom w:val="none" w:sz="0" w:space="0" w:color="auto"/>
                    <w:right w:val="none" w:sz="0" w:space="0" w:color="auto"/>
                  </w:divBdr>
                  <w:divsChild>
                    <w:div w:id="1525557414">
                      <w:marLeft w:val="0"/>
                      <w:marRight w:val="0"/>
                      <w:marTop w:val="0"/>
                      <w:marBottom w:val="0"/>
                      <w:divBdr>
                        <w:top w:val="none" w:sz="0" w:space="0" w:color="auto"/>
                        <w:left w:val="none" w:sz="0" w:space="0" w:color="auto"/>
                        <w:bottom w:val="none" w:sz="0" w:space="0" w:color="auto"/>
                        <w:right w:val="none" w:sz="0" w:space="0" w:color="auto"/>
                      </w:divBdr>
                      <w:divsChild>
                        <w:div w:id="1255239984">
                          <w:marLeft w:val="0"/>
                          <w:marRight w:val="0"/>
                          <w:marTop w:val="0"/>
                          <w:marBottom w:val="0"/>
                          <w:divBdr>
                            <w:top w:val="none" w:sz="0" w:space="0" w:color="auto"/>
                            <w:left w:val="none" w:sz="0" w:space="0" w:color="auto"/>
                            <w:bottom w:val="none" w:sz="0" w:space="0" w:color="auto"/>
                            <w:right w:val="none" w:sz="0" w:space="0" w:color="auto"/>
                          </w:divBdr>
                          <w:divsChild>
                            <w:div w:id="1891532310">
                              <w:marLeft w:val="0"/>
                              <w:marRight w:val="0"/>
                              <w:marTop w:val="0"/>
                              <w:marBottom w:val="0"/>
                              <w:divBdr>
                                <w:top w:val="none" w:sz="0" w:space="0" w:color="auto"/>
                                <w:left w:val="none" w:sz="0" w:space="0" w:color="auto"/>
                                <w:bottom w:val="none" w:sz="0" w:space="0" w:color="auto"/>
                                <w:right w:val="none" w:sz="0" w:space="0" w:color="auto"/>
                              </w:divBdr>
                              <w:divsChild>
                                <w:div w:id="542251626">
                                  <w:marLeft w:val="0"/>
                                  <w:marRight w:val="0"/>
                                  <w:marTop w:val="0"/>
                                  <w:marBottom w:val="0"/>
                                  <w:divBdr>
                                    <w:top w:val="none" w:sz="0" w:space="0" w:color="auto"/>
                                    <w:left w:val="none" w:sz="0" w:space="0" w:color="auto"/>
                                    <w:bottom w:val="none" w:sz="0" w:space="0" w:color="auto"/>
                                    <w:right w:val="none" w:sz="0" w:space="0" w:color="auto"/>
                                  </w:divBdr>
                                  <w:divsChild>
                                    <w:div w:id="1997612799">
                                      <w:marLeft w:val="0"/>
                                      <w:marRight w:val="0"/>
                                      <w:marTop w:val="0"/>
                                      <w:marBottom w:val="0"/>
                                      <w:divBdr>
                                        <w:top w:val="none" w:sz="0" w:space="0" w:color="auto"/>
                                        <w:left w:val="none" w:sz="0" w:space="0" w:color="auto"/>
                                        <w:bottom w:val="none" w:sz="0" w:space="0" w:color="auto"/>
                                        <w:right w:val="none" w:sz="0" w:space="0" w:color="auto"/>
                                      </w:divBdr>
                                      <w:divsChild>
                                        <w:div w:id="14159809">
                                          <w:marLeft w:val="0"/>
                                          <w:marRight w:val="0"/>
                                          <w:marTop w:val="0"/>
                                          <w:marBottom w:val="0"/>
                                          <w:divBdr>
                                            <w:top w:val="none" w:sz="0" w:space="0" w:color="auto"/>
                                            <w:left w:val="none" w:sz="0" w:space="0" w:color="auto"/>
                                            <w:bottom w:val="none" w:sz="0" w:space="0" w:color="auto"/>
                                            <w:right w:val="none" w:sz="0" w:space="0" w:color="auto"/>
                                          </w:divBdr>
                                        </w:div>
                                        <w:div w:id="504634523">
                                          <w:marLeft w:val="0"/>
                                          <w:marRight w:val="0"/>
                                          <w:marTop w:val="0"/>
                                          <w:marBottom w:val="0"/>
                                          <w:divBdr>
                                            <w:top w:val="none" w:sz="0" w:space="0" w:color="auto"/>
                                            <w:left w:val="none" w:sz="0" w:space="0" w:color="auto"/>
                                            <w:bottom w:val="none" w:sz="0" w:space="0" w:color="auto"/>
                                            <w:right w:val="none" w:sz="0" w:space="0" w:color="auto"/>
                                          </w:divBdr>
                                          <w:divsChild>
                                            <w:div w:id="1104809315">
                                              <w:marLeft w:val="0"/>
                                              <w:marRight w:val="0"/>
                                              <w:marTop w:val="0"/>
                                              <w:marBottom w:val="0"/>
                                              <w:divBdr>
                                                <w:top w:val="none" w:sz="0" w:space="0" w:color="auto"/>
                                                <w:left w:val="none" w:sz="0" w:space="0" w:color="auto"/>
                                                <w:bottom w:val="none" w:sz="0" w:space="0" w:color="auto"/>
                                                <w:right w:val="none" w:sz="0" w:space="0" w:color="auto"/>
                                              </w:divBdr>
                                              <w:divsChild>
                                                <w:div w:id="18634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29135">
      <w:bodyDiv w:val="1"/>
      <w:marLeft w:val="0"/>
      <w:marRight w:val="0"/>
      <w:marTop w:val="0"/>
      <w:marBottom w:val="0"/>
      <w:divBdr>
        <w:top w:val="none" w:sz="0" w:space="0" w:color="auto"/>
        <w:left w:val="none" w:sz="0" w:space="0" w:color="auto"/>
        <w:bottom w:val="none" w:sz="0" w:space="0" w:color="auto"/>
        <w:right w:val="none" w:sz="0" w:space="0" w:color="auto"/>
      </w:divBdr>
    </w:div>
    <w:div w:id="2067213572">
      <w:bodyDiv w:val="1"/>
      <w:marLeft w:val="0"/>
      <w:marRight w:val="0"/>
      <w:marTop w:val="0"/>
      <w:marBottom w:val="0"/>
      <w:divBdr>
        <w:top w:val="none" w:sz="0" w:space="0" w:color="auto"/>
        <w:left w:val="none" w:sz="0" w:space="0" w:color="auto"/>
        <w:bottom w:val="none" w:sz="0" w:space="0" w:color="auto"/>
        <w:right w:val="none" w:sz="0" w:space="0" w:color="auto"/>
      </w:divBdr>
      <w:divsChild>
        <w:div w:id="33523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development/desa/disabilities/convention-on-the-rights-of-persons-with-disabilities.html" TargetMode="External"/><Relationship Id="rId18" Type="http://schemas.openxmlformats.org/officeDocument/2006/relationships/hyperlink" Target="https://www.itu.int/en/ITU-D/Regional-Presence/Europe/Pages/Events/2020/AE21/default.aspx" TargetMode="External"/><Relationship Id="rId26" Type="http://schemas.openxmlformats.org/officeDocument/2006/relationships/hyperlink" Target="https://www.sita.md/" TargetMode="External"/><Relationship Id="rId3" Type="http://schemas.openxmlformats.org/officeDocument/2006/relationships/styles" Target="styles.xml"/><Relationship Id="rId21" Type="http://schemas.openxmlformats.org/officeDocument/2006/relationships/hyperlink" Target="https://www.itu.int/en/ITU-D/Regional-Presence/Europe/Pages/Events/2021/SNS/Default.aspx"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legis.md/cautare/getResults?doc_id=103186&amp;lang=ru" TargetMode="External"/><Relationship Id="rId25" Type="http://schemas.openxmlformats.org/officeDocument/2006/relationships/hyperlink" Target="https://rda.gov.md/"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legis.md/cautare/getResults?doc_id=120081&amp;lang=ru" TargetMode="External"/><Relationship Id="rId20" Type="http://schemas.openxmlformats.org/officeDocument/2006/relationships/hyperlink" Target="https://www.itu.int/en/ITU-D/Regional-Presence/Europe/Documents/Events/2020/AE20/event/D-PHCB-ICT_ACCESS_EUR.01-2021-PDF-E.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iguronline.m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md/cautare/getResults?doc_id=94168&amp;lang=ru" TargetMode="External"/><Relationship Id="rId23" Type="http://schemas.openxmlformats.org/officeDocument/2006/relationships/hyperlink" Target="https://rm.coe.int/1680084822"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itu.int/en/ITU-D/Regional-Presence/Europe/Pages/Events/2020/AE21/Regional-Competition.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Rregion@itu.int" TargetMode="External"/><Relationship Id="rId14" Type="http://schemas.openxmlformats.org/officeDocument/2006/relationships/hyperlink" Target="https://digitallibrary.un.org/record/1310661/files/CRPD_C_MDA_CO_1-EN.pdf" TargetMode="External"/><Relationship Id="rId22" Type="http://schemas.openxmlformats.org/officeDocument/2006/relationships/hyperlink" Target="https://www.itu.int/en/ITU-D/Digital-Inclusion/Persons-with-Disabilities/Pages/ResourcesOnICTAccessibility.aspx" TargetMode="External"/><Relationship Id="rId27" Type="http://schemas.openxmlformats.org/officeDocument/2006/relationships/hyperlink" Target="https://rvv.gov.md/homepage.jsf" TargetMode="External"/><Relationship Id="rId30" Type="http://schemas.openxmlformats.org/officeDocument/2006/relationships/footer" Target="footer2.xml"/><Relationship Id="rId35" Type="http://schemas.openxmlformats.org/officeDocument/2006/relationships/customXml" Target="../customXml/item4.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s://www.itu.int/net4/ITU-D/CDS/gq/GICT2021/display.asp?ProjectID=1374&amp;Quest=58112" TargetMode="External"/><Relationship Id="rId3" Type="http://schemas.openxmlformats.org/officeDocument/2006/relationships/hyperlink" Target="https://www.itu.int/en/ITU-D/Regional-Presence/Europe/Documents/Events/2021/National%20Workshop%20for%20Moldova/Moldova_final%20draft_%28clean%29.pdf" TargetMode="External"/><Relationship Id="rId7" Type="http://schemas.openxmlformats.org/officeDocument/2006/relationships/hyperlink" Target="https://www.itu.int/en/ITU-D/Conferences/WTDC/WTDC21/NoW/Pages/Events/Regional/Europe/2021_01.aspx" TargetMode="External"/><Relationship Id="rId2" Type="http://schemas.openxmlformats.org/officeDocument/2006/relationships/hyperlink" Target="https://www.itu.int/en/ITU-D/Regional-Presence/Europe/Pages/Events/2021/MC/Default.aspx" TargetMode="External"/><Relationship Id="rId1" Type="http://schemas.openxmlformats.org/officeDocument/2006/relationships/hyperlink" Target="https://www.itu.int/en/ITU-D/Statistics/Documents/publications/misr2018/MISR-2018-Vol-2-E.pdf" TargetMode="External"/><Relationship Id="rId6" Type="http://schemas.openxmlformats.org/officeDocument/2006/relationships/hyperlink" Target="https://www.itu.int/en/ITU-D/Regional-Presence/Europe/Documents/Events/2021/Meaningful%20Connectivity/%28draft%29%20Connectivity%20in%20Education_nonEU%20countries_profiles_living%20document.pdf" TargetMode="External"/><Relationship Id="rId11" Type="http://schemas.openxmlformats.org/officeDocument/2006/relationships/hyperlink" Target="https://www.itu-cop-guidelines.com/" TargetMode="External"/><Relationship Id="rId5" Type="http://schemas.openxmlformats.org/officeDocument/2006/relationships/hyperlink" Target="https://news.itu.int/why-we-need-5th-generation-ict-regulation/" TargetMode="External"/><Relationship Id="rId10" Type="http://schemas.openxmlformats.org/officeDocument/2006/relationships/hyperlink" Target="https://www.itu.int/en/mediacentre/backgrounders/Pages/connect-2030-agenda.aspx" TargetMode="External"/><Relationship Id="rId4" Type="http://schemas.openxmlformats.org/officeDocument/2006/relationships/hyperlink" Target="http://www.itu.int/net4/itu-d/irt/" TargetMode="External"/><Relationship Id="rId9" Type="http://schemas.openxmlformats.org/officeDocument/2006/relationships/hyperlink" Target="https://tbinternet.ohchr.org/_layouts/15/treatybodyexternal/Download.aspx?symbolno=CRPD%2fC%2fMDA%2f2-3&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9A0016-5CBC-4101-82C7-580913478FDB}"/>
</file>

<file path=customXml/itemProps2.xml><?xml version="1.0" encoding="utf-8"?>
<ds:datastoreItem xmlns:ds="http://schemas.openxmlformats.org/officeDocument/2006/customXml" ds:itemID="{1F040507-7944-4B31-8829-AF9CED9C28C4}"/>
</file>

<file path=customXml/itemProps3.xml><?xml version="1.0" encoding="utf-8"?>
<ds:datastoreItem xmlns:ds="http://schemas.openxmlformats.org/officeDocument/2006/customXml" ds:itemID="{51FDA86C-A92C-4166-8DB2-7736E37C6DD8}"/>
</file>

<file path=customXml/itemProps4.xml><?xml version="1.0" encoding="utf-8"?>
<ds:datastoreItem xmlns:ds="http://schemas.openxmlformats.org/officeDocument/2006/customXml" ds:itemID="{887CE84E-0675-4A12-BBE7-1B6E6DB81965}"/>
</file>

<file path=docProps/app.xml><?xml version="1.0" encoding="utf-8"?>
<Properties xmlns="http://schemas.openxmlformats.org/officeDocument/2006/extended-properties" xmlns:vt="http://schemas.openxmlformats.org/officeDocument/2006/docPropsVTypes">
  <Template>Normal.dotm</Template>
  <TotalTime>2</TotalTime>
  <Pages>40</Pages>
  <Words>14753</Words>
  <Characters>84098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Stadnic</dc:creator>
  <cp:keywords/>
  <dc:description/>
  <cp:lastModifiedBy>Valentina Stadnic</cp:lastModifiedBy>
  <cp:revision>2</cp:revision>
  <dcterms:created xsi:type="dcterms:W3CDTF">2021-09-13T06:27:00Z</dcterms:created>
  <dcterms:modified xsi:type="dcterms:W3CDTF">2021-09-13T06:27:00Z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0x01010042240BEE36140C4099AA2AE462C59614</vt:lpwstr>
  </property>
</Properties>
</file>