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48" w:type="dxa"/>
        <w:jc w:val="center"/>
        <w:tblLayout w:type="fixed"/>
        <w:tblLook w:val="00A0" w:firstRow="1" w:lastRow="0" w:firstColumn="1" w:lastColumn="0" w:noHBand="0" w:noVBand="0"/>
      </w:tblPr>
      <w:tblGrid>
        <w:gridCol w:w="1401"/>
        <w:gridCol w:w="3623"/>
        <w:gridCol w:w="204"/>
        <w:gridCol w:w="284"/>
        <w:gridCol w:w="4536"/>
      </w:tblGrid>
      <w:tr w:rsidR="00110F84" w:rsidRPr="000A4200" w:rsidTr="004300C7">
        <w:trPr>
          <w:jc w:val="center"/>
        </w:trPr>
        <w:tc>
          <w:tcPr>
            <w:tcW w:w="5024" w:type="dxa"/>
            <w:gridSpan w:val="2"/>
            <w:tcMar>
              <w:top w:w="142" w:type="dxa"/>
              <w:bottom w:w="142" w:type="dxa"/>
            </w:tcMar>
          </w:tcPr>
          <w:p w:rsidR="00110F84" w:rsidRPr="0093287B" w:rsidRDefault="00110F84" w:rsidP="00110F84">
            <w:pPr>
              <w:autoSpaceDE w:val="0"/>
              <w:spacing w:before="0"/>
              <w:rPr>
                <w:rFonts w:eastAsia="SimHei" w:cs="Simplified Arabic"/>
                <w:noProof/>
                <w:szCs w:val="28"/>
                <w:lang w:eastAsia="fr-CH"/>
              </w:rPr>
            </w:pPr>
          </w:p>
        </w:tc>
        <w:tc>
          <w:tcPr>
            <w:tcW w:w="5024" w:type="dxa"/>
            <w:gridSpan w:val="3"/>
          </w:tcPr>
          <w:p w:rsidR="00110F84" w:rsidRDefault="0087780C" w:rsidP="00110F84">
            <w:pPr>
              <w:spacing w:before="0"/>
              <w:jc w:val="right"/>
              <w:rPr>
                <w:rFonts w:eastAsia="SimHei" w:cs="Simplified Arabic"/>
                <w:noProof/>
                <w:szCs w:val="28"/>
                <w:lang w:eastAsia="fr-CH"/>
              </w:rPr>
            </w:pPr>
            <w:r w:rsidRPr="0093287B">
              <w:rPr>
                <w:rFonts w:eastAsia="SimHei" w:cs="Simplified Arabic"/>
                <w:noProof/>
                <w:szCs w:val="28"/>
                <w:lang w:val="en-GB" w:eastAsia="zh-CN"/>
              </w:rPr>
              <w:drawing>
                <wp:anchor distT="0" distB="0" distL="114300" distR="114300" simplePos="0" relativeHeight="251658752" behindDoc="0" locked="0" layoutInCell="1" allowOverlap="1" wp14:anchorId="15A4E960" wp14:editId="7299D6C6">
                  <wp:simplePos x="0" y="0"/>
                  <wp:positionH relativeFrom="column">
                    <wp:posOffset>-314960</wp:posOffset>
                  </wp:positionH>
                  <wp:positionV relativeFrom="paragraph">
                    <wp:posOffset>-263525</wp:posOffset>
                  </wp:positionV>
                  <wp:extent cx="673100" cy="73342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33425"/>
                          </a:xfrm>
                          <a:prstGeom prst="rect">
                            <a:avLst/>
                          </a:prstGeom>
                          <a:noFill/>
                          <a:ln>
                            <a:noFill/>
                          </a:ln>
                        </pic:spPr>
                      </pic:pic>
                    </a:graphicData>
                  </a:graphic>
                </wp:anchor>
              </w:drawing>
            </w:r>
          </w:p>
          <w:p w:rsidR="0087780C" w:rsidRDefault="0087780C" w:rsidP="00110F84">
            <w:pPr>
              <w:spacing w:before="0"/>
              <w:jc w:val="right"/>
              <w:rPr>
                <w:rFonts w:eastAsia="SimHei" w:cs="Simplified Arabic"/>
                <w:noProof/>
                <w:szCs w:val="28"/>
                <w:lang w:eastAsia="fr-CH"/>
              </w:rPr>
            </w:pPr>
          </w:p>
          <w:p w:rsidR="0087780C" w:rsidRPr="0093287B" w:rsidRDefault="0087780C" w:rsidP="00110F84">
            <w:pPr>
              <w:spacing w:before="0"/>
              <w:jc w:val="right"/>
              <w:rPr>
                <w:rFonts w:eastAsia="SimHei" w:cs="Simplified Arabic"/>
                <w:noProof/>
                <w:szCs w:val="28"/>
                <w:lang w:eastAsia="fr-CH"/>
              </w:rPr>
            </w:pPr>
          </w:p>
        </w:tc>
      </w:tr>
      <w:tr w:rsidR="00563963" w:rsidRPr="000A4200" w:rsidTr="00F67039">
        <w:trPr>
          <w:jc w:val="center"/>
        </w:trPr>
        <w:tc>
          <w:tcPr>
            <w:tcW w:w="10048" w:type="dxa"/>
            <w:gridSpan w:val="5"/>
          </w:tcPr>
          <w:p w:rsidR="00563963" w:rsidRPr="000A4200" w:rsidRDefault="00110F84">
            <w:pPr>
              <w:rPr>
                <w:rStyle w:val="BDTName"/>
                <w:rFonts w:cs="Traditional Arabic"/>
                <w:sz w:val="22"/>
                <w:szCs w:val="22"/>
              </w:rPr>
            </w:pPr>
            <w:r>
              <w:rPr>
                <w:rStyle w:val="BDTName"/>
              </w:rPr>
              <w:t>Telecommunication</w:t>
            </w:r>
            <w:r>
              <w:rPr>
                <w:rStyle w:val="BDTName"/>
                <w:rFonts w:cs="Traditional Arabic"/>
              </w:rPr>
              <w:t xml:space="preserve"> </w:t>
            </w:r>
            <w:r>
              <w:rPr>
                <w:rStyle w:val="BDTName"/>
                <w:rFonts w:cs="Traditional Arabic"/>
              </w:rPr>
              <w:br/>
              <w:t>Development Bureau (BDT)</w:t>
            </w:r>
          </w:p>
        </w:tc>
      </w:tr>
      <w:tr w:rsidR="00563963" w:rsidRPr="000A4200" w:rsidTr="00F67039">
        <w:trPr>
          <w:jc w:val="center"/>
        </w:trPr>
        <w:tc>
          <w:tcPr>
            <w:tcW w:w="10048" w:type="dxa"/>
            <w:gridSpan w:val="5"/>
          </w:tcPr>
          <w:p w:rsidR="00563963" w:rsidRPr="000A4200" w:rsidRDefault="00563963">
            <w:pPr>
              <w:pStyle w:val="BDTSeparator"/>
              <w:rPr>
                <w:szCs w:val="22"/>
              </w:rPr>
            </w:pPr>
          </w:p>
        </w:tc>
      </w:tr>
      <w:tr w:rsidR="00563963" w:rsidRPr="000A4200" w:rsidTr="00F67039">
        <w:trPr>
          <w:jc w:val="center"/>
        </w:trPr>
        <w:tc>
          <w:tcPr>
            <w:tcW w:w="1401" w:type="dxa"/>
          </w:tcPr>
          <w:p w:rsidR="00563963" w:rsidRPr="000A4200" w:rsidRDefault="00563963">
            <w:pPr>
              <w:pStyle w:val="BDTRef"/>
              <w:rPr>
                <w:szCs w:val="22"/>
              </w:rPr>
            </w:pPr>
            <w:r w:rsidRPr="000A4200">
              <w:rPr>
                <w:szCs w:val="22"/>
              </w:rPr>
              <w:t>Ref.</w:t>
            </w:r>
          </w:p>
        </w:tc>
        <w:tc>
          <w:tcPr>
            <w:tcW w:w="4111" w:type="dxa"/>
            <w:gridSpan w:val="3"/>
          </w:tcPr>
          <w:p w:rsidR="00563963" w:rsidRPr="000A4200" w:rsidRDefault="00563963" w:rsidP="001804A6">
            <w:pPr>
              <w:pStyle w:val="BDTRef-Details"/>
              <w:rPr>
                <w:szCs w:val="22"/>
              </w:rPr>
            </w:pPr>
            <w:r w:rsidRPr="000A4200">
              <w:rPr>
                <w:szCs w:val="22"/>
              </w:rPr>
              <w:t>BDT/</w:t>
            </w:r>
            <w:r w:rsidR="00C13931" w:rsidRPr="000A4200">
              <w:rPr>
                <w:szCs w:val="22"/>
              </w:rPr>
              <w:t>EUR</w:t>
            </w:r>
            <w:r w:rsidR="002542D0" w:rsidRPr="000A4200">
              <w:rPr>
                <w:szCs w:val="22"/>
              </w:rPr>
              <w:t>/</w:t>
            </w:r>
            <w:r w:rsidR="004C69B2">
              <w:rPr>
                <w:szCs w:val="22"/>
              </w:rPr>
              <w:t xml:space="preserve">DM- </w:t>
            </w:r>
            <w:r w:rsidR="00BC4024">
              <w:rPr>
                <w:szCs w:val="22"/>
              </w:rPr>
              <w:t>215</w:t>
            </w:r>
          </w:p>
        </w:tc>
        <w:tc>
          <w:tcPr>
            <w:tcW w:w="4536" w:type="dxa"/>
          </w:tcPr>
          <w:p w:rsidR="00563963" w:rsidRPr="000A4200" w:rsidRDefault="00563963" w:rsidP="001608D4">
            <w:pPr>
              <w:pStyle w:val="BDTDate"/>
              <w:rPr>
                <w:szCs w:val="22"/>
                <w:lang w:val="en-GB"/>
              </w:rPr>
            </w:pPr>
            <w:r w:rsidRPr="000A4200">
              <w:rPr>
                <w:szCs w:val="22"/>
                <w:lang w:val="en-GB"/>
              </w:rPr>
              <w:t>Geneva,</w:t>
            </w:r>
            <w:r w:rsidR="00C36E4D" w:rsidRPr="000A4200">
              <w:rPr>
                <w:szCs w:val="22"/>
                <w:lang w:val="en-GB"/>
              </w:rPr>
              <w:t xml:space="preserve"> </w:t>
            </w:r>
            <w:r w:rsidR="001608D4">
              <w:rPr>
                <w:szCs w:val="22"/>
                <w:lang w:val="en-GB"/>
              </w:rPr>
              <w:t>2</w:t>
            </w:r>
            <w:r w:rsidR="001804A6">
              <w:rPr>
                <w:szCs w:val="22"/>
                <w:lang w:val="en-GB"/>
              </w:rPr>
              <w:t xml:space="preserve"> </w:t>
            </w:r>
            <w:r w:rsidR="001608D4">
              <w:rPr>
                <w:szCs w:val="22"/>
                <w:lang w:val="en-GB"/>
              </w:rPr>
              <w:t>November</w:t>
            </w:r>
            <w:r w:rsidR="001804A6">
              <w:rPr>
                <w:szCs w:val="22"/>
                <w:lang w:val="en-GB"/>
              </w:rPr>
              <w:t xml:space="preserve"> 2016</w:t>
            </w:r>
          </w:p>
        </w:tc>
      </w:tr>
      <w:tr w:rsidR="00563963" w:rsidRPr="000A4200" w:rsidTr="00F67039">
        <w:trPr>
          <w:jc w:val="center"/>
        </w:trPr>
        <w:tc>
          <w:tcPr>
            <w:tcW w:w="1401" w:type="dxa"/>
          </w:tcPr>
          <w:p w:rsidR="00563963" w:rsidRPr="000A4200" w:rsidRDefault="00563963">
            <w:pPr>
              <w:pStyle w:val="BDTSeparator"/>
              <w:rPr>
                <w:szCs w:val="22"/>
              </w:rPr>
            </w:pPr>
          </w:p>
        </w:tc>
        <w:tc>
          <w:tcPr>
            <w:tcW w:w="4111" w:type="dxa"/>
            <w:gridSpan w:val="3"/>
          </w:tcPr>
          <w:p w:rsidR="00563963" w:rsidRPr="000A4200" w:rsidRDefault="00563963">
            <w:pPr>
              <w:pStyle w:val="BDTSeparator"/>
              <w:rPr>
                <w:szCs w:val="22"/>
              </w:rPr>
            </w:pPr>
          </w:p>
        </w:tc>
        <w:tc>
          <w:tcPr>
            <w:tcW w:w="4536" w:type="dxa"/>
          </w:tcPr>
          <w:p w:rsidR="00563963" w:rsidRPr="000A4200" w:rsidRDefault="00563963">
            <w:pPr>
              <w:pStyle w:val="BDTSeparator"/>
              <w:rPr>
                <w:szCs w:val="22"/>
              </w:rPr>
            </w:pPr>
          </w:p>
        </w:tc>
      </w:tr>
      <w:tr w:rsidR="00563963" w:rsidRPr="000A4200" w:rsidTr="00F67039">
        <w:trPr>
          <w:jc w:val="center"/>
        </w:trPr>
        <w:tc>
          <w:tcPr>
            <w:tcW w:w="1401" w:type="dxa"/>
          </w:tcPr>
          <w:p w:rsidR="00563963" w:rsidRPr="000A4200" w:rsidRDefault="00563963">
            <w:pPr>
              <w:pStyle w:val="BDTContact"/>
              <w:rPr>
                <w:szCs w:val="22"/>
              </w:rPr>
            </w:pPr>
          </w:p>
        </w:tc>
        <w:tc>
          <w:tcPr>
            <w:tcW w:w="3827" w:type="dxa"/>
            <w:gridSpan w:val="2"/>
          </w:tcPr>
          <w:p w:rsidR="00563963" w:rsidRPr="000A4200" w:rsidRDefault="00563963" w:rsidP="00DA05C1">
            <w:pPr>
              <w:pStyle w:val="BDTContact-Details"/>
              <w:rPr>
                <w:szCs w:val="22"/>
              </w:rPr>
            </w:pPr>
            <w:bookmarkStart w:id="0" w:name="Contact"/>
            <w:bookmarkEnd w:id="0"/>
          </w:p>
        </w:tc>
        <w:tc>
          <w:tcPr>
            <w:tcW w:w="284" w:type="dxa"/>
          </w:tcPr>
          <w:p w:rsidR="00563963" w:rsidRPr="000A4200" w:rsidRDefault="00563963">
            <w:pPr>
              <w:pStyle w:val="BDTContact-Details"/>
              <w:rPr>
                <w:szCs w:val="22"/>
              </w:rPr>
            </w:pPr>
          </w:p>
        </w:tc>
        <w:tc>
          <w:tcPr>
            <w:tcW w:w="4536" w:type="dxa"/>
            <w:vMerge w:val="restart"/>
          </w:tcPr>
          <w:p w:rsidR="003E0730" w:rsidRPr="00FC0D8F" w:rsidRDefault="0038222D" w:rsidP="003E0730">
            <w:pPr>
              <w:pStyle w:val="BDTAddressee"/>
              <w:rPr>
                <w:lang w:val="en-US"/>
              </w:rPr>
            </w:pPr>
            <w:r w:rsidRPr="00FC0D8F">
              <w:rPr>
                <w:lang w:val="en-US"/>
              </w:rPr>
              <w:t xml:space="preserve">ITU Member States from Europe Region, </w:t>
            </w:r>
            <w:r w:rsidR="00371C32" w:rsidRPr="00FC0D8F">
              <w:rPr>
                <w:lang w:val="en-US"/>
              </w:rPr>
              <w:br/>
            </w:r>
            <w:r w:rsidR="003E0730" w:rsidRPr="00FC0D8F">
              <w:rPr>
                <w:lang w:val="en-US"/>
              </w:rPr>
              <w:t>ITU-D</w:t>
            </w:r>
            <w:r w:rsidRPr="00FC0D8F">
              <w:rPr>
                <w:lang w:val="en-US"/>
              </w:rPr>
              <w:t xml:space="preserve"> Sector Members, ITU Europe </w:t>
            </w:r>
            <w:proofErr w:type="spellStart"/>
            <w:r w:rsidR="003E0730" w:rsidRPr="00FC0D8F">
              <w:rPr>
                <w:lang w:val="en-US"/>
              </w:rPr>
              <w:t>Centres</w:t>
            </w:r>
            <w:proofErr w:type="spellEnd"/>
            <w:r w:rsidR="003E0730" w:rsidRPr="00FC0D8F">
              <w:rPr>
                <w:lang w:val="en-US"/>
              </w:rPr>
              <w:t xml:space="preserve"> of Excellence, Partners</w:t>
            </w:r>
          </w:p>
          <w:p w:rsidR="00563963" w:rsidRPr="000A4200" w:rsidRDefault="001F7B98" w:rsidP="003E0730">
            <w:pPr>
              <w:pStyle w:val="BDTAddressee"/>
              <w:rPr>
                <w:szCs w:val="22"/>
              </w:rPr>
            </w:pPr>
            <w:r w:rsidRPr="000A4200">
              <w:rPr>
                <w:vanish/>
                <w:szCs w:val="22"/>
                <w:lang w:val="en-US"/>
              </w:rPr>
              <w:fldChar w:fldCharType="begin"/>
            </w:r>
            <w:r w:rsidR="0033597E" w:rsidRPr="000A4200">
              <w:rPr>
                <w:vanish/>
                <w:szCs w:val="22"/>
                <w:lang w:val="en-US"/>
              </w:rPr>
              <w:instrText xml:space="preserve"> MERGEFIELD EmailFax_PersOrg </w:instrText>
            </w:r>
            <w:r w:rsidRPr="000A4200">
              <w:rPr>
                <w:vanish/>
                <w:szCs w:val="22"/>
                <w:lang w:val="en-US"/>
              </w:rPr>
              <w:fldChar w:fldCharType="separate"/>
            </w:r>
            <w:r w:rsidR="0033597E" w:rsidRPr="000A4200">
              <w:rPr>
                <w:noProof/>
                <w:vanish/>
                <w:szCs w:val="22"/>
                <w:lang w:val="en-US"/>
              </w:rPr>
              <w:t>«EmailFax_PersOrg»</w:t>
            </w:r>
            <w:r w:rsidRPr="000A4200">
              <w:rPr>
                <w:vanish/>
                <w:szCs w:val="22"/>
                <w:lang w:val="en-US"/>
              </w:rPr>
              <w:fldChar w:fldCharType="end"/>
            </w:r>
          </w:p>
        </w:tc>
      </w:tr>
      <w:tr w:rsidR="00563963" w:rsidRPr="000A4200" w:rsidTr="00F67039">
        <w:trPr>
          <w:jc w:val="center"/>
        </w:trPr>
        <w:tc>
          <w:tcPr>
            <w:tcW w:w="1401" w:type="dxa"/>
          </w:tcPr>
          <w:p w:rsidR="00563963" w:rsidRPr="000A4200" w:rsidRDefault="00563963">
            <w:pPr>
              <w:pStyle w:val="BDTContact"/>
              <w:rPr>
                <w:szCs w:val="22"/>
              </w:rPr>
            </w:pPr>
          </w:p>
        </w:tc>
        <w:tc>
          <w:tcPr>
            <w:tcW w:w="3827" w:type="dxa"/>
            <w:gridSpan w:val="2"/>
          </w:tcPr>
          <w:p w:rsidR="00563963" w:rsidRPr="000A4200" w:rsidRDefault="00563963" w:rsidP="008F041B">
            <w:pPr>
              <w:pStyle w:val="BDTContact-Details"/>
              <w:rPr>
                <w:szCs w:val="22"/>
              </w:rPr>
            </w:pPr>
          </w:p>
        </w:tc>
        <w:tc>
          <w:tcPr>
            <w:tcW w:w="284" w:type="dxa"/>
          </w:tcPr>
          <w:p w:rsidR="00563963" w:rsidRPr="000A4200" w:rsidRDefault="00563963">
            <w:pPr>
              <w:pStyle w:val="BDTContact-Details"/>
              <w:rPr>
                <w:szCs w:val="22"/>
              </w:rPr>
            </w:pPr>
          </w:p>
        </w:tc>
        <w:tc>
          <w:tcPr>
            <w:tcW w:w="4536" w:type="dxa"/>
            <w:vMerge/>
          </w:tcPr>
          <w:p w:rsidR="00563963" w:rsidRPr="000A4200" w:rsidRDefault="00563963">
            <w:pPr>
              <w:tabs>
                <w:tab w:val="left" w:pos="794"/>
                <w:tab w:val="left" w:pos="1191"/>
                <w:tab w:val="left" w:pos="1588"/>
                <w:tab w:val="left" w:pos="1985"/>
              </w:tabs>
              <w:overflowPunct w:val="0"/>
              <w:autoSpaceDE w:val="0"/>
              <w:autoSpaceDN w:val="0"/>
              <w:adjustRightInd w:val="0"/>
              <w:spacing w:line="280" w:lineRule="exact"/>
              <w:textAlignment w:val="baseline"/>
              <w:rPr>
                <w:szCs w:val="22"/>
                <w:lang w:val="en-GB"/>
              </w:rPr>
            </w:pPr>
          </w:p>
        </w:tc>
      </w:tr>
      <w:tr w:rsidR="00563963" w:rsidRPr="000A4200" w:rsidTr="00F67039">
        <w:trPr>
          <w:jc w:val="center"/>
        </w:trPr>
        <w:tc>
          <w:tcPr>
            <w:tcW w:w="1401" w:type="dxa"/>
          </w:tcPr>
          <w:p w:rsidR="00563963" w:rsidRPr="000A4200" w:rsidRDefault="00563963">
            <w:pPr>
              <w:pStyle w:val="BDTContact"/>
              <w:rPr>
                <w:szCs w:val="22"/>
              </w:rPr>
            </w:pPr>
          </w:p>
        </w:tc>
        <w:tc>
          <w:tcPr>
            <w:tcW w:w="3827" w:type="dxa"/>
            <w:gridSpan w:val="2"/>
          </w:tcPr>
          <w:p w:rsidR="00563963" w:rsidRPr="000A4200" w:rsidRDefault="00563963">
            <w:pPr>
              <w:pStyle w:val="BDTContact-Details"/>
              <w:rPr>
                <w:szCs w:val="22"/>
              </w:rPr>
            </w:pPr>
          </w:p>
        </w:tc>
        <w:tc>
          <w:tcPr>
            <w:tcW w:w="284" w:type="dxa"/>
          </w:tcPr>
          <w:p w:rsidR="00563963" w:rsidRPr="000A4200" w:rsidRDefault="00563963">
            <w:pPr>
              <w:pStyle w:val="BDTContact-Details"/>
              <w:rPr>
                <w:szCs w:val="22"/>
              </w:rPr>
            </w:pPr>
          </w:p>
        </w:tc>
        <w:tc>
          <w:tcPr>
            <w:tcW w:w="4536" w:type="dxa"/>
            <w:vMerge/>
          </w:tcPr>
          <w:p w:rsidR="00563963" w:rsidRPr="000A4200" w:rsidRDefault="00563963">
            <w:pPr>
              <w:tabs>
                <w:tab w:val="left" w:pos="794"/>
                <w:tab w:val="left" w:pos="1191"/>
                <w:tab w:val="left" w:pos="1588"/>
                <w:tab w:val="left" w:pos="1985"/>
              </w:tabs>
              <w:overflowPunct w:val="0"/>
              <w:autoSpaceDE w:val="0"/>
              <w:autoSpaceDN w:val="0"/>
              <w:adjustRightInd w:val="0"/>
              <w:spacing w:line="280" w:lineRule="exact"/>
              <w:textAlignment w:val="baseline"/>
              <w:rPr>
                <w:szCs w:val="22"/>
                <w:lang w:val="en-GB"/>
              </w:rPr>
            </w:pPr>
          </w:p>
        </w:tc>
      </w:tr>
      <w:tr w:rsidR="00563963" w:rsidRPr="000A4200" w:rsidTr="00513023">
        <w:trPr>
          <w:trHeight w:val="52"/>
          <w:jc w:val="center"/>
        </w:trPr>
        <w:tc>
          <w:tcPr>
            <w:tcW w:w="1401" w:type="dxa"/>
          </w:tcPr>
          <w:p w:rsidR="003C6851" w:rsidRPr="000A4200" w:rsidRDefault="003C6851" w:rsidP="008A021B">
            <w:pPr>
              <w:pStyle w:val="BDTContact"/>
              <w:rPr>
                <w:szCs w:val="22"/>
              </w:rPr>
            </w:pPr>
          </w:p>
        </w:tc>
        <w:tc>
          <w:tcPr>
            <w:tcW w:w="3827" w:type="dxa"/>
            <w:gridSpan w:val="2"/>
          </w:tcPr>
          <w:p w:rsidR="003C6851" w:rsidRPr="000A4200" w:rsidRDefault="003C6851" w:rsidP="008A021B">
            <w:pPr>
              <w:pStyle w:val="BDTContact-Details"/>
              <w:rPr>
                <w:szCs w:val="22"/>
              </w:rPr>
            </w:pPr>
          </w:p>
        </w:tc>
        <w:tc>
          <w:tcPr>
            <w:tcW w:w="284" w:type="dxa"/>
          </w:tcPr>
          <w:p w:rsidR="00563963" w:rsidRPr="000A4200" w:rsidRDefault="00563963">
            <w:pPr>
              <w:pStyle w:val="BDTContact-Details"/>
              <w:rPr>
                <w:szCs w:val="22"/>
              </w:rPr>
            </w:pPr>
          </w:p>
        </w:tc>
        <w:tc>
          <w:tcPr>
            <w:tcW w:w="4536" w:type="dxa"/>
            <w:vMerge/>
          </w:tcPr>
          <w:p w:rsidR="00563963" w:rsidRPr="000A4200" w:rsidRDefault="00563963">
            <w:pPr>
              <w:tabs>
                <w:tab w:val="left" w:pos="794"/>
                <w:tab w:val="left" w:pos="1191"/>
                <w:tab w:val="left" w:pos="1588"/>
                <w:tab w:val="left" w:pos="1985"/>
              </w:tabs>
              <w:overflowPunct w:val="0"/>
              <w:autoSpaceDE w:val="0"/>
              <w:autoSpaceDN w:val="0"/>
              <w:adjustRightInd w:val="0"/>
              <w:spacing w:line="280" w:lineRule="exact"/>
              <w:textAlignment w:val="baseline"/>
              <w:rPr>
                <w:szCs w:val="22"/>
                <w:lang w:val="en-GB"/>
              </w:rPr>
            </w:pPr>
          </w:p>
        </w:tc>
      </w:tr>
      <w:tr w:rsidR="00563963" w:rsidRPr="000A4200" w:rsidTr="00F67039">
        <w:trPr>
          <w:jc w:val="center"/>
        </w:trPr>
        <w:tc>
          <w:tcPr>
            <w:tcW w:w="10048" w:type="dxa"/>
            <w:gridSpan w:val="5"/>
          </w:tcPr>
          <w:p w:rsidR="00563963" w:rsidRPr="000A4200" w:rsidRDefault="00563963">
            <w:pPr>
              <w:pStyle w:val="BDTSeparator"/>
              <w:rPr>
                <w:szCs w:val="22"/>
              </w:rPr>
            </w:pPr>
          </w:p>
        </w:tc>
      </w:tr>
      <w:tr w:rsidR="00563963" w:rsidRPr="000A4200" w:rsidTr="00F67039">
        <w:trPr>
          <w:jc w:val="center"/>
        </w:trPr>
        <w:tc>
          <w:tcPr>
            <w:tcW w:w="1401" w:type="dxa"/>
          </w:tcPr>
          <w:p w:rsidR="00563963" w:rsidRPr="000A4200" w:rsidRDefault="00563963">
            <w:pPr>
              <w:pStyle w:val="BDTSubject"/>
              <w:rPr>
                <w:szCs w:val="22"/>
              </w:rPr>
            </w:pPr>
            <w:r w:rsidRPr="000A4200">
              <w:rPr>
                <w:szCs w:val="22"/>
              </w:rPr>
              <w:t>Subject:</w:t>
            </w:r>
          </w:p>
        </w:tc>
        <w:tc>
          <w:tcPr>
            <w:tcW w:w="8647" w:type="dxa"/>
            <w:gridSpan w:val="4"/>
          </w:tcPr>
          <w:p w:rsidR="00563963" w:rsidRPr="0038222D" w:rsidRDefault="0038222D" w:rsidP="001804A6">
            <w:pPr>
              <w:rPr>
                <w:rFonts w:eastAsiaTheme="minorEastAsia"/>
                <w:szCs w:val="22"/>
              </w:rPr>
            </w:pPr>
            <w:bookmarkStart w:id="1" w:name="Subject"/>
            <w:bookmarkEnd w:id="1"/>
            <w:r>
              <w:rPr>
                <w:b/>
                <w:bCs/>
              </w:rPr>
              <w:t xml:space="preserve">Invitation to the </w:t>
            </w:r>
            <w:r w:rsidR="001804A6">
              <w:rPr>
                <w:b/>
                <w:bCs/>
              </w:rPr>
              <w:t>3</w:t>
            </w:r>
            <w:r w:rsidR="001804A6" w:rsidRPr="001804A6">
              <w:rPr>
                <w:b/>
                <w:bCs/>
                <w:vertAlign w:val="superscript"/>
              </w:rPr>
              <w:t>rd</w:t>
            </w:r>
            <w:r w:rsidR="001804A6">
              <w:rPr>
                <w:b/>
                <w:bCs/>
              </w:rPr>
              <w:t xml:space="preserve"> </w:t>
            </w:r>
            <w:r w:rsidR="003E0730">
              <w:rPr>
                <w:b/>
                <w:bCs/>
              </w:rPr>
              <w:t xml:space="preserve">ITU </w:t>
            </w:r>
            <w:r>
              <w:rPr>
                <w:b/>
                <w:bCs/>
              </w:rPr>
              <w:t xml:space="preserve">Europe </w:t>
            </w:r>
            <w:proofErr w:type="spellStart"/>
            <w:r>
              <w:rPr>
                <w:b/>
                <w:bCs/>
              </w:rPr>
              <w:t>Centres</w:t>
            </w:r>
            <w:proofErr w:type="spellEnd"/>
            <w:r>
              <w:rPr>
                <w:b/>
                <w:bCs/>
              </w:rPr>
              <w:t xml:space="preserve"> of Excellence Steering Committee Meeting, </w:t>
            </w:r>
            <w:r>
              <w:rPr>
                <w:b/>
                <w:bCs/>
              </w:rPr>
              <w:br/>
            </w:r>
            <w:r w:rsidR="00CF7436">
              <w:rPr>
                <w:b/>
                <w:bCs/>
              </w:rPr>
              <w:t>1</w:t>
            </w:r>
            <w:r w:rsidR="001804A6">
              <w:rPr>
                <w:b/>
                <w:bCs/>
              </w:rPr>
              <w:t>7</w:t>
            </w:r>
            <w:r w:rsidR="00CF7436">
              <w:rPr>
                <w:b/>
                <w:bCs/>
              </w:rPr>
              <w:t xml:space="preserve"> January</w:t>
            </w:r>
            <w:r>
              <w:rPr>
                <w:b/>
                <w:bCs/>
              </w:rPr>
              <w:t xml:space="preserve"> 201</w:t>
            </w:r>
            <w:r w:rsidR="0087780C">
              <w:rPr>
                <w:b/>
                <w:bCs/>
              </w:rPr>
              <w:t>7</w:t>
            </w:r>
            <w:r>
              <w:rPr>
                <w:b/>
                <w:bCs/>
              </w:rPr>
              <w:t xml:space="preserve">, Copenhagen, Denmark </w:t>
            </w:r>
          </w:p>
        </w:tc>
      </w:tr>
      <w:tr w:rsidR="00563963" w:rsidRPr="000A4200" w:rsidTr="00F67039">
        <w:trPr>
          <w:jc w:val="center"/>
        </w:trPr>
        <w:tc>
          <w:tcPr>
            <w:tcW w:w="10048" w:type="dxa"/>
            <w:gridSpan w:val="5"/>
          </w:tcPr>
          <w:p w:rsidR="00563963" w:rsidRPr="0087780C" w:rsidRDefault="00563963">
            <w:pPr>
              <w:pStyle w:val="BDTSeparator"/>
              <w:rPr>
                <w:szCs w:val="22"/>
                <w:lang w:val="en-US"/>
              </w:rPr>
            </w:pPr>
          </w:p>
        </w:tc>
      </w:tr>
      <w:tr w:rsidR="00563963" w:rsidRPr="000A4200" w:rsidTr="00F67039">
        <w:trPr>
          <w:jc w:val="center"/>
        </w:trPr>
        <w:tc>
          <w:tcPr>
            <w:tcW w:w="10048" w:type="dxa"/>
            <w:gridSpan w:val="5"/>
          </w:tcPr>
          <w:p w:rsidR="0038222D" w:rsidRPr="0038222D" w:rsidRDefault="00AA216B" w:rsidP="0038222D">
            <w:pPr>
              <w:pStyle w:val="BDTOpening"/>
              <w:rPr>
                <w:rFonts w:asciiTheme="minorHAnsi" w:hAnsiTheme="minorHAnsi"/>
              </w:rPr>
            </w:pPr>
            <w:bookmarkStart w:id="2" w:name="Formula"/>
            <w:bookmarkStart w:id="3" w:name="MainStory"/>
            <w:bookmarkStart w:id="4" w:name="CurrentLocation"/>
            <w:bookmarkEnd w:id="2"/>
            <w:bookmarkEnd w:id="3"/>
            <w:bookmarkEnd w:id="4"/>
            <w:r w:rsidRPr="000A4200">
              <w:rPr>
                <w:rFonts w:asciiTheme="minorHAnsi" w:hAnsiTheme="minorHAnsi"/>
              </w:rPr>
              <w:t>Dear</w:t>
            </w:r>
            <w:r w:rsidR="00CC175A" w:rsidRPr="000A4200">
              <w:rPr>
                <w:rFonts w:asciiTheme="minorHAnsi" w:hAnsiTheme="minorHAnsi"/>
              </w:rPr>
              <w:t xml:space="preserve"> Sir</w:t>
            </w:r>
            <w:r w:rsidR="0038222D">
              <w:rPr>
                <w:rFonts w:asciiTheme="minorHAnsi" w:hAnsiTheme="minorHAnsi"/>
              </w:rPr>
              <w:t>/Madam</w:t>
            </w:r>
            <w:r w:rsidR="00110F84">
              <w:rPr>
                <w:rFonts w:asciiTheme="minorHAnsi" w:hAnsiTheme="minorHAnsi"/>
              </w:rPr>
              <w:t>,</w:t>
            </w:r>
          </w:p>
          <w:p w:rsidR="0038222D" w:rsidRDefault="008F0003" w:rsidP="001804A6">
            <w:r>
              <w:t xml:space="preserve">I am pleased </w:t>
            </w:r>
            <w:r w:rsidR="0038222D">
              <w:t>to invite your</w:t>
            </w:r>
            <w:r w:rsidR="00F73F48">
              <w:t xml:space="preserve"> Administration/Organization/Company</w:t>
            </w:r>
            <w:r w:rsidR="0038222D">
              <w:t xml:space="preserve"> to participate in the</w:t>
            </w:r>
            <w:r w:rsidR="0038222D">
              <w:rPr>
                <w:b/>
                <w:bCs/>
              </w:rPr>
              <w:t xml:space="preserve"> </w:t>
            </w:r>
            <w:r w:rsidR="001804A6">
              <w:rPr>
                <w:b/>
                <w:bCs/>
              </w:rPr>
              <w:t>3</w:t>
            </w:r>
            <w:r w:rsidR="001804A6" w:rsidRPr="001804A6">
              <w:rPr>
                <w:b/>
                <w:bCs/>
                <w:vertAlign w:val="superscript"/>
              </w:rPr>
              <w:t>rd</w:t>
            </w:r>
            <w:r w:rsidR="001804A6">
              <w:rPr>
                <w:b/>
                <w:bCs/>
              </w:rPr>
              <w:t xml:space="preserve"> </w:t>
            </w:r>
            <w:r w:rsidR="0038222D">
              <w:rPr>
                <w:b/>
                <w:bCs/>
              </w:rPr>
              <w:t xml:space="preserve">ITU Europe </w:t>
            </w:r>
            <w:proofErr w:type="spellStart"/>
            <w:r w:rsidR="0038222D">
              <w:rPr>
                <w:b/>
                <w:bCs/>
              </w:rPr>
              <w:t>Centres</w:t>
            </w:r>
            <w:proofErr w:type="spellEnd"/>
            <w:r w:rsidR="0038222D">
              <w:rPr>
                <w:b/>
                <w:bCs/>
              </w:rPr>
              <w:t xml:space="preserve"> of Excellence (EUR </w:t>
            </w:r>
            <w:proofErr w:type="spellStart"/>
            <w:r w:rsidR="0038222D">
              <w:rPr>
                <w:b/>
                <w:bCs/>
              </w:rPr>
              <w:t>CoE</w:t>
            </w:r>
            <w:proofErr w:type="spellEnd"/>
            <w:r w:rsidR="0038222D">
              <w:rPr>
                <w:b/>
                <w:bCs/>
              </w:rPr>
              <w:t xml:space="preserve">) Steering Committee Meeting, </w:t>
            </w:r>
            <w:r>
              <w:t>organized by the</w:t>
            </w:r>
            <w:r w:rsidR="0038222D">
              <w:t xml:space="preserve"> </w:t>
            </w:r>
            <w:r w:rsidR="000C256A">
              <w:t>International Telecommunication Union (</w:t>
            </w:r>
            <w:r w:rsidR="0038222D">
              <w:t>ITU</w:t>
            </w:r>
            <w:r w:rsidR="000C256A">
              <w:t>)</w:t>
            </w:r>
            <w:r w:rsidR="0038222D">
              <w:t xml:space="preserve"> and hosted by the European Communication</w:t>
            </w:r>
            <w:r w:rsidR="00B41230">
              <w:t>s</w:t>
            </w:r>
            <w:r w:rsidR="0038222D">
              <w:t xml:space="preserve"> Office, which will take place </w:t>
            </w:r>
            <w:r w:rsidR="00117BB4">
              <w:t xml:space="preserve">on </w:t>
            </w:r>
            <w:r w:rsidR="00CF7436">
              <w:rPr>
                <w:b/>
                <w:bCs/>
              </w:rPr>
              <w:t>1</w:t>
            </w:r>
            <w:r w:rsidR="001804A6">
              <w:rPr>
                <w:b/>
                <w:bCs/>
              </w:rPr>
              <w:t>7</w:t>
            </w:r>
            <w:r w:rsidR="0087780C">
              <w:rPr>
                <w:b/>
                <w:bCs/>
              </w:rPr>
              <w:t xml:space="preserve"> January 2017</w:t>
            </w:r>
            <w:r w:rsidR="00533773">
              <w:rPr>
                <w:b/>
                <w:bCs/>
              </w:rPr>
              <w:t xml:space="preserve"> </w:t>
            </w:r>
            <w:r w:rsidR="0038222D">
              <w:rPr>
                <w:b/>
                <w:bCs/>
              </w:rPr>
              <w:t>in Copenhagen, Denmark</w:t>
            </w:r>
            <w:r w:rsidR="0038222D">
              <w:t>. This meeting will be held back</w:t>
            </w:r>
            <w:r w:rsidR="000C256A">
              <w:t>-</w:t>
            </w:r>
            <w:r w:rsidR="0038222D">
              <w:t>to</w:t>
            </w:r>
            <w:r w:rsidR="000C256A">
              <w:t>-</w:t>
            </w:r>
            <w:r w:rsidR="0038222D">
              <w:t>back with th</w:t>
            </w:r>
            <w:r w:rsidR="003E0730">
              <w:t xml:space="preserve">e meeting of the CEPT Com-ITU. </w:t>
            </w:r>
          </w:p>
          <w:p w:rsidR="0038222D" w:rsidRDefault="000C256A" w:rsidP="00983086">
            <w:r>
              <w:t>T</w:t>
            </w:r>
            <w:r w:rsidR="009013D3">
              <w:t>he</w:t>
            </w:r>
            <w:r w:rsidR="0038222D">
              <w:t xml:space="preserve"> ITU </w:t>
            </w:r>
            <w:proofErr w:type="spellStart"/>
            <w:r w:rsidR="0038222D">
              <w:t>Centres</w:t>
            </w:r>
            <w:proofErr w:type="spellEnd"/>
            <w:r w:rsidR="0038222D">
              <w:t xml:space="preserve"> of Excellence governance structure </w:t>
            </w:r>
            <w:r w:rsidR="009013D3">
              <w:t xml:space="preserve">is </w:t>
            </w:r>
            <w:r w:rsidR="0038222D">
              <w:t xml:space="preserve">composed of the Steering Committee and the ITU. </w:t>
            </w:r>
            <w:r w:rsidR="00B954EA">
              <w:t>The main responsibility of the S</w:t>
            </w:r>
            <w:r w:rsidR="0038222D">
              <w:t xml:space="preserve">teering Committee is to provide recommendations to ITU concerning the </w:t>
            </w:r>
            <w:proofErr w:type="spellStart"/>
            <w:r w:rsidR="0038222D">
              <w:t>CoEs</w:t>
            </w:r>
            <w:proofErr w:type="spellEnd"/>
            <w:r w:rsidR="0038222D">
              <w:t xml:space="preserve"> operations and ways of improving performance. </w:t>
            </w:r>
            <w:r>
              <w:t>D</w:t>
            </w:r>
            <w:r w:rsidR="0038222D">
              <w:t xml:space="preserve">etails of the roles and responsibilities are provided in the </w:t>
            </w:r>
            <w:r w:rsidR="00D86ECA" w:rsidRPr="00AC4969">
              <w:t>Operational Processes and Procedures Document</w:t>
            </w:r>
            <w:r w:rsidR="00D86ECA" w:rsidRPr="00AC4969">
              <w:rPr>
                <w:rStyle w:val="Hyperlink"/>
                <w:rFonts w:cs="Traditional Arabic"/>
                <w:color w:val="auto"/>
                <w:u w:val="none"/>
              </w:rPr>
              <w:t xml:space="preserve"> </w:t>
            </w:r>
            <w:r w:rsidR="00983086" w:rsidRPr="00AC4969">
              <w:rPr>
                <w:rStyle w:val="Hyperlink"/>
                <w:rFonts w:cs="Traditional Arabic"/>
                <w:color w:val="auto"/>
                <w:u w:val="none"/>
              </w:rPr>
              <w:t xml:space="preserve">which can be found here: </w:t>
            </w:r>
            <w:r w:rsidR="00D86ECA" w:rsidRPr="00D86ECA">
              <w:rPr>
                <w:rStyle w:val="Hyperlink"/>
                <w:rFonts w:cs="Traditional Arabic"/>
              </w:rPr>
              <w:t>https://academy.itu.int/index.php?option=com_content&amp;view=article&amp;id=58&amp;Itemid=604&amp;lang=en</w:t>
            </w:r>
            <w:r w:rsidR="00555AF3">
              <w:t>.</w:t>
            </w:r>
          </w:p>
          <w:p w:rsidR="00244E85" w:rsidRDefault="0038222D" w:rsidP="00983086">
            <w:pPr>
              <w:ind w:right="134"/>
            </w:pPr>
            <w:r>
              <w:t xml:space="preserve">The </w:t>
            </w:r>
            <w:r w:rsidR="001804A6">
              <w:t>3</w:t>
            </w:r>
            <w:r w:rsidR="001804A6" w:rsidRPr="001804A6">
              <w:rPr>
                <w:vertAlign w:val="superscript"/>
              </w:rPr>
              <w:t>rd</w:t>
            </w:r>
            <w:r w:rsidR="001804A6">
              <w:t xml:space="preserve"> </w:t>
            </w:r>
            <w:r w:rsidR="00C63FF2" w:rsidRPr="00C63FF2">
              <w:t xml:space="preserve">Europe </w:t>
            </w:r>
            <w:proofErr w:type="spellStart"/>
            <w:r w:rsidR="00C63FF2" w:rsidRPr="00C63FF2">
              <w:t>Centres</w:t>
            </w:r>
            <w:proofErr w:type="spellEnd"/>
            <w:r w:rsidR="00C63FF2" w:rsidRPr="00C63FF2">
              <w:t xml:space="preserve"> of Excellence Steering Committee </w:t>
            </w:r>
            <w:r>
              <w:t xml:space="preserve">Meeting is expected to </w:t>
            </w:r>
            <w:r w:rsidR="00CF7436">
              <w:t xml:space="preserve">review the progress of work undertaken </w:t>
            </w:r>
            <w:r w:rsidR="009013D3">
              <w:t xml:space="preserve">since the </w:t>
            </w:r>
            <w:r w:rsidR="001804A6">
              <w:t xml:space="preserve">second </w:t>
            </w:r>
            <w:r w:rsidR="009013D3">
              <w:t>S</w:t>
            </w:r>
            <w:r w:rsidR="00C63FF2">
              <w:t xml:space="preserve">teering </w:t>
            </w:r>
            <w:r w:rsidR="009013D3">
              <w:t>C</w:t>
            </w:r>
            <w:r w:rsidR="00C63FF2">
              <w:t>ommittee</w:t>
            </w:r>
            <w:r w:rsidR="009013D3">
              <w:t xml:space="preserve"> Meeting in </w:t>
            </w:r>
            <w:r w:rsidR="001804A6">
              <w:t xml:space="preserve">January </w:t>
            </w:r>
            <w:r w:rsidR="00CF7436">
              <w:t>201</w:t>
            </w:r>
            <w:r w:rsidR="001804A6">
              <w:t>5</w:t>
            </w:r>
            <w:r w:rsidR="009013D3">
              <w:t>,</w:t>
            </w:r>
            <w:r w:rsidR="00CF7436">
              <w:t xml:space="preserve"> and </w:t>
            </w:r>
            <w:r>
              <w:t xml:space="preserve">take key strategic decisions </w:t>
            </w:r>
            <w:r w:rsidR="00CF7436">
              <w:t xml:space="preserve">regarding further implementation of the </w:t>
            </w:r>
            <w:r w:rsidR="009013D3">
              <w:t xml:space="preserve">ITU </w:t>
            </w:r>
            <w:proofErr w:type="spellStart"/>
            <w:r w:rsidR="00CF7436">
              <w:t>CoE</w:t>
            </w:r>
            <w:proofErr w:type="spellEnd"/>
            <w:r w:rsidR="00CF7436">
              <w:t xml:space="preserve"> strategy and </w:t>
            </w:r>
            <w:r w:rsidR="009013D3">
              <w:t>development of the ITU Academy. The meeting will also provide an opportunity to agree on t</w:t>
            </w:r>
            <w:r>
              <w:t>he timetable of annual activities for 201</w:t>
            </w:r>
            <w:r w:rsidR="001804A6">
              <w:t>7</w:t>
            </w:r>
            <w:r>
              <w:t xml:space="preserve">, </w:t>
            </w:r>
            <w:r w:rsidR="009013D3">
              <w:t xml:space="preserve">further </w:t>
            </w:r>
            <w:r>
              <w:t>development of content</w:t>
            </w:r>
            <w:r w:rsidR="009013D3">
              <w:t xml:space="preserve"> and</w:t>
            </w:r>
            <w:r>
              <w:t xml:space="preserve"> quality assurance, promotion plan, pricing strategies and financial procedures</w:t>
            </w:r>
            <w:r w:rsidR="00D86ECA">
              <w:t xml:space="preserve"> as well as</w:t>
            </w:r>
            <w:r w:rsidR="00983086">
              <w:t xml:space="preserve"> </w:t>
            </w:r>
            <w:r w:rsidR="00D86ECA">
              <w:t xml:space="preserve">offer </w:t>
            </w:r>
            <w:r>
              <w:t xml:space="preserve">new partnership opportunities amongst others. </w:t>
            </w:r>
          </w:p>
          <w:p w:rsidR="0038222D" w:rsidRDefault="00533773" w:rsidP="00D86ECA">
            <w:r w:rsidRPr="00BD0704">
              <w:t>According to the Operational Processes and Procedures Document</w:t>
            </w:r>
            <w:r w:rsidR="00BD0704">
              <w:t xml:space="preserve">, the </w:t>
            </w:r>
            <w:r w:rsidR="002A2F17" w:rsidRPr="00BD0704">
              <w:t xml:space="preserve">Steering Committee is composed of Member States and/or Sector Members from the countries represented by the </w:t>
            </w:r>
            <w:proofErr w:type="spellStart"/>
            <w:r w:rsidR="002A2F17" w:rsidRPr="00BD0704">
              <w:t>CoEs</w:t>
            </w:r>
            <w:proofErr w:type="spellEnd"/>
            <w:r w:rsidR="002A2F17" w:rsidRPr="00BD0704">
              <w:t xml:space="preserve"> in each region, two regional representatives of </w:t>
            </w:r>
            <w:r w:rsidR="00D86ECA">
              <w:t xml:space="preserve">the </w:t>
            </w:r>
            <w:r w:rsidR="00D86ECA" w:rsidRPr="00D86ECA">
              <w:t xml:space="preserve">Group on Capacity Building Initiatives </w:t>
            </w:r>
            <w:r w:rsidR="00D86ECA">
              <w:t>(</w:t>
            </w:r>
            <w:r w:rsidR="002A2F17" w:rsidRPr="00BD0704">
              <w:t>GCBI</w:t>
            </w:r>
            <w:r w:rsidR="00D86ECA">
              <w:t>)</w:t>
            </w:r>
            <w:r w:rsidR="002A2F17" w:rsidRPr="00BD0704">
              <w:t>, ITU</w:t>
            </w:r>
            <w:r w:rsidR="00D86ECA">
              <w:t xml:space="preserve"> representative(s)</w:t>
            </w:r>
            <w:r w:rsidR="002A2F17" w:rsidRPr="00BD0704">
              <w:t xml:space="preserve"> and two additional representatives from the regional Member States chosen by ITU based on their request. In this context </w:t>
            </w:r>
            <w:r w:rsidR="0038222D" w:rsidRPr="00BD0704">
              <w:t>ITU would like to call upon interested ITU Members, who would like to be a part of the Steering Committee</w:t>
            </w:r>
            <w:r w:rsidR="00BD0704">
              <w:t>,</w:t>
            </w:r>
            <w:r w:rsidR="0038222D" w:rsidRPr="00BD0704">
              <w:t xml:space="preserve"> to express their interest </w:t>
            </w:r>
            <w:r w:rsidR="0038222D" w:rsidRPr="00BD0704">
              <w:rPr>
                <w:b/>
                <w:bCs/>
              </w:rPr>
              <w:t xml:space="preserve">by </w:t>
            </w:r>
            <w:r w:rsidR="001804A6">
              <w:rPr>
                <w:b/>
                <w:bCs/>
              </w:rPr>
              <w:t>1</w:t>
            </w:r>
            <w:r w:rsidR="0087780C">
              <w:rPr>
                <w:b/>
                <w:bCs/>
              </w:rPr>
              <w:t>5</w:t>
            </w:r>
            <w:r w:rsidR="0038222D" w:rsidRPr="00BD0704">
              <w:rPr>
                <w:b/>
                <w:bCs/>
              </w:rPr>
              <w:t xml:space="preserve"> </w:t>
            </w:r>
            <w:r w:rsidR="009013D3">
              <w:rPr>
                <w:b/>
                <w:bCs/>
              </w:rPr>
              <w:t>December</w:t>
            </w:r>
            <w:r w:rsidR="0087780C">
              <w:rPr>
                <w:b/>
                <w:bCs/>
              </w:rPr>
              <w:t xml:space="preserve"> 2016</w:t>
            </w:r>
            <w:r w:rsidR="0038222D" w:rsidRPr="00BD0704">
              <w:t>.</w:t>
            </w:r>
            <w:r w:rsidR="0038222D">
              <w:t xml:space="preserve"> </w:t>
            </w:r>
            <w:r w:rsidR="00C63FF2">
              <w:t xml:space="preserve">The </w:t>
            </w:r>
            <w:r w:rsidR="0038222D">
              <w:t xml:space="preserve">Draft Agenda is </w:t>
            </w:r>
            <w:r w:rsidR="00244E85">
              <w:t>attached for your information (</w:t>
            </w:r>
            <w:r w:rsidR="0038222D">
              <w:t>Annex 1</w:t>
            </w:r>
            <w:r w:rsidR="00244E85">
              <w:t>)</w:t>
            </w:r>
            <w:r w:rsidR="0038222D">
              <w:t xml:space="preserve">, while </w:t>
            </w:r>
            <w:r w:rsidR="00655CF8">
              <w:t>other documents such as</w:t>
            </w:r>
            <w:r w:rsidR="00C63FF2">
              <w:t xml:space="preserve"> the</w:t>
            </w:r>
            <w:r w:rsidR="00655CF8">
              <w:t xml:space="preserve"> Registration form, Practical information for participants and other</w:t>
            </w:r>
            <w:r w:rsidR="0038222D">
              <w:t xml:space="preserve"> details will be available at </w:t>
            </w:r>
            <w:hyperlink r:id="rId9" w:history="1">
              <w:r w:rsidR="007767A6" w:rsidRPr="00D777F0">
                <w:rPr>
                  <w:rStyle w:val="Hyperlink"/>
                  <w:rFonts w:cs="Traditional Arabic"/>
                </w:rPr>
                <w:t>http://www.itu.int/en/ITU-D/Regional-Presence/Europe/Pages/Events/2017/3rdSC.aspx</w:t>
              </w:r>
            </w:hyperlink>
            <w:r w:rsidR="007767A6">
              <w:t xml:space="preserve"> </w:t>
            </w:r>
            <w:r w:rsidR="0038222D">
              <w:t xml:space="preserve">and </w:t>
            </w:r>
            <w:hyperlink r:id="rId10" w:history="1">
              <w:r w:rsidR="007767A6" w:rsidRPr="00D777F0">
                <w:rPr>
                  <w:rStyle w:val="Hyperlink"/>
                </w:rPr>
                <w:t>http://academy.itu.int</w:t>
              </w:r>
            </w:hyperlink>
            <w:r w:rsidR="0038222D">
              <w:t>.</w:t>
            </w:r>
          </w:p>
          <w:p w:rsidR="00244E85" w:rsidRDefault="0038222D" w:rsidP="00117BB4">
            <w:pPr>
              <w:ind w:right="134"/>
            </w:pPr>
            <w:r>
              <w:lastRenderedPageBreak/>
              <w:t xml:space="preserve">The meeting will be held at the </w:t>
            </w:r>
            <w:r>
              <w:rPr>
                <w:b/>
                <w:bCs/>
              </w:rPr>
              <w:t>European Communications Office</w:t>
            </w:r>
            <w:r>
              <w:t xml:space="preserve"> and does not entail any fees.</w:t>
            </w:r>
            <w:r w:rsidR="00371C32">
              <w:t xml:space="preserve"> </w:t>
            </w:r>
            <w:r w:rsidR="00182005">
              <w:t>This m</w:t>
            </w:r>
            <w:r w:rsidR="0018324E">
              <w:t xml:space="preserve">eeting will be held in English </w:t>
            </w:r>
            <w:r w:rsidR="00182005">
              <w:t xml:space="preserve">only </w:t>
            </w:r>
            <w:r w:rsidR="0018324E">
              <w:t xml:space="preserve">and will be paperless. </w:t>
            </w:r>
          </w:p>
          <w:p w:rsidR="00244E85" w:rsidRDefault="0038222D" w:rsidP="00FC0D8F">
            <w:pPr>
              <w:ind w:right="134"/>
            </w:pPr>
            <w:r>
              <w:t>Interested participants are re</w:t>
            </w:r>
            <w:r w:rsidR="00655CF8">
              <w:t>quested to complete the R</w:t>
            </w:r>
            <w:r>
              <w:t>egistr</w:t>
            </w:r>
            <w:r w:rsidR="00655CF8">
              <w:t>ation form available on the aforementioned website</w:t>
            </w:r>
            <w:r w:rsidR="00244E85">
              <w:t xml:space="preserve"> and return it</w:t>
            </w:r>
            <w:r>
              <w:t xml:space="preserve"> to </w:t>
            </w:r>
            <w:proofErr w:type="spellStart"/>
            <w:r>
              <w:t>Ms</w:t>
            </w:r>
            <w:proofErr w:type="spellEnd"/>
            <w:r>
              <w:t xml:space="preserve"> </w:t>
            </w:r>
            <w:r w:rsidR="00FC0D8F">
              <w:t>Ilaha</w:t>
            </w:r>
            <w:r>
              <w:t xml:space="preserve"> </w:t>
            </w:r>
            <w:r w:rsidR="00FC0D8F">
              <w:t>Rzayeva (</w:t>
            </w:r>
            <w:hyperlink r:id="rId11" w:history="1">
              <w:r w:rsidR="00FC0D8F" w:rsidRPr="00CF2085">
                <w:rPr>
                  <w:rStyle w:val="Hyperlink"/>
                  <w:rFonts w:cs="Traditional Arabic"/>
                </w:rPr>
                <w:t>Ilaha.rzayeva@itu.int</w:t>
              </w:r>
            </w:hyperlink>
            <w:r w:rsidR="00FC0D8F">
              <w:t xml:space="preserve">) </w:t>
            </w:r>
            <w:r w:rsidR="00244E85">
              <w:t xml:space="preserve"> no later than</w:t>
            </w:r>
            <w:r>
              <w:t xml:space="preserve"> </w:t>
            </w:r>
            <w:r w:rsidR="001804A6" w:rsidRPr="001804A6">
              <w:rPr>
                <w:b/>
                <w:bCs/>
              </w:rPr>
              <w:t>15</w:t>
            </w:r>
            <w:r w:rsidR="00244E85">
              <w:rPr>
                <w:b/>
                <w:bCs/>
              </w:rPr>
              <w:t xml:space="preserve"> </w:t>
            </w:r>
            <w:r w:rsidR="00655CF8">
              <w:rPr>
                <w:b/>
                <w:bCs/>
              </w:rPr>
              <w:t>December</w:t>
            </w:r>
            <w:r w:rsidR="00244E85">
              <w:rPr>
                <w:b/>
                <w:bCs/>
              </w:rPr>
              <w:t xml:space="preserve"> 201</w:t>
            </w:r>
            <w:r w:rsidR="001804A6">
              <w:rPr>
                <w:b/>
                <w:bCs/>
              </w:rPr>
              <w:t>6</w:t>
            </w:r>
            <w:r w:rsidR="00244E85">
              <w:t xml:space="preserve"> </w:t>
            </w:r>
            <w:r>
              <w:t xml:space="preserve">with </w:t>
            </w:r>
            <w:r w:rsidR="00244E85">
              <w:t xml:space="preserve">a </w:t>
            </w:r>
            <w:r>
              <w:t xml:space="preserve">copy to </w:t>
            </w:r>
            <w:proofErr w:type="spellStart"/>
            <w:r w:rsidR="00FE61AC">
              <w:t>Mr</w:t>
            </w:r>
            <w:proofErr w:type="spellEnd"/>
            <w:r w:rsidR="00FE61AC">
              <w:t xml:space="preserve"> </w:t>
            </w:r>
            <w:r w:rsidR="00B41230">
              <w:t xml:space="preserve">Jaroslaw </w:t>
            </w:r>
            <w:r w:rsidR="00FE61AC">
              <w:t>Ponder,</w:t>
            </w:r>
            <w:r w:rsidR="009013D3">
              <w:t xml:space="preserve"> </w:t>
            </w:r>
            <w:r w:rsidR="00FE61AC">
              <w:t>Coordinator</w:t>
            </w:r>
            <w:r w:rsidR="00E51441">
              <w:t xml:space="preserve"> for Europe Region</w:t>
            </w:r>
            <w:r>
              <w:t xml:space="preserve"> (</w:t>
            </w:r>
            <w:hyperlink r:id="rId12" w:history="1">
              <w:r w:rsidR="00FE61AC" w:rsidRPr="00973FAE">
                <w:rPr>
                  <w:rStyle w:val="Hyperlink"/>
                </w:rPr>
                <w:t>eurregion@itu.int</w:t>
              </w:r>
            </w:hyperlink>
            <w:r w:rsidR="00FE61AC">
              <w:t>; +41 22 730 60 65</w:t>
            </w:r>
            <w:r>
              <w:t xml:space="preserve">), </w:t>
            </w:r>
            <w:r w:rsidR="00FE61AC">
              <w:t xml:space="preserve">who </w:t>
            </w:r>
            <w:r>
              <w:t xml:space="preserve">remains at your disposal should you require any further information.  </w:t>
            </w:r>
          </w:p>
          <w:p w:rsidR="005A05C0" w:rsidRPr="000A4200" w:rsidRDefault="005A05C0" w:rsidP="00A6543E">
            <w:pPr>
              <w:tabs>
                <w:tab w:val="left" w:pos="10340"/>
              </w:tabs>
              <w:jc w:val="both"/>
              <w:rPr>
                <w:rFonts w:asciiTheme="minorHAnsi" w:hAnsiTheme="minorHAnsi" w:cstheme="minorHAnsi"/>
                <w:szCs w:val="22"/>
                <w:lang w:bidi="ar-EG"/>
              </w:rPr>
            </w:pPr>
            <w:r w:rsidRPr="000A4200">
              <w:rPr>
                <w:rFonts w:asciiTheme="minorHAnsi" w:hAnsiTheme="minorHAnsi" w:cstheme="minorHAnsi"/>
                <w:szCs w:val="22"/>
                <w:lang w:bidi="ar-EG"/>
              </w:rPr>
              <w:t xml:space="preserve">Although there is no participation fee for this meeting, please note that all expenses concerning travel, accommodation and insurance of </w:t>
            </w:r>
            <w:r w:rsidR="00117BB4">
              <w:rPr>
                <w:rFonts w:asciiTheme="minorHAnsi" w:hAnsiTheme="minorHAnsi" w:cstheme="minorHAnsi"/>
                <w:szCs w:val="22"/>
                <w:lang w:bidi="ar-EG"/>
              </w:rPr>
              <w:t xml:space="preserve">participants </w:t>
            </w:r>
            <w:r w:rsidRPr="000A4200">
              <w:rPr>
                <w:rFonts w:asciiTheme="minorHAnsi" w:hAnsiTheme="minorHAnsi" w:cstheme="minorHAnsi"/>
                <w:szCs w:val="22"/>
                <w:lang w:bidi="ar-EG"/>
              </w:rPr>
              <w:t xml:space="preserve">should be covered by your Administration / Organization / Company.  </w:t>
            </w:r>
          </w:p>
          <w:p w:rsidR="0038222D" w:rsidRDefault="00117BB4" w:rsidP="00117BB4">
            <w:r>
              <w:t>P</w:t>
            </w:r>
            <w:r w:rsidR="0038222D">
              <w:t>articipants requiring an entry visa to Denmark are requested to contact their local Embassy of Denmark for information well in</w:t>
            </w:r>
            <w:r w:rsidR="00244E85">
              <w:t xml:space="preserve"> advance. For ease of reference</w:t>
            </w:r>
            <w:r>
              <w:t>,</w:t>
            </w:r>
            <w:r w:rsidR="0038222D">
              <w:t xml:space="preserve"> information </w:t>
            </w:r>
            <w:r w:rsidR="00103803">
              <w:t xml:space="preserve">on venue </w:t>
            </w:r>
            <w:r w:rsidR="0038222D">
              <w:t xml:space="preserve">is attached in Annex </w:t>
            </w:r>
            <w:r w:rsidR="00AF2E43">
              <w:t>2</w:t>
            </w:r>
            <w:r w:rsidR="0038222D">
              <w:t>.</w:t>
            </w:r>
          </w:p>
          <w:p w:rsidR="0038222D" w:rsidRDefault="0038222D" w:rsidP="0038222D">
            <w:pPr>
              <w:spacing w:line="288" w:lineRule="auto"/>
              <w:ind w:right="697"/>
            </w:pPr>
            <w:r>
              <w:t>I look forward to your participation.</w:t>
            </w:r>
          </w:p>
          <w:p w:rsidR="0038222D" w:rsidRDefault="0038222D" w:rsidP="0038222D">
            <w:pPr>
              <w:spacing w:line="288" w:lineRule="auto"/>
              <w:ind w:right="697"/>
            </w:pPr>
            <w:r>
              <w:t>Yours faithfully,</w:t>
            </w:r>
          </w:p>
          <w:p w:rsidR="0038222D" w:rsidRDefault="0038222D" w:rsidP="0038222D">
            <w:pPr>
              <w:spacing w:line="288" w:lineRule="auto"/>
              <w:ind w:right="697"/>
            </w:pPr>
          </w:p>
          <w:p w:rsidR="00BD0704" w:rsidRDefault="00BD0704" w:rsidP="0038222D">
            <w:pPr>
              <w:spacing w:line="288" w:lineRule="auto"/>
              <w:ind w:right="697"/>
            </w:pPr>
          </w:p>
          <w:p w:rsidR="00983086" w:rsidRDefault="00D6744E" w:rsidP="0038222D">
            <w:pPr>
              <w:spacing w:line="288" w:lineRule="auto"/>
              <w:ind w:right="697"/>
            </w:pPr>
            <w:r>
              <w:t>[Original signed]</w:t>
            </w:r>
            <w:bookmarkStart w:id="5" w:name="_GoBack"/>
            <w:bookmarkEnd w:id="5"/>
          </w:p>
          <w:p w:rsidR="00983086" w:rsidRDefault="00983086" w:rsidP="0038222D">
            <w:pPr>
              <w:spacing w:line="288" w:lineRule="auto"/>
              <w:ind w:right="697"/>
            </w:pPr>
          </w:p>
          <w:p w:rsidR="00103803" w:rsidRDefault="00103803" w:rsidP="0038222D">
            <w:pPr>
              <w:spacing w:line="288" w:lineRule="auto"/>
              <w:ind w:right="697"/>
            </w:pPr>
          </w:p>
          <w:p w:rsidR="00BC4024" w:rsidRDefault="005158F5" w:rsidP="00513023">
            <w:pPr>
              <w:ind w:right="697"/>
            </w:pPr>
            <w:r>
              <w:t>Brahima Sanou</w:t>
            </w:r>
            <w:r w:rsidR="0038222D">
              <w:t xml:space="preserve"> </w:t>
            </w:r>
            <w:r w:rsidR="00103803">
              <w:br/>
            </w:r>
            <w:r>
              <w:t>Director</w:t>
            </w:r>
          </w:p>
          <w:p w:rsidR="00BC4024" w:rsidRDefault="00BC4024" w:rsidP="00513023">
            <w:pPr>
              <w:ind w:right="697"/>
            </w:pPr>
          </w:p>
          <w:p w:rsidR="00BC4024" w:rsidRDefault="00BC4024" w:rsidP="00513023">
            <w:pPr>
              <w:ind w:right="697"/>
            </w:pPr>
          </w:p>
          <w:p w:rsidR="007B29D4" w:rsidRPr="00F67039" w:rsidRDefault="00BC4024" w:rsidP="00BC4024">
            <w:pPr>
              <w:tabs>
                <w:tab w:val="left" w:pos="2388"/>
              </w:tabs>
              <w:ind w:right="697"/>
              <w:rPr>
                <w:rFonts w:asciiTheme="minorHAnsi" w:hAnsiTheme="minorHAnsi"/>
                <w:szCs w:val="22"/>
              </w:rPr>
            </w:pPr>
            <w:r>
              <w:tab/>
            </w:r>
            <w:r>
              <w:br/>
            </w:r>
            <w:r w:rsidR="006956F9">
              <w:br/>
            </w:r>
          </w:p>
        </w:tc>
      </w:tr>
      <w:tr w:rsidR="00BC4024" w:rsidRPr="000A4200" w:rsidTr="00F67039">
        <w:trPr>
          <w:jc w:val="center"/>
        </w:trPr>
        <w:tc>
          <w:tcPr>
            <w:tcW w:w="10048" w:type="dxa"/>
            <w:gridSpan w:val="5"/>
          </w:tcPr>
          <w:p w:rsidR="00BC4024" w:rsidRPr="000A4200" w:rsidRDefault="00BC4024" w:rsidP="0038222D">
            <w:pPr>
              <w:pStyle w:val="BDTOpening"/>
              <w:rPr>
                <w:rFonts w:asciiTheme="minorHAnsi" w:hAnsiTheme="minorHAnsi"/>
              </w:rPr>
            </w:pPr>
          </w:p>
        </w:tc>
      </w:tr>
    </w:tbl>
    <w:p w:rsidR="003E051F" w:rsidRDefault="003E051F">
      <w:pPr>
        <w:spacing w:before="0" w:after="0"/>
        <w:rPr>
          <w:rFonts w:asciiTheme="minorHAnsi" w:hAnsiTheme="minorHAnsi"/>
          <w:szCs w:val="22"/>
        </w:rPr>
      </w:pPr>
      <w:r w:rsidRPr="00555AF3">
        <w:rPr>
          <w:rFonts w:asciiTheme="minorHAnsi" w:hAnsiTheme="minorHAnsi"/>
          <w:szCs w:val="22"/>
        </w:rPr>
        <w:br w:type="page"/>
      </w:r>
    </w:p>
    <w:p w:rsidR="001804A6" w:rsidRPr="00513023" w:rsidRDefault="001804A6" w:rsidP="001804A6">
      <w:pPr>
        <w:jc w:val="center"/>
        <w:rPr>
          <w:rFonts w:asciiTheme="majorHAnsi" w:hAnsiTheme="majorHAnsi"/>
          <w:b/>
          <w:sz w:val="28"/>
          <w:szCs w:val="28"/>
        </w:rPr>
      </w:pPr>
      <w:r w:rsidRPr="00513023">
        <w:rPr>
          <w:rFonts w:asciiTheme="majorHAnsi" w:hAnsiTheme="majorHAnsi"/>
          <w:b/>
          <w:sz w:val="28"/>
          <w:szCs w:val="28"/>
        </w:rPr>
        <w:lastRenderedPageBreak/>
        <w:t>Annex 1</w:t>
      </w:r>
    </w:p>
    <w:p w:rsidR="000D29D1" w:rsidRPr="000D29D1" w:rsidRDefault="000D29D1" w:rsidP="000D29D1">
      <w:pPr>
        <w:spacing w:before="0" w:after="0"/>
        <w:jc w:val="center"/>
        <w:rPr>
          <w:rFonts w:asciiTheme="minorHAnsi" w:hAnsiTheme="minorHAnsi"/>
          <w:sz w:val="40"/>
          <w:szCs w:val="40"/>
        </w:rPr>
      </w:pPr>
    </w:p>
    <w:tbl>
      <w:tblPr>
        <w:tblW w:w="9758" w:type="dxa"/>
        <w:jc w:val="center"/>
        <w:tblLayout w:type="fixed"/>
        <w:tblLook w:val="00A0" w:firstRow="1" w:lastRow="0" w:firstColumn="1" w:lastColumn="0" w:noHBand="0" w:noVBand="0"/>
        <w:tblCaption w:val="/"/>
      </w:tblPr>
      <w:tblGrid>
        <w:gridCol w:w="2261"/>
        <w:gridCol w:w="7497"/>
      </w:tblGrid>
      <w:tr w:rsidR="00C85867" w:rsidRPr="000A4200" w:rsidTr="001804A6">
        <w:trPr>
          <w:trHeight w:val="1302"/>
          <w:jc w:val="center"/>
        </w:trPr>
        <w:tc>
          <w:tcPr>
            <w:tcW w:w="2261" w:type="dxa"/>
            <w:tcMar>
              <w:top w:w="142" w:type="dxa"/>
              <w:bottom w:w="142" w:type="dxa"/>
            </w:tcMar>
          </w:tcPr>
          <w:p w:rsidR="00C85867" w:rsidRPr="0093287B" w:rsidRDefault="00C85867" w:rsidP="001804A6">
            <w:pPr>
              <w:autoSpaceDE w:val="0"/>
              <w:spacing w:before="0"/>
              <w:jc w:val="center"/>
              <w:rPr>
                <w:rFonts w:eastAsia="SimHei" w:cs="Simplified Arabic"/>
                <w:noProof/>
                <w:szCs w:val="28"/>
                <w:lang w:eastAsia="fr-CH"/>
              </w:rPr>
            </w:pPr>
            <w:r w:rsidRPr="0093287B">
              <w:rPr>
                <w:rFonts w:eastAsia="SimHei" w:cs="Simplified Arabic"/>
                <w:noProof/>
                <w:szCs w:val="28"/>
                <w:lang w:val="en-GB" w:eastAsia="zh-CN"/>
              </w:rPr>
              <w:drawing>
                <wp:anchor distT="0" distB="0" distL="114300" distR="114300" simplePos="0" relativeHeight="251656704" behindDoc="0" locked="0" layoutInCell="1" allowOverlap="1">
                  <wp:simplePos x="0" y="0"/>
                  <wp:positionH relativeFrom="column">
                    <wp:posOffset>154305</wp:posOffset>
                  </wp:positionH>
                  <wp:positionV relativeFrom="paragraph">
                    <wp:posOffset>-184785</wp:posOffset>
                  </wp:positionV>
                  <wp:extent cx="1076325" cy="1172787"/>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172787"/>
                          </a:xfrm>
                          <a:prstGeom prst="rect">
                            <a:avLst/>
                          </a:prstGeom>
                          <a:noFill/>
                          <a:ln>
                            <a:noFill/>
                          </a:ln>
                        </pic:spPr>
                      </pic:pic>
                    </a:graphicData>
                  </a:graphic>
                </wp:anchor>
              </w:drawing>
            </w:r>
          </w:p>
        </w:tc>
        <w:tc>
          <w:tcPr>
            <w:tcW w:w="7497" w:type="dxa"/>
          </w:tcPr>
          <w:p w:rsidR="001804A6" w:rsidRPr="001804A6" w:rsidRDefault="001365C7" w:rsidP="001365C7">
            <w:pPr>
              <w:rPr>
                <w:rFonts w:asciiTheme="majorHAnsi" w:hAnsiTheme="majorHAnsi"/>
                <w:b/>
                <w:sz w:val="40"/>
                <w:szCs w:val="40"/>
              </w:rPr>
            </w:pPr>
            <w:r>
              <w:rPr>
                <w:rFonts w:asciiTheme="majorHAnsi" w:hAnsiTheme="majorHAnsi"/>
                <w:b/>
                <w:sz w:val="40"/>
                <w:szCs w:val="40"/>
              </w:rPr>
              <w:t>3rd</w:t>
            </w:r>
            <w:r w:rsidR="001804A6" w:rsidRPr="001804A6">
              <w:rPr>
                <w:rFonts w:asciiTheme="majorHAnsi" w:hAnsiTheme="majorHAnsi"/>
                <w:b/>
                <w:sz w:val="40"/>
                <w:szCs w:val="40"/>
              </w:rPr>
              <w:t xml:space="preserve"> ITU Europe </w:t>
            </w:r>
            <w:proofErr w:type="spellStart"/>
            <w:r w:rsidR="001804A6" w:rsidRPr="001804A6">
              <w:rPr>
                <w:rFonts w:asciiTheme="majorHAnsi" w:hAnsiTheme="majorHAnsi"/>
                <w:b/>
                <w:sz w:val="40"/>
                <w:szCs w:val="40"/>
              </w:rPr>
              <w:t>Centres</w:t>
            </w:r>
            <w:proofErr w:type="spellEnd"/>
            <w:r w:rsidR="001804A6" w:rsidRPr="001804A6">
              <w:rPr>
                <w:rFonts w:asciiTheme="majorHAnsi" w:hAnsiTheme="majorHAnsi"/>
                <w:b/>
                <w:sz w:val="40"/>
                <w:szCs w:val="40"/>
              </w:rPr>
              <w:t xml:space="preserve"> of Excellence </w:t>
            </w:r>
          </w:p>
          <w:p w:rsidR="001804A6" w:rsidRPr="001804A6" w:rsidRDefault="001804A6" w:rsidP="001804A6">
            <w:pPr>
              <w:rPr>
                <w:rFonts w:asciiTheme="majorHAnsi" w:hAnsiTheme="majorHAnsi"/>
                <w:b/>
                <w:sz w:val="40"/>
                <w:szCs w:val="40"/>
              </w:rPr>
            </w:pPr>
            <w:r w:rsidRPr="001804A6">
              <w:rPr>
                <w:rFonts w:asciiTheme="majorHAnsi" w:hAnsiTheme="majorHAnsi"/>
                <w:b/>
                <w:sz w:val="40"/>
                <w:szCs w:val="40"/>
              </w:rPr>
              <w:t>Steering Committee Meeting</w:t>
            </w:r>
          </w:p>
          <w:p w:rsidR="00C85867" w:rsidRPr="0093287B" w:rsidRDefault="00C85867" w:rsidP="002E4539">
            <w:pPr>
              <w:spacing w:before="0"/>
              <w:jc w:val="right"/>
              <w:rPr>
                <w:rFonts w:eastAsia="SimHei" w:cs="Simplified Arabic"/>
                <w:noProof/>
                <w:szCs w:val="28"/>
                <w:lang w:eastAsia="fr-CH"/>
              </w:rPr>
            </w:pPr>
          </w:p>
        </w:tc>
      </w:tr>
      <w:tr w:rsidR="00C85867" w:rsidRPr="009D5190" w:rsidTr="001804A6">
        <w:tblPrEx>
          <w:tblLook w:val="01E0" w:firstRow="1" w:lastRow="1" w:firstColumn="1" w:lastColumn="1" w:noHBand="0" w:noVBand="0"/>
        </w:tblPrEx>
        <w:trPr>
          <w:jc w:val="center"/>
        </w:trPr>
        <w:tc>
          <w:tcPr>
            <w:tcW w:w="9758" w:type="dxa"/>
            <w:gridSpan w:val="2"/>
            <w:vAlign w:val="center"/>
          </w:tcPr>
          <w:p w:rsidR="00C85867" w:rsidRPr="005A05C0" w:rsidRDefault="00C85867" w:rsidP="001804A6">
            <w:pPr>
              <w:jc w:val="center"/>
              <w:rPr>
                <w:rFonts w:asciiTheme="majorHAnsi" w:hAnsiTheme="majorHAnsi"/>
                <w:b/>
                <w:sz w:val="28"/>
                <w:szCs w:val="28"/>
              </w:rPr>
            </w:pPr>
            <w:r>
              <w:rPr>
                <w:rFonts w:asciiTheme="majorHAnsi" w:hAnsiTheme="majorHAnsi"/>
                <w:b/>
                <w:sz w:val="28"/>
                <w:szCs w:val="28"/>
              </w:rPr>
              <w:t>1</w:t>
            </w:r>
            <w:r w:rsidR="001804A6">
              <w:rPr>
                <w:rFonts w:asciiTheme="majorHAnsi" w:hAnsiTheme="majorHAnsi"/>
                <w:b/>
                <w:sz w:val="28"/>
                <w:szCs w:val="28"/>
              </w:rPr>
              <w:t>7</w:t>
            </w:r>
            <w:r>
              <w:rPr>
                <w:rFonts w:asciiTheme="majorHAnsi" w:hAnsiTheme="majorHAnsi"/>
                <w:b/>
                <w:sz w:val="28"/>
                <w:szCs w:val="28"/>
              </w:rPr>
              <w:t xml:space="preserve"> January 201</w:t>
            </w:r>
            <w:r w:rsidR="001804A6">
              <w:rPr>
                <w:rFonts w:asciiTheme="majorHAnsi" w:hAnsiTheme="majorHAnsi"/>
                <w:b/>
                <w:sz w:val="28"/>
                <w:szCs w:val="28"/>
              </w:rPr>
              <w:t>7</w:t>
            </w:r>
            <w:r>
              <w:rPr>
                <w:rFonts w:asciiTheme="majorHAnsi" w:hAnsiTheme="majorHAnsi"/>
                <w:b/>
                <w:sz w:val="28"/>
                <w:szCs w:val="28"/>
              </w:rPr>
              <w:t>, 9:</w:t>
            </w:r>
            <w:r w:rsidR="001804A6">
              <w:rPr>
                <w:rFonts w:asciiTheme="majorHAnsi" w:hAnsiTheme="majorHAnsi"/>
                <w:b/>
                <w:sz w:val="28"/>
                <w:szCs w:val="28"/>
              </w:rPr>
              <w:t>30</w:t>
            </w:r>
            <w:r>
              <w:rPr>
                <w:rFonts w:asciiTheme="majorHAnsi" w:hAnsiTheme="majorHAnsi"/>
                <w:b/>
                <w:sz w:val="28"/>
                <w:szCs w:val="28"/>
              </w:rPr>
              <w:t xml:space="preserve"> – 18:00</w:t>
            </w:r>
          </w:p>
          <w:p w:rsidR="0087780C" w:rsidRDefault="00C85867" w:rsidP="0087780C">
            <w:pPr>
              <w:jc w:val="center"/>
              <w:rPr>
                <w:rFonts w:asciiTheme="majorHAnsi" w:hAnsiTheme="majorHAnsi"/>
                <w:b/>
                <w:sz w:val="28"/>
                <w:szCs w:val="28"/>
              </w:rPr>
            </w:pPr>
            <w:r>
              <w:rPr>
                <w:rFonts w:asciiTheme="majorHAnsi" w:hAnsiTheme="majorHAnsi"/>
                <w:b/>
                <w:sz w:val="28"/>
                <w:szCs w:val="28"/>
              </w:rPr>
              <w:t xml:space="preserve">ECO, </w:t>
            </w:r>
            <w:r w:rsidRPr="005A05C0">
              <w:rPr>
                <w:rFonts w:asciiTheme="majorHAnsi" w:hAnsiTheme="majorHAnsi"/>
                <w:b/>
                <w:sz w:val="28"/>
                <w:szCs w:val="28"/>
              </w:rPr>
              <w:t>Copenhagen, Denmark</w:t>
            </w:r>
          </w:p>
          <w:p w:rsidR="0087780C" w:rsidRPr="00BD0704" w:rsidRDefault="0087780C" w:rsidP="0087780C">
            <w:pPr>
              <w:pBdr>
                <w:bottom w:val="single" w:sz="4" w:space="1" w:color="auto"/>
              </w:pBdr>
            </w:pPr>
          </w:p>
          <w:p w:rsidR="0087780C" w:rsidRPr="00BD0704" w:rsidRDefault="0087780C" w:rsidP="0087780C">
            <w:pPr>
              <w:rPr>
                <w:b/>
                <w:color w:val="000000"/>
                <w:u w:val="single"/>
              </w:rPr>
            </w:pPr>
          </w:p>
          <w:p w:rsidR="00C85867" w:rsidRPr="00513023" w:rsidRDefault="00C85867" w:rsidP="002E4539">
            <w:pPr>
              <w:jc w:val="center"/>
              <w:rPr>
                <w:rFonts w:asciiTheme="majorHAnsi" w:hAnsiTheme="majorHAnsi"/>
                <w:b/>
                <w:sz w:val="28"/>
                <w:szCs w:val="28"/>
              </w:rPr>
            </w:pPr>
            <w:r w:rsidRPr="00513023">
              <w:rPr>
                <w:rFonts w:asciiTheme="majorHAnsi" w:hAnsiTheme="majorHAnsi"/>
                <w:b/>
                <w:sz w:val="28"/>
                <w:szCs w:val="28"/>
              </w:rPr>
              <w:t>DRAFT AGENDA</w:t>
            </w:r>
            <w:r w:rsidRPr="00513023">
              <w:rPr>
                <w:rFonts w:asciiTheme="majorHAnsi" w:hAnsiTheme="majorHAnsi"/>
                <w:b/>
                <w:sz w:val="28"/>
                <w:szCs w:val="28"/>
              </w:rPr>
              <w:br/>
            </w:r>
          </w:p>
        </w:tc>
      </w:tr>
      <w:tr w:rsidR="00C85867" w:rsidRPr="00BD0704" w:rsidTr="001804A6">
        <w:tblPrEx>
          <w:tblLook w:val="01E0" w:firstRow="1" w:lastRow="1" w:firstColumn="1" w:lastColumn="1" w:noHBand="0" w:noVBand="0"/>
        </w:tblPrEx>
        <w:trPr>
          <w:trHeight w:val="80"/>
          <w:jc w:val="center"/>
        </w:trPr>
        <w:tc>
          <w:tcPr>
            <w:tcW w:w="9758" w:type="dxa"/>
            <w:gridSpan w:val="2"/>
            <w:shd w:val="clear" w:color="auto" w:fill="auto"/>
            <w:vAlign w:val="center"/>
          </w:tcPr>
          <w:p w:rsidR="00C85867" w:rsidRPr="00BD0704" w:rsidRDefault="00C85867" w:rsidP="002E4539">
            <w:pPr>
              <w:pStyle w:val="ListParagraph"/>
              <w:numPr>
                <w:ilvl w:val="0"/>
                <w:numId w:val="12"/>
              </w:numPr>
              <w:rPr>
                <w:rFonts w:asciiTheme="minorHAnsi" w:hAnsiTheme="minorHAnsi"/>
              </w:rPr>
            </w:pPr>
            <w:r>
              <w:rPr>
                <w:rFonts w:asciiTheme="minorHAnsi" w:hAnsiTheme="minorHAnsi"/>
              </w:rPr>
              <w:t>Review and c</w:t>
            </w:r>
            <w:r w:rsidRPr="00BD0704">
              <w:rPr>
                <w:rFonts w:asciiTheme="minorHAnsi" w:hAnsiTheme="minorHAnsi"/>
              </w:rPr>
              <w:t>onfirmation of the members</w:t>
            </w:r>
            <w:r>
              <w:rPr>
                <w:rFonts w:asciiTheme="minorHAnsi" w:hAnsiTheme="minorHAnsi"/>
              </w:rPr>
              <w:t>hip</w:t>
            </w:r>
            <w:r w:rsidRPr="00BD0704">
              <w:rPr>
                <w:rFonts w:asciiTheme="minorHAnsi" w:hAnsiTheme="minorHAnsi"/>
              </w:rPr>
              <w:t xml:space="preserve"> of the Steering Committee</w:t>
            </w:r>
            <w:r w:rsidRPr="00BD0704">
              <w:rPr>
                <w:rFonts w:asciiTheme="minorHAnsi" w:hAnsiTheme="minorHAnsi"/>
              </w:rPr>
              <w:br/>
            </w:r>
          </w:p>
          <w:p w:rsidR="00C85867" w:rsidRPr="00BD0704" w:rsidRDefault="00C85867" w:rsidP="002E4539">
            <w:pPr>
              <w:pStyle w:val="ListParagraph"/>
              <w:numPr>
                <w:ilvl w:val="0"/>
                <w:numId w:val="12"/>
              </w:numPr>
              <w:rPr>
                <w:rFonts w:asciiTheme="minorHAnsi" w:hAnsiTheme="minorHAnsi"/>
              </w:rPr>
            </w:pPr>
            <w:r w:rsidRPr="00BD0704">
              <w:rPr>
                <w:rFonts w:asciiTheme="minorHAnsi" w:hAnsiTheme="minorHAnsi"/>
              </w:rPr>
              <w:t xml:space="preserve">Election of the Chair of the Steering Committee for the coming year </w:t>
            </w:r>
            <w:r w:rsidRPr="00BD0704">
              <w:rPr>
                <w:rFonts w:asciiTheme="minorHAnsi" w:hAnsiTheme="minorHAnsi"/>
              </w:rPr>
              <w:br/>
            </w:r>
          </w:p>
          <w:p w:rsidR="00C85867" w:rsidRPr="00BD0704" w:rsidRDefault="00C85867" w:rsidP="002E4539">
            <w:pPr>
              <w:pStyle w:val="ListParagraph"/>
              <w:numPr>
                <w:ilvl w:val="0"/>
                <w:numId w:val="12"/>
              </w:numPr>
              <w:rPr>
                <w:rFonts w:asciiTheme="minorHAnsi" w:hAnsiTheme="minorHAnsi"/>
              </w:rPr>
            </w:pPr>
            <w:r>
              <w:rPr>
                <w:rFonts w:asciiTheme="minorHAnsi" w:hAnsiTheme="minorHAnsi"/>
              </w:rPr>
              <w:t>Report of the Outgoing Chair of the Steering Committee</w:t>
            </w:r>
            <w:r w:rsidRPr="00BD0704">
              <w:rPr>
                <w:rFonts w:asciiTheme="minorHAnsi" w:hAnsiTheme="minorHAnsi"/>
              </w:rPr>
              <w:br/>
            </w:r>
          </w:p>
          <w:p w:rsidR="00C85867" w:rsidRDefault="00C85867" w:rsidP="002E4539">
            <w:pPr>
              <w:pStyle w:val="ListParagraph"/>
              <w:numPr>
                <w:ilvl w:val="0"/>
                <w:numId w:val="12"/>
              </w:numPr>
              <w:rPr>
                <w:rFonts w:asciiTheme="minorHAnsi" w:hAnsiTheme="minorHAnsi"/>
              </w:rPr>
            </w:pPr>
            <w:r>
              <w:rPr>
                <w:rFonts w:asciiTheme="minorHAnsi" w:hAnsiTheme="minorHAnsi"/>
              </w:rPr>
              <w:t xml:space="preserve">Developments regarding implementation of the </w:t>
            </w:r>
            <w:proofErr w:type="spellStart"/>
            <w:r>
              <w:rPr>
                <w:rFonts w:asciiTheme="minorHAnsi" w:hAnsiTheme="minorHAnsi"/>
              </w:rPr>
              <w:t>CoE</w:t>
            </w:r>
            <w:proofErr w:type="spellEnd"/>
            <w:r>
              <w:rPr>
                <w:rFonts w:asciiTheme="minorHAnsi" w:hAnsiTheme="minorHAnsi"/>
              </w:rPr>
              <w:t xml:space="preserve"> Strategy </w:t>
            </w:r>
          </w:p>
          <w:p w:rsidR="00C85867" w:rsidRDefault="00C85867" w:rsidP="002E4539">
            <w:pPr>
              <w:pStyle w:val="ListParagraph"/>
              <w:ind w:left="1080"/>
              <w:rPr>
                <w:rFonts w:asciiTheme="minorHAnsi" w:hAnsiTheme="minorHAnsi"/>
              </w:rPr>
            </w:pPr>
          </w:p>
          <w:p w:rsidR="00C85867" w:rsidRDefault="00C85867" w:rsidP="002E4539">
            <w:pPr>
              <w:pStyle w:val="ListParagraph"/>
              <w:numPr>
                <w:ilvl w:val="0"/>
                <w:numId w:val="12"/>
              </w:numPr>
              <w:rPr>
                <w:rFonts w:asciiTheme="minorHAnsi" w:hAnsiTheme="minorHAnsi"/>
              </w:rPr>
            </w:pPr>
            <w:r>
              <w:rPr>
                <w:rFonts w:asciiTheme="minorHAnsi" w:hAnsiTheme="minorHAnsi"/>
              </w:rPr>
              <w:t>Developments on the ITU Academy – platform upgrades and training materials</w:t>
            </w:r>
          </w:p>
          <w:p w:rsidR="00C85867" w:rsidRPr="00110F84" w:rsidRDefault="00C85867" w:rsidP="002E4539">
            <w:pPr>
              <w:pStyle w:val="ListParagraph"/>
              <w:rPr>
                <w:rFonts w:asciiTheme="minorHAnsi" w:hAnsiTheme="minorHAnsi"/>
              </w:rPr>
            </w:pPr>
          </w:p>
          <w:p w:rsidR="00C85867" w:rsidRPr="0018324E" w:rsidRDefault="00C85867" w:rsidP="002E4539">
            <w:pPr>
              <w:pStyle w:val="ListParagraph"/>
              <w:numPr>
                <w:ilvl w:val="0"/>
                <w:numId w:val="12"/>
              </w:numPr>
              <w:rPr>
                <w:rFonts w:asciiTheme="minorHAnsi" w:hAnsiTheme="minorHAnsi"/>
              </w:rPr>
            </w:pPr>
            <w:r>
              <w:rPr>
                <w:rFonts w:asciiTheme="minorHAnsi" w:hAnsiTheme="minorHAnsi"/>
              </w:rPr>
              <w:t xml:space="preserve">Presentation by </w:t>
            </w:r>
            <w:proofErr w:type="spellStart"/>
            <w:r>
              <w:rPr>
                <w:rFonts w:asciiTheme="minorHAnsi" w:hAnsiTheme="minorHAnsi"/>
              </w:rPr>
              <w:t>Centres</w:t>
            </w:r>
            <w:proofErr w:type="spellEnd"/>
            <w:r>
              <w:rPr>
                <w:rFonts w:asciiTheme="minorHAnsi" w:hAnsiTheme="minorHAnsi"/>
              </w:rPr>
              <w:t xml:space="preserve"> of Excellence on their actions implemented and planned</w:t>
            </w:r>
            <w:r w:rsidRPr="0018324E">
              <w:rPr>
                <w:rFonts w:asciiTheme="minorHAnsi" w:hAnsiTheme="minorHAnsi"/>
              </w:rPr>
              <w:br/>
            </w:r>
          </w:p>
          <w:p w:rsidR="00C85867" w:rsidRDefault="00C85867" w:rsidP="001804A6">
            <w:pPr>
              <w:pStyle w:val="ListParagraph"/>
              <w:numPr>
                <w:ilvl w:val="0"/>
                <w:numId w:val="12"/>
              </w:numPr>
              <w:rPr>
                <w:rFonts w:asciiTheme="minorHAnsi" w:hAnsiTheme="minorHAnsi"/>
              </w:rPr>
            </w:pPr>
            <w:r w:rsidRPr="00BD0704">
              <w:rPr>
                <w:rFonts w:asciiTheme="minorHAnsi" w:hAnsiTheme="minorHAnsi"/>
              </w:rPr>
              <w:t xml:space="preserve">Establishment of </w:t>
            </w:r>
            <w:r>
              <w:rPr>
                <w:rFonts w:asciiTheme="minorHAnsi" w:hAnsiTheme="minorHAnsi"/>
              </w:rPr>
              <w:t>the 201</w:t>
            </w:r>
            <w:r w:rsidR="001804A6">
              <w:rPr>
                <w:rFonts w:asciiTheme="minorHAnsi" w:hAnsiTheme="minorHAnsi"/>
              </w:rPr>
              <w:t>7</w:t>
            </w:r>
            <w:r w:rsidRPr="00BD0704">
              <w:rPr>
                <w:rFonts w:asciiTheme="minorHAnsi" w:hAnsiTheme="minorHAnsi"/>
              </w:rPr>
              <w:t xml:space="preserve"> annual training plan for Europe</w:t>
            </w:r>
          </w:p>
          <w:p w:rsidR="00C85867" w:rsidRDefault="00C85867" w:rsidP="002E4539">
            <w:pPr>
              <w:pStyle w:val="ListParagraph"/>
              <w:ind w:left="1080"/>
              <w:rPr>
                <w:rFonts w:asciiTheme="minorHAnsi" w:hAnsiTheme="minorHAnsi"/>
              </w:rPr>
            </w:pPr>
          </w:p>
          <w:p w:rsidR="00C85867" w:rsidRPr="00BD0704" w:rsidRDefault="00C85867" w:rsidP="002E4539">
            <w:pPr>
              <w:pStyle w:val="ListParagraph"/>
              <w:numPr>
                <w:ilvl w:val="0"/>
                <w:numId w:val="12"/>
              </w:numPr>
              <w:rPr>
                <w:rFonts w:asciiTheme="minorHAnsi" w:hAnsiTheme="minorHAnsi"/>
              </w:rPr>
            </w:pPr>
            <w:r>
              <w:rPr>
                <w:rFonts w:asciiTheme="minorHAnsi" w:hAnsiTheme="minorHAnsi"/>
              </w:rPr>
              <w:t>P</w:t>
            </w:r>
            <w:r w:rsidRPr="00110F84">
              <w:rPr>
                <w:rFonts w:asciiTheme="minorHAnsi" w:hAnsiTheme="minorHAnsi"/>
              </w:rPr>
              <w:t>ricing strategies and financial procedures</w:t>
            </w:r>
            <w:r w:rsidRPr="00BD0704">
              <w:rPr>
                <w:rFonts w:asciiTheme="minorHAnsi" w:hAnsiTheme="minorHAnsi"/>
              </w:rPr>
              <w:br/>
            </w:r>
          </w:p>
          <w:p w:rsidR="00C85867" w:rsidRPr="00BD0704" w:rsidRDefault="00C85867" w:rsidP="002E4539">
            <w:pPr>
              <w:pStyle w:val="ListParagraph"/>
              <w:numPr>
                <w:ilvl w:val="0"/>
                <w:numId w:val="12"/>
              </w:numPr>
              <w:rPr>
                <w:rFonts w:asciiTheme="minorHAnsi" w:hAnsiTheme="minorHAnsi"/>
              </w:rPr>
            </w:pPr>
            <w:r w:rsidRPr="00BD0704">
              <w:rPr>
                <w:rFonts w:asciiTheme="minorHAnsi" w:hAnsiTheme="minorHAnsi"/>
              </w:rPr>
              <w:t xml:space="preserve">Fostering cooperation between regional </w:t>
            </w:r>
            <w:proofErr w:type="spellStart"/>
            <w:r w:rsidRPr="00BD0704">
              <w:rPr>
                <w:rFonts w:asciiTheme="minorHAnsi" w:hAnsiTheme="minorHAnsi"/>
              </w:rPr>
              <w:t>Centres</w:t>
            </w:r>
            <w:proofErr w:type="spellEnd"/>
            <w:r>
              <w:rPr>
                <w:rFonts w:asciiTheme="minorHAnsi" w:hAnsiTheme="minorHAnsi"/>
              </w:rPr>
              <w:t xml:space="preserve"> of Excellence</w:t>
            </w:r>
            <w:r w:rsidRPr="00BD0704">
              <w:rPr>
                <w:rFonts w:asciiTheme="minorHAnsi" w:hAnsiTheme="minorHAnsi"/>
              </w:rPr>
              <w:br/>
            </w:r>
          </w:p>
          <w:p w:rsidR="00C85867" w:rsidRPr="009013D3" w:rsidRDefault="00C85867" w:rsidP="002E4539">
            <w:pPr>
              <w:pStyle w:val="ListParagraph"/>
              <w:numPr>
                <w:ilvl w:val="0"/>
                <w:numId w:val="12"/>
              </w:numPr>
              <w:rPr>
                <w:rFonts w:asciiTheme="minorHAnsi" w:hAnsiTheme="minorHAnsi"/>
              </w:rPr>
            </w:pPr>
            <w:r w:rsidRPr="00BD0704">
              <w:rPr>
                <w:rFonts w:asciiTheme="minorHAnsi" w:hAnsiTheme="minorHAnsi"/>
              </w:rPr>
              <w:t xml:space="preserve">Assistance in promoting the activities of the </w:t>
            </w:r>
            <w:proofErr w:type="spellStart"/>
            <w:r w:rsidRPr="00BD0704">
              <w:rPr>
                <w:rFonts w:asciiTheme="minorHAnsi" w:hAnsiTheme="minorHAnsi"/>
              </w:rPr>
              <w:t>Centres</w:t>
            </w:r>
            <w:proofErr w:type="spellEnd"/>
            <w:r w:rsidRPr="00BD0704">
              <w:rPr>
                <w:rFonts w:asciiTheme="minorHAnsi" w:hAnsiTheme="minorHAnsi"/>
              </w:rPr>
              <w:t xml:space="preserve"> of Excellence</w:t>
            </w:r>
            <w:r w:rsidRPr="00BD0704">
              <w:rPr>
                <w:rFonts w:asciiTheme="minorHAnsi" w:hAnsiTheme="minorHAnsi"/>
              </w:rPr>
              <w:br/>
            </w:r>
          </w:p>
          <w:p w:rsidR="00C85867" w:rsidRPr="00BD0704" w:rsidRDefault="00C85867" w:rsidP="002E4539">
            <w:pPr>
              <w:pStyle w:val="ListParagraph"/>
              <w:numPr>
                <w:ilvl w:val="0"/>
                <w:numId w:val="12"/>
              </w:numPr>
              <w:rPr>
                <w:rFonts w:asciiTheme="minorHAnsi" w:hAnsiTheme="minorHAnsi"/>
              </w:rPr>
            </w:pPr>
            <w:r w:rsidRPr="00BD0704">
              <w:rPr>
                <w:rFonts w:asciiTheme="minorHAnsi" w:hAnsiTheme="minorHAnsi"/>
              </w:rPr>
              <w:t xml:space="preserve">Date and venue of the next Steering Committee </w:t>
            </w:r>
            <w:r w:rsidRPr="00BD0704">
              <w:rPr>
                <w:rFonts w:asciiTheme="minorHAnsi" w:hAnsiTheme="minorHAnsi"/>
              </w:rPr>
              <w:br/>
            </w:r>
          </w:p>
          <w:p w:rsidR="00C85867" w:rsidRPr="00BD0704" w:rsidRDefault="00C85867" w:rsidP="002E4539">
            <w:pPr>
              <w:pStyle w:val="ListParagraph"/>
              <w:numPr>
                <w:ilvl w:val="0"/>
                <w:numId w:val="12"/>
              </w:numPr>
              <w:rPr>
                <w:rFonts w:asciiTheme="minorHAnsi" w:hAnsiTheme="minorHAnsi"/>
              </w:rPr>
            </w:pPr>
            <w:r>
              <w:rPr>
                <w:rFonts w:asciiTheme="minorHAnsi" w:hAnsiTheme="minorHAnsi"/>
              </w:rPr>
              <w:t>Any o</w:t>
            </w:r>
            <w:r w:rsidRPr="00BD0704">
              <w:rPr>
                <w:rFonts w:asciiTheme="minorHAnsi" w:hAnsiTheme="minorHAnsi"/>
              </w:rPr>
              <w:t>ther business</w:t>
            </w:r>
          </w:p>
          <w:p w:rsidR="00C85867" w:rsidRPr="00BD0704" w:rsidRDefault="00C85867" w:rsidP="002E4539">
            <w:pPr>
              <w:shd w:val="clear" w:color="auto" w:fill="FFFFFF"/>
              <w:jc w:val="center"/>
              <w:rPr>
                <w:rFonts w:asciiTheme="minorHAnsi" w:hAnsiTheme="minorHAnsi"/>
                <w:lang w:val="fr-CH"/>
              </w:rPr>
            </w:pPr>
          </w:p>
        </w:tc>
      </w:tr>
    </w:tbl>
    <w:p w:rsidR="00513023" w:rsidRDefault="00513023">
      <w:pPr>
        <w:spacing w:before="0" w:after="0"/>
        <w:rPr>
          <w:rFonts w:asciiTheme="minorHAnsi" w:hAnsiTheme="minorHAnsi"/>
          <w:szCs w:val="22"/>
        </w:rPr>
      </w:pPr>
      <w:r>
        <w:rPr>
          <w:rFonts w:asciiTheme="minorHAnsi" w:hAnsiTheme="minorHAnsi"/>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13023" w:rsidTr="00513023">
        <w:tc>
          <w:tcPr>
            <w:tcW w:w="9855" w:type="dxa"/>
          </w:tcPr>
          <w:p w:rsidR="00513023" w:rsidRDefault="00513023">
            <w:pPr>
              <w:spacing w:before="0" w:after="0"/>
              <w:rPr>
                <w:szCs w:val="22"/>
              </w:rPr>
            </w:pPr>
          </w:p>
        </w:tc>
      </w:tr>
      <w:tr w:rsidR="00513023" w:rsidTr="00513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87780C" w:rsidRPr="00513023" w:rsidRDefault="00513023" w:rsidP="0087780C">
            <w:pPr>
              <w:jc w:val="center"/>
              <w:rPr>
                <w:rFonts w:asciiTheme="majorHAnsi" w:hAnsiTheme="majorHAnsi"/>
                <w:b/>
                <w:sz w:val="28"/>
                <w:szCs w:val="28"/>
              </w:rPr>
            </w:pPr>
            <w:r w:rsidRPr="006D762C">
              <w:rPr>
                <w:rFonts w:asciiTheme="majorHAnsi" w:hAnsiTheme="majorHAnsi"/>
                <w:b/>
                <w:sz w:val="28"/>
                <w:szCs w:val="28"/>
              </w:rPr>
              <w:t>Annex 2</w:t>
            </w:r>
          </w:p>
          <w:p w:rsidR="0087780C" w:rsidRPr="000D29D1" w:rsidRDefault="0087780C" w:rsidP="0087780C">
            <w:pPr>
              <w:spacing w:before="0" w:after="0"/>
              <w:jc w:val="center"/>
              <w:rPr>
                <w:sz w:val="40"/>
                <w:szCs w:val="40"/>
              </w:rPr>
            </w:pPr>
          </w:p>
          <w:tbl>
            <w:tblPr>
              <w:tblW w:w="9758" w:type="dxa"/>
              <w:jc w:val="center"/>
              <w:tblLook w:val="00A0" w:firstRow="1" w:lastRow="0" w:firstColumn="1" w:lastColumn="0" w:noHBand="0" w:noVBand="0"/>
              <w:tblCaption w:val="/"/>
            </w:tblPr>
            <w:tblGrid>
              <w:gridCol w:w="2261"/>
              <w:gridCol w:w="7497"/>
            </w:tblGrid>
            <w:tr w:rsidR="0087780C" w:rsidRPr="000A4200" w:rsidTr="004D3AEC">
              <w:trPr>
                <w:trHeight w:val="1302"/>
                <w:jc w:val="center"/>
              </w:trPr>
              <w:tc>
                <w:tcPr>
                  <w:tcW w:w="2261" w:type="dxa"/>
                  <w:tcMar>
                    <w:top w:w="142" w:type="dxa"/>
                    <w:bottom w:w="142" w:type="dxa"/>
                  </w:tcMar>
                </w:tcPr>
                <w:p w:rsidR="0087780C" w:rsidRPr="0093287B" w:rsidRDefault="0087780C" w:rsidP="0087780C">
                  <w:pPr>
                    <w:autoSpaceDE w:val="0"/>
                    <w:spacing w:before="0"/>
                    <w:jc w:val="center"/>
                    <w:rPr>
                      <w:rFonts w:eastAsia="SimHei" w:cs="Simplified Arabic"/>
                      <w:noProof/>
                      <w:szCs w:val="28"/>
                      <w:lang w:eastAsia="fr-CH"/>
                    </w:rPr>
                  </w:pPr>
                  <w:r w:rsidRPr="0093287B">
                    <w:rPr>
                      <w:rFonts w:eastAsia="SimHei" w:cs="Simplified Arabic"/>
                      <w:noProof/>
                      <w:szCs w:val="28"/>
                      <w:lang w:val="en-GB" w:eastAsia="zh-CN"/>
                    </w:rPr>
                    <w:drawing>
                      <wp:anchor distT="0" distB="0" distL="114300" distR="114300" simplePos="0" relativeHeight="251657728" behindDoc="0" locked="0" layoutInCell="1" allowOverlap="1" wp14:anchorId="426956A7" wp14:editId="5E2E2D57">
                        <wp:simplePos x="0" y="0"/>
                        <wp:positionH relativeFrom="column">
                          <wp:posOffset>154305</wp:posOffset>
                        </wp:positionH>
                        <wp:positionV relativeFrom="paragraph">
                          <wp:posOffset>-184785</wp:posOffset>
                        </wp:positionV>
                        <wp:extent cx="1076325" cy="1172787"/>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172787"/>
                                </a:xfrm>
                                <a:prstGeom prst="rect">
                                  <a:avLst/>
                                </a:prstGeom>
                                <a:noFill/>
                                <a:ln>
                                  <a:noFill/>
                                </a:ln>
                              </pic:spPr>
                            </pic:pic>
                          </a:graphicData>
                        </a:graphic>
                      </wp:anchor>
                    </w:drawing>
                  </w:r>
                </w:p>
              </w:tc>
              <w:tc>
                <w:tcPr>
                  <w:tcW w:w="7497" w:type="dxa"/>
                </w:tcPr>
                <w:p w:rsidR="0087780C" w:rsidRPr="001804A6" w:rsidRDefault="001365C7" w:rsidP="001365C7">
                  <w:pPr>
                    <w:rPr>
                      <w:rFonts w:asciiTheme="majorHAnsi" w:hAnsiTheme="majorHAnsi"/>
                      <w:b/>
                      <w:sz w:val="40"/>
                      <w:szCs w:val="40"/>
                    </w:rPr>
                  </w:pPr>
                  <w:r>
                    <w:rPr>
                      <w:rFonts w:asciiTheme="majorHAnsi" w:hAnsiTheme="majorHAnsi"/>
                      <w:b/>
                      <w:sz w:val="40"/>
                      <w:szCs w:val="40"/>
                    </w:rPr>
                    <w:t>3rd</w:t>
                  </w:r>
                  <w:r w:rsidR="0087780C" w:rsidRPr="001804A6">
                    <w:rPr>
                      <w:rFonts w:asciiTheme="majorHAnsi" w:hAnsiTheme="majorHAnsi"/>
                      <w:b/>
                      <w:sz w:val="40"/>
                      <w:szCs w:val="40"/>
                    </w:rPr>
                    <w:t xml:space="preserve"> ITU Europe </w:t>
                  </w:r>
                  <w:proofErr w:type="spellStart"/>
                  <w:r w:rsidR="0087780C" w:rsidRPr="001804A6">
                    <w:rPr>
                      <w:rFonts w:asciiTheme="majorHAnsi" w:hAnsiTheme="majorHAnsi"/>
                      <w:b/>
                      <w:sz w:val="40"/>
                      <w:szCs w:val="40"/>
                    </w:rPr>
                    <w:t>Centres</w:t>
                  </w:r>
                  <w:proofErr w:type="spellEnd"/>
                  <w:r w:rsidR="0087780C" w:rsidRPr="001804A6">
                    <w:rPr>
                      <w:rFonts w:asciiTheme="majorHAnsi" w:hAnsiTheme="majorHAnsi"/>
                      <w:b/>
                      <w:sz w:val="40"/>
                      <w:szCs w:val="40"/>
                    </w:rPr>
                    <w:t xml:space="preserve"> of Excellence </w:t>
                  </w:r>
                </w:p>
                <w:p w:rsidR="0087780C" w:rsidRPr="001804A6" w:rsidRDefault="0087780C" w:rsidP="0087780C">
                  <w:pPr>
                    <w:rPr>
                      <w:rFonts w:asciiTheme="majorHAnsi" w:hAnsiTheme="majorHAnsi"/>
                      <w:b/>
                      <w:sz w:val="40"/>
                      <w:szCs w:val="40"/>
                    </w:rPr>
                  </w:pPr>
                  <w:r w:rsidRPr="001804A6">
                    <w:rPr>
                      <w:rFonts w:asciiTheme="majorHAnsi" w:hAnsiTheme="majorHAnsi"/>
                      <w:b/>
                      <w:sz w:val="40"/>
                      <w:szCs w:val="40"/>
                    </w:rPr>
                    <w:t>Steering Committee Meeting</w:t>
                  </w:r>
                </w:p>
                <w:p w:rsidR="0087780C" w:rsidRPr="0093287B" w:rsidRDefault="0087780C" w:rsidP="0087780C">
                  <w:pPr>
                    <w:spacing w:before="0"/>
                    <w:jc w:val="right"/>
                    <w:rPr>
                      <w:rFonts w:eastAsia="SimHei" w:cs="Simplified Arabic"/>
                      <w:noProof/>
                      <w:szCs w:val="28"/>
                      <w:lang w:eastAsia="fr-CH"/>
                    </w:rPr>
                  </w:pPr>
                </w:p>
              </w:tc>
            </w:tr>
            <w:tr w:rsidR="0087780C" w:rsidRPr="009D5190" w:rsidTr="004D3AEC">
              <w:tblPrEx>
                <w:tblLook w:val="01E0" w:firstRow="1" w:lastRow="1" w:firstColumn="1" w:lastColumn="1" w:noHBand="0" w:noVBand="0"/>
              </w:tblPrEx>
              <w:trPr>
                <w:jc w:val="center"/>
              </w:trPr>
              <w:tc>
                <w:tcPr>
                  <w:tcW w:w="9758" w:type="dxa"/>
                  <w:gridSpan w:val="2"/>
                  <w:vAlign w:val="center"/>
                </w:tcPr>
                <w:p w:rsidR="0087780C" w:rsidRPr="005A05C0" w:rsidRDefault="0087780C" w:rsidP="0087780C">
                  <w:pPr>
                    <w:jc w:val="center"/>
                    <w:rPr>
                      <w:rFonts w:asciiTheme="majorHAnsi" w:hAnsiTheme="majorHAnsi"/>
                      <w:b/>
                      <w:sz w:val="28"/>
                      <w:szCs w:val="28"/>
                    </w:rPr>
                  </w:pPr>
                  <w:r>
                    <w:rPr>
                      <w:rFonts w:asciiTheme="majorHAnsi" w:hAnsiTheme="majorHAnsi"/>
                      <w:b/>
                      <w:sz w:val="28"/>
                      <w:szCs w:val="28"/>
                    </w:rPr>
                    <w:t>17 January 2017, 9:30 – 18:00</w:t>
                  </w:r>
                </w:p>
                <w:p w:rsidR="0087780C" w:rsidRPr="00513023" w:rsidRDefault="0087780C" w:rsidP="0087780C">
                  <w:pPr>
                    <w:jc w:val="center"/>
                    <w:rPr>
                      <w:rFonts w:asciiTheme="majorHAnsi" w:hAnsiTheme="majorHAnsi"/>
                      <w:b/>
                      <w:sz w:val="28"/>
                      <w:szCs w:val="28"/>
                    </w:rPr>
                  </w:pPr>
                  <w:r>
                    <w:rPr>
                      <w:rFonts w:asciiTheme="majorHAnsi" w:hAnsiTheme="majorHAnsi"/>
                      <w:b/>
                      <w:sz w:val="28"/>
                      <w:szCs w:val="28"/>
                    </w:rPr>
                    <w:t xml:space="preserve">ECO, </w:t>
                  </w:r>
                  <w:r w:rsidRPr="005A05C0">
                    <w:rPr>
                      <w:rFonts w:asciiTheme="majorHAnsi" w:hAnsiTheme="majorHAnsi"/>
                      <w:b/>
                      <w:sz w:val="28"/>
                      <w:szCs w:val="28"/>
                    </w:rPr>
                    <w:t>Copenhagen, Denmark</w:t>
                  </w:r>
                </w:p>
              </w:tc>
            </w:tr>
          </w:tbl>
          <w:p w:rsidR="00513023" w:rsidRPr="00BD0704" w:rsidRDefault="00513023" w:rsidP="0087780C">
            <w:pPr>
              <w:pBdr>
                <w:bottom w:val="single" w:sz="4" w:space="1" w:color="auto"/>
              </w:pBdr>
            </w:pPr>
          </w:p>
          <w:p w:rsidR="00513023" w:rsidRPr="00BD0704" w:rsidRDefault="00513023" w:rsidP="00513023">
            <w:pPr>
              <w:rPr>
                <w:b/>
                <w:color w:val="000000"/>
                <w:u w:val="single"/>
              </w:rPr>
            </w:pPr>
          </w:p>
          <w:p w:rsidR="00513023" w:rsidRPr="006D762C" w:rsidRDefault="00513023" w:rsidP="00601238">
            <w:pPr>
              <w:jc w:val="center"/>
              <w:rPr>
                <w:rFonts w:asciiTheme="majorHAnsi" w:hAnsiTheme="majorHAnsi"/>
                <w:b/>
                <w:sz w:val="28"/>
                <w:szCs w:val="28"/>
              </w:rPr>
            </w:pPr>
            <w:r w:rsidRPr="006D762C">
              <w:rPr>
                <w:rFonts w:asciiTheme="majorHAnsi" w:hAnsiTheme="majorHAnsi"/>
                <w:b/>
                <w:sz w:val="28"/>
                <w:szCs w:val="28"/>
              </w:rPr>
              <w:t xml:space="preserve">INFORMATION ON VENUE </w:t>
            </w:r>
          </w:p>
          <w:p w:rsidR="00513023" w:rsidRPr="00BD0704" w:rsidRDefault="00513023" w:rsidP="00601238">
            <w:pPr>
              <w:jc w:val="center"/>
              <w:rPr>
                <w:b/>
                <w:sz w:val="32"/>
                <w:szCs w:val="32"/>
              </w:rPr>
            </w:pPr>
          </w:p>
          <w:p w:rsidR="00513023" w:rsidRPr="00BD0704" w:rsidRDefault="00513023" w:rsidP="00601238">
            <w:pPr>
              <w:jc w:val="center"/>
              <w:rPr>
                <w:rFonts w:cstheme="majorBidi"/>
                <w:b/>
                <w:color w:val="000000"/>
                <w:sz w:val="28"/>
                <w:szCs w:val="28"/>
              </w:rPr>
            </w:pPr>
            <w:r w:rsidRPr="00BD0704">
              <w:rPr>
                <w:rFonts w:cstheme="majorBidi"/>
                <w:b/>
                <w:color w:val="000000"/>
                <w:sz w:val="28"/>
                <w:szCs w:val="28"/>
              </w:rPr>
              <w:t>Meeting will be held in the premises of European Communications Office.</w:t>
            </w:r>
          </w:p>
          <w:p w:rsidR="00513023" w:rsidRPr="00BD0704" w:rsidRDefault="00513023" w:rsidP="00601238">
            <w:pPr>
              <w:jc w:val="center"/>
              <w:rPr>
                <w:rFonts w:cstheme="majorBidi"/>
                <w:b/>
                <w:color w:val="000000"/>
                <w:sz w:val="28"/>
                <w:szCs w:val="28"/>
              </w:rPr>
            </w:pPr>
          </w:p>
          <w:p w:rsidR="00513023" w:rsidRPr="00BD0704" w:rsidRDefault="00513023" w:rsidP="00601238">
            <w:pPr>
              <w:jc w:val="center"/>
              <w:rPr>
                <w:b/>
                <w:sz w:val="36"/>
                <w:szCs w:val="36"/>
              </w:rPr>
            </w:pPr>
            <w:r w:rsidRPr="00BD0704">
              <w:rPr>
                <w:rFonts w:cs="Arial"/>
                <w:noProof/>
                <w:color w:val="3A77B1"/>
                <w:sz w:val="24"/>
                <w:szCs w:val="32"/>
                <w:lang w:val="en-GB" w:eastAsia="zh-CN"/>
              </w:rPr>
              <w:drawing>
                <wp:inline distT="0" distB="0" distL="0" distR="0" wp14:anchorId="32A38FE2" wp14:editId="47D3A2EC">
                  <wp:extent cx="1952625" cy="461769"/>
                  <wp:effectExtent l="0" t="0" r="0" b="0"/>
                  <wp:docPr id="4" name="Picture 4" descr="Ec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Header_2_imgLogo" descr="Eco">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2625" cy="461769"/>
                          </a:xfrm>
                          <a:prstGeom prst="rect">
                            <a:avLst/>
                          </a:prstGeom>
                          <a:noFill/>
                          <a:ln>
                            <a:noFill/>
                          </a:ln>
                        </pic:spPr>
                      </pic:pic>
                    </a:graphicData>
                  </a:graphic>
                </wp:inline>
              </w:drawing>
            </w:r>
          </w:p>
          <w:p w:rsidR="00513023" w:rsidRPr="00BD0704" w:rsidRDefault="00513023" w:rsidP="00601238">
            <w:pPr>
              <w:jc w:val="center"/>
              <w:rPr>
                <w:rFonts w:cstheme="majorBidi"/>
                <w:b/>
                <w:color w:val="000000"/>
                <w:sz w:val="28"/>
                <w:szCs w:val="28"/>
              </w:rPr>
            </w:pPr>
          </w:p>
          <w:p w:rsidR="00513023" w:rsidRPr="00BD0704" w:rsidRDefault="00513023" w:rsidP="00601238">
            <w:pPr>
              <w:shd w:val="clear" w:color="auto" w:fill="FFFFFF"/>
              <w:jc w:val="center"/>
              <w:rPr>
                <w:rFonts w:cs="Times New Roman"/>
                <w:sz w:val="28"/>
                <w:szCs w:val="28"/>
                <w:lang w:eastAsia="zh-CN"/>
              </w:rPr>
            </w:pPr>
            <w:proofErr w:type="spellStart"/>
            <w:r w:rsidRPr="00BD0704">
              <w:rPr>
                <w:rFonts w:cs="Times New Roman"/>
                <w:sz w:val="28"/>
                <w:szCs w:val="28"/>
                <w:lang w:eastAsia="zh-CN"/>
              </w:rPr>
              <w:t>Nyropsgade</w:t>
            </w:r>
            <w:proofErr w:type="spellEnd"/>
            <w:r w:rsidRPr="00BD0704">
              <w:rPr>
                <w:rFonts w:cs="Times New Roman"/>
                <w:sz w:val="28"/>
                <w:szCs w:val="28"/>
                <w:lang w:eastAsia="zh-CN"/>
              </w:rPr>
              <w:t xml:space="preserve"> 37, 4th floor </w:t>
            </w:r>
            <w:r w:rsidRPr="00BD0704">
              <w:rPr>
                <w:rFonts w:cs="Times New Roman"/>
                <w:sz w:val="28"/>
                <w:szCs w:val="28"/>
                <w:lang w:eastAsia="zh-CN"/>
              </w:rPr>
              <w:br/>
              <w:t>1602 Copenhagen, Denmark</w:t>
            </w:r>
            <w:r>
              <w:rPr>
                <w:rFonts w:cs="Times New Roman"/>
                <w:sz w:val="28"/>
                <w:szCs w:val="28"/>
                <w:lang w:eastAsia="zh-CN"/>
              </w:rPr>
              <w:br/>
            </w:r>
            <w:r w:rsidRPr="00BD0704">
              <w:rPr>
                <w:rFonts w:cs="Times New Roman"/>
                <w:sz w:val="28"/>
                <w:szCs w:val="28"/>
                <w:lang w:eastAsia="zh-CN"/>
              </w:rPr>
              <w:t>Tel: +45 33 89 63 00 (09.30 - 15.00 CET)</w:t>
            </w:r>
            <w:r w:rsidRPr="00BD0704">
              <w:rPr>
                <w:rFonts w:cs="Times New Roman"/>
                <w:sz w:val="28"/>
                <w:szCs w:val="28"/>
                <w:lang w:eastAsia="zh-CN"/>
              </w:rPr>
              <w:br/>
              <w:t>Fax: +45 33 89 63 30</w:t>
            </w:r>
          </w:p>
          <w:p w:rsidR="00513023" w:rsidRPr="00BD0704" w:rsidRDefault="00513023" w:rsidP="00601238">
            <w:pPr>
              <w:shd w:val="clear" w:color="auto" w:fill="FFFFFF"/>
              <w:jc w:val="center"/>
              <w:rPr>
                <w:rFonts w:cs="Times New Roman"/>
                <w:sz w:val="28"/>
                <w:szCs w:val="28"/>
                <w:lang w:eastAsia="zh-CN"/>
              </w:rPr>
            </w:pPr>
            <w:r w:rsidRPr="00B954EA">
              <w:rPr>
                <w:rFonts w:cs="Times New Roman"/>
                <w:sz w:val="28"/>
                <w:szCs w:val="28"/>
                <w:lang w:eastAsia="zh-CN"/>
              </w:rPr>
              <w:t>Email:</w:t>
            </w:r>
            <w:r w:rsidRPr="00B954EA">
              <w:rPr>
                <w:rFonts w:cs="Times New Roman"/>
                <w:b/>
                <w:bCs/>
                <w:sz w:val="28"/>
                <w:szCs w:val="28"/>
                <w:lang w:eastAsia="zh-CN"/>
              </w:rPr>
              <w:t xml:space="preserve"> </w:t>
            </w:r>
            <w:hyperlink r:id="rId15" w:history="1">
              <w:r w:rsidRPr="00B954EA">
                <w:rPr>
                  <w:rFonts w:cs="Times New Roman"/>
                  <w:color w:val="3A77B1"/>
                  <w:sz w:val="28"/>
                  <w:szCs w:val="28"/>
                  <w:lang w:eastAsia="zh-CN"/>
                </w:rPr>
                <w:t>eco@eco.cept.org</w:t>
              </w:r>
            </w:hyperlink>
          </w:p>
          <w:p w:rsidR="00513023" w:rsidRPr="00BD0704" w:rsidRDefault="00513023" w:rsidP="00601238">
            <w:pPr>
              <w:spacing w:before="100" w:beforeAutospacing="1" w:after="100" w:afterAutospacing="1"/>
              <w:rPr>
                <w:rFonts w:cs="Times New Roman"/>
                <w:sz w:val="24"/>
                <w:szCs w:val="24"/>
                <w:lang w:eastAsia="da-DK"/>
              </w:rPr>
            </w:pPr>
            <w:r w:rsidRPr="00BD0704">
              <w:rPr>
                <w:rFonts w:cs="Times New Roman"/>
                <w:b/>
                <w:bCs/>
                <w:sz w:val="24"/>
                <w:szCs w:val="24"/>
                <w:u w:val="single"/>
                <w:lang w:eastAsia="da-DK"/>
              </w:rPr>
              <w:t>How to reach ECO from the airport</w:t>
            </w:r>
          </w:p>
          <w:p w:rsidR="00513023" w:rsidRPr="00BD0704" w:rsidRDefault="00513023" w:rsidP="00601238">
            <w:pPr>
              <w:spacing w:before="100" w:beforeAutospacing="1" w:after="100" w:afterAutospacing="1"/>
              <w:rPr>
                <w:rFonts w:cs="Times New Roman"/>
                <w:sz w:val="24"/>
                <w:szCs w:val="24"/>
                <w:lang w:eastAsia="da-DK"/>
              </w:rPr>
            </w:pPr>
            <w:r w:rsidRPr="00BD0704">
              <w:rPr>
                <w:rFonts w:cs="Times New Roman"/>
                <w:b/>
                <w:bCs/>
                <w:sz w:val="24"/>
                <w:szCs w:val="24"/>
                <w:lang w:eastAsia="da-DK"/>
              </w:rPr>
              <w:t>By TRAIN</w:t>
            </w:r>
            <w:proofErr w:type="gramStart"/>
            <w:r w:rsidRPr="00BD0704">
              <w:rPr>
                <w:rFonts w:cs="Times New Roman"/>
                <w:b/>
                <w:bCs/>
                <w:sz w:val="24"/>
                <w:szCs w:val="24"/>
                <w:lang w:eastAsia="da-DK"/>
              </w:rPr>
              <w:t>:</w:t>
            </w:r>
            <w:proofErr w:type="gramEnd"/>
            <w:r w:rsidRPr="00BD0704">
              <w:rPr>
                <w:rFonts w:cs="Times New Roman"/>
                <w:sz w:val="24"/>
                <w:szCs w:val="24"/>
                <w:lang w:eastAsia="da-DK"/>
              </w:rPr>
              <w:br/>
              <w:t xml:space="preserve">The airport station is at the far end of the terminal building after you come out of the baggage reclaim and customs area.  Tickets are available from machines and access is by </w:t>
            </w:r>
            <w:proofErr w:type="spellStart"/>
            <w:r w:rsidRPr="00BD0704">
              <w:rPr>
                <w:rFonts w:cs="Times New Roman"/>
                <w:sz w:val="24"/>
                <w:szCs w:val="24"/>
                <w:lang w:eastAsia="da-DK"/>
              </w:rPr>
              <w:t>travelator</w:t>
            </w:r>
            <w:proofErr w:type="spellEnd"/>
            <w:r w:rsidRPr="00BD0704">
              <w:rPr>
                <w:rFonts w:cs="Times New Roman"/>
                <w:sz w:val="24"/>
                <w:szCs w:val="24"/>
                <w:lang w:eastAsia="da-DK"/>
              </w:rPr>
              <w:t xml:space="preserve"> or elevator down to the platforms.   Trains to Copenhagen Central Station ('</w:t>
            </w:r>
            <w:proofErr w:type="spellStart"/>
            <w:r w:rsidRPr="00BD0704">
              <w:rPr>
                <w:rFonts w:cs="Times New Roman"/>
                <w:sz w:val="24"/>
                <w:szCs w:val="24"/>
                <w:lang w:eastAsia="da-DK"/>
              </w:rPr>
              <w:t>København</w:t>
            </w:r>
            <w:proofErr w:type="spellEnd"/>
            <w:r w:rsidRPr="00BD0704">
              <w:rPr>
                <w:rFonts w:cs="Times New Roman"/>
                <w:sz w:val="24"/>
                <w:szCs w:val="24"/>
                <w:lang w:eastAsia="da-DK"/>
              </w:rPr>
              <w:t xml:space="preserve"> H') leave from platfo</w:t>
            </w:r>
            <w:r>
              <w:rPr>
                <w:rFonts w:cs="Times New Roman"/>
                <w:sz w:val="24"/>
                <w:szCs w:val="24"/>
                <w:lang w:eastAsia="da-DK"/>
              </w:rPr>
              <w:t>rm 2 approximately every 10-12 </w:t>
            </w:r>
            <w:r w:rsidRPr="00BD0704">
              <w:rPr>
                <w:rFonts w:cs="Times New Roman"/>
                <w:sz w:val="24"/>
                <w:szCs w:val="24"/>
                <w:lang w:eastAsia="da-DK"/>
              </w:rPr>
              <w:t>minutes, the journey</w:t>
            </w:r>
            <w:proofErr w:type="gramStart"/>
            <w:r w:rsidRPr="00BD0704">
              <w:rPr>
                <w:rFonts w:cs="Times New Roman"/>
                <w:sz w:val="24"/>
                <w:szCs w:val="24"/>
                <w:lang w:eastAsia="da-DK"/>
              </w:rPr>
              <w:t>  takes</w:t>
            </w:r>
            <w:proofErr w:type="gramEnd"/>
            <w:r w:rsidRPr="00BD0704">
              <w:rPr>
                <w:rFonts w:cs="Times New Roman"/>
                <w:sz w:val="24"/>
                <w:szCs w:val="24"/>
                <w:lang w:eastAsia="da-DK"/>
              </w:rPr>
              <w:t xml:space="preserve"> 13 minutes.  The fare for a single ticket is 36 DKK.</w:t>
            </w:r>
            <w:r>
              <w:rPr>
                <w:rFonts w:cs="Times New Roman"/>
                <w:sz w:val="24"/>
                <w:szCs w:val="24"/>
                <w:lang w:eastAsia="da-DK"/>
              </w:rPr>
              <w:t xml:space="preserve"> </w:t>
            </w:r>
            <w:r w:rsidRPr="00BD0704">
              <w:rPr>
                <w:rFonts w:cs="Times New Roman"/>
                <w:sz w:val="24"/>
                <w:szCs w:val="24"/>
                <w:lang w:eastAsia="da-DK"/>
              </w:rPr>
              <w:t xml:space="preserve">It is a 10 minute walk to ECO from Central Station. </w:t>
            </w:r>
            <w:r>
              <w:rPr>
                <w:rFonts w:cs="Times New Roman"/>
                <w:sz w:val="24"/>
                <w:szCs w:val="24"/>
                <w:lang w:eastAsia="da-DK"/>
              </w:rPr>
              <w:t xml:space="preserve"> </w:t>
            </w:r>
            <w:r w:rsidRPr="00BD0704">
              <w:rPr>
                <w:rFonts w:cs="Times New Roman"/>
                <w:sz w:val="24"/>
                <w:szCs w:val="24"/>
                <w:lang w:eastAsia="da-DK"/>
              </w:rPr>
              <w:t xml:space="preserve">You can also change to the S Train and it is just one stop to </w:t>
            </w:r>
            <w:proofErr w:type="spellStart"/>
            <w:r w:rsidRPr="00BD0704">
              <w:rPr>
                <w:rFonts w:cs="Times New Roman"/>
                <w:sz w:val="24"/>
                <w:szCs w:val="24"/>
                <w:lang w:eastAsia="da-DK"/>
              </w:rPr>
              <w:t>Vesterport</w:t>
            </w:r>
            <w:proofErr w:type="spellEnd"/>
            <w:r w:rsidRPr="00BD0704">
              <w:rPr>
                <w:rFonts w:cs="Times New Roman"/>
                <w:sz w:val="24"/>
                <w:szCs w:val="24"/>
                <w:lang w:eastAsia="da-DK"/>
              </w:rPr>
              <w:t xml:space="preserve"> Train Station. It is a 3 minute walk from </w:t>
            </w:r>
            <w:proofErr w:type="spellStart"/>
            <w:r w:rsidRPr="00BD0704">
              <w:rPr>
                <w:rFonts w:cs="Times New Roman"/>
                <w:sz w:val="24"/>
                <w:szCs w:val="24"/>
                <w:lang w:eastAsia="da-DK"/>
              </w:rPr>
              <w:t>Vesterport</w:t>
            </w:r>
            <w:proofErr w:type="spellEnd"/>
            <w:r w:rsidRPr="00BD0704">
              <w:rPr>
                <w:rFonts w:cs="Times New Roman"/>
                <w:sz w:val="24"/>
                <w:szCs w:val="24"/>
                <w:lang w:eastAsia="da-DK"/>
              </w:rPr>
              <w:t xml:space="preserve"> station to the ECO premises.</w:t>
            </w:r>
          </w:p>
          <w:p w:rsidR="00513023" w:rsidRDefault="00513023" w:rsidP="00601238">
            <w:pPr>
              <w:spacing w:before="100" w:beforeAutospacing="1" w:after="100" w:afterAutospacing="1"/>
              <w:rPr>
                <w:rFonts w:cs="Times New Roman"/>
                <w:sz w:val="24"/>
                <w:szCs w:val="24"/>
                <w:lang w:eastAsia="da-DK"/>
              </w:rPr>
            </w:pPr>
            <w:r w:rsidRPr="00BD0704">
              <w:rPr>
                <w:rFonts w:cs="Times New Roman"/>
                <w:b/>
                <w:bCs/>
                <w:sz w:val="24"/>
                <w:szCs w:val="24"/>
                <w:lang w:eastAsia="da-DK"/>
              </w:rPr>
              <w:t>By METRO</w:t>
            </w:r>
            <w:r w:rsidRPr="00BD0704">
              <w:rPr>
                <w:rFonts w:cs="Times New Roman"/>
                <w:sz w:val="24"/>
                <w:szCs w:val="24"/>
                <w:lang w:eastAsia="da-DK"/>
              </w:rPr>
              <w:t xml:space="preserve">: </w:t>
            </w:r>
            <w:r>
              <w:rPr>
                <w:rFonts w:cs="Times New Roman"/>
                <w:sz w:val="24"/>
                <w:szCs w:val="24"/>
                <w:lang w:eastAsia="da-DK"/>
              </w:rPr>
              <w:br/>
            </w:r>
            <w:r w:rsidRPr="00BD0704">
              <w:rPr>
                <w:rFonts w:cs="Times New Roman"/>
                <w:sz w:val="24"/>
                <w:szCs w:val="24"/>
                <w:lang w:eastAsia="da-DK"/>
              </w:rPr>
              <w:t>The Metro departs from the Airport every 3 to 6 minutes.  The station is reached by escalator at the far end of the arrivals terminal building.</w:t>
            </w:r>
            <w:r>
              <w:rPr>
                <w:rFonts w:cs="Times New Roman"/>
                <w:sz w:val="24"/>
                <w:szCs w:val="24"/>
                <w:lang w:eastAsia="da-DK"/>
              </w:rPr>
              <w:t xml:space="preserve"> </w:t>
            </w:r>
            <w:r w:rsidRPr="00BD0704">
              <w:rPr>
                <w:rFonts w:cs="Times New Roman"/>
                <w:sz w:val="24"/>
                <w:szCs w:val="24"/>
                <w:lang w:eastAsia="da-DK"/>
              </w:rPr>
              <w:t>The journey takes app. 17 minutes to Forum station.</w:t>
            </w:r>
            <w:r>
              <w:rPr>
                <w:rFonts w:cs="Times New Roman"/>
                <w:sz w:val="24"/>
                <w:szCs w:val="24"/>
                <w:lang w:eastAsia="da-DK"/>
              </w:rPr>
              <w:t xml:space="preserve"> </w:t>
            </w:r>
            <w:r w:rsidRPr="00BD0704">
              <w:rPr>
                <w:rFonts w:cs="Times New Roman"/>
                <w:sz w:val="24"/>
                <w:szCs w:val="24"/>
                <w:lang w:eastAsia="da-DK"/>
              </w:rPr>
              <w:t>It is approximately a 13 minute walk from Forum station to the ECO premises.</w:t>
            </w:r>
            <w:r>
              <w:rPr>
                <w:rFonts w:cs="Times New Roman"/>
                <w:sz w:val="24"/>
                <w:szCs w:val="24"/>
                <w:lang w:eastAsia="da-DK"/>
              </w:rPr>
              <w:t xml:space="preserve"> </w:t>
            </w:r>
            <w:r w:rsidRPr="00BD0704">
              <w:rPr>
                <w:rFonts w:cs="Times New Roman"/>
                <w:sz w:val="24"/>
                <w:szCs w:val="24"/>
                <w:lang w:eastAsia="da-DK"/>
              </w:rPr>
              <w:t xml:space="preserve">You can also take the metro to </w:t>
            </w:r>
            <w:proofErr w:type="spellStart"/>
            <w:r w:rsidRPr="00BD0704">
              <w:rPr>
                <w:rFonts w:cs="Times New Roman"/>
                <w:sz w:val="24"/>
                <w:szCs w:val="24"/>
                <w:lang w:eastAsia="da-DK"/>
              </w:rPr>
              <w:t>Nørreport</w:t>
            </w:r>
            <w:proofErr w:type="spellEnd"/>
            <w:r w:rsidRPr="00BD0704">
              <w:rPr>
                <w:rFonts w:cs="Times New Roman"/>
                <w:sz w:val="24"/>
                <w:szCs w:val="24"/>
                <w:lang w:eastAsia="da-DK"/>
              </w:rPr>
              <w:t xml:space="preserve"> </w:t>
            </w:r>
            <w:proofErr w:type="spellStart"/>
            <w:r w:rsidRPr="00BD0704">
              <w:rPr>
                <w:rFonts w:cs="Times New Roman"/>
                <w:sz w:val="24"/>
                <w:szCs w:val="24"/>
                <w:lang w:eastAsia="da-DK"/>
              </w:rPr>
              <w:t>st.</w:t>
            </w:r>
            <w:proofErr w:type="spellEnd"/>
            <w:r w:rsidRPr="00BD0704">
              <w:rPr>
                <w:rFonts w:cs="Times New Roman"/>
                <w:sz w:val="24"/>
                <w:szCs w:val="24"/>
                <w:lang w:eastAsia="da-DK"/>
              </w:rPr>
              <w:t xml:space="preserve"> and then change to the S Train and it is just one stop to </w:t>
            </w:r>
            <w:proofErr w:type="spellStart"/>
            <w:r w:rsidRPr="00BD0704">
              <w:rPr>
                <w:rFonts w:cs="Times New Roman"/>
                <w:sz w:val="24"/>
                <w:szCs w:val="24"/>
                <w:lang w:eastAsia="da-DK"/>
              </w:rPr>
              <w:t>Vesterport</w:t>
            </w:r>
            <w:proofErr w:type="spellEnd"/>
            <w:r w:rsidRPr="00BD0704">
              <w:rPr>
                <w:rFonts w:cs="Times New Roman"/>
                <w:sz w:val="24"/>
                <w:szCs w:val="24"/>
                <w:lang w:eastAsia="da-DK"/>
              </w:rPr>
              <w:t xml:space="preserve"> Train Station. It is a 3 minute walk from </w:t>
            </w:r>
            <w:proofErr w:type="spellStart"/>
            <w:r w:rsidRPr="00BD0704">
              <w:rPr>
                <w:rFonts w:cs="Times New Roman"/>
                <w:sz w:val="24"/>
                <w:szCs w:val="24"/>
                <w:lang w:eastAsia="da-DK"/>
              </w:rPr>
              <w:t>Vesterport</w:t>
            </w:r>
            <w:proofErr w:type="spellEnd"/>
            <w:r w:rsidRPr="00BD0704">
              <w:rPr>
                <w:rFonts w:cs="Times New Roman"/>
                <w:sz w:val="24"/>
                <w:szCs w:val="24"/>
                <w:lang w:eastAsia="da-DK"/>
              </w:rPr>
              <w:t xml:space="preserve"> station to the ECO premises.</w:t>
            </w:r>
          </w:p>
          <w:p w:rsidR="00513023" w:rsidRPr="00BD0704" w:rsidRDefault="00513023" w:rsidP="00601238">
            <w:pPr>
              <w:spacing w:before="100" w:beforeAutospacing="1" w:after="100" w:afterAutospacing="1"/>
              <w:rPr>
                <w:rFonts w:cs="Times New Roman"/>
                <w:sz w:val="24"/>
                <w:szCs w:val="24"/>
                <w:lang w:eastAsia="da-DK"/>
              </w:rPr>
            </w:pPr>
            <w:r w:rsidRPr="00BD0704">
              <w:rPr>
                <w:rFonts w:cs="Times New Roman"/>
                <w:b/>
                <w:bCs/>
                <w:sz w:val="24"/>
                <w:szCs w:val="24"/>
                <w:lang w:eastAsia="da-DK"/>
              </w:rPr>
              <w:t>By TAXI</w:t>
            </w:r>
            <w:proofErr w:type="gramStart"/>
            <w:r w:rsidRPr="00BD0704">
              <w:rPr>
                <w:rFonts w:cs="Times New Roman"/>
                <w:b/>
                <w:bCs/>
                <w:sz w:val="24"/>
                <w:szCs w:val="24"/>
                <w:lang w:eastAsia="da-DK"/>
              </w:rPr>
              <w:t>:</w:t>
            </w:r>
            <w:proofErr w:type="gramEnd"/>
            <w:r w:rsidRPr="00BD0704">
              <w:rPr>
                <w:rFonts w:cs="Times New Roman"/>
                <w:b/>
                <w:bCs/>
                <w:sz w:val="24"/>
                <w:szCs w:val="24"/>
                <w:lang w:eastAsia="da-DK"/>
              </w:rPr>
              <w:br/>
            </w:r>
            <w:r w:rsidRPr="00BD0704">
              <w:rPr>
                <w:rFonts w:cs="Times New Roman"/>
                <w:sz w:val="24"/>
                <w:szCs w:val="24"/>
                <w:lang w:eastAsia="da-DK"/>
              </w:rPr>
              <w:t xml:space="preserve">The taxi fare from the airport to the ECO premises is </w:t>
            </w:r>
            <w:proofErr w:type="spellStart"/>
            <w:r w:rsidRPr="00BD0704">
              <w:rPr>
                <w:rFonts w:cs="Times New Roman"/>
                <w:sz w:val="24"/>
                <w:szCs w:val="24"/>
                <w:lang w:eastAsia="da-DK"/>
              </w:rPr>
              <w:t>approx</w:t>
            </w:r>
            <w:proofErr w:type="spellEnd"/>
            <w:r w:rsidRPr="00BD0704">
              <w:rPr>
                <w:rFonts w:cs="Times New Roman"/>
                <w:sz w:val="24"/>
                <w:szCs w:val="24"/>
                <w:lang w:eastAsia="da-DK"/>
              </w:rPr>
              <w:t xml:space="preserve"> DKK 350 (EURO 46). The journey takes approximately 15 to 25 minutes, depending on traffic conditions.</w:t>
            </w:r>
          </w:p>
          <w:p w:rsidR="00513023" w:rsidRPr="00BD0704" w:rsidRDefault="00513023" w:rsidP="00601238">
            <w:pPr>
              <w:shd w:val="clear" w:color="auto" w:fill="FFFFFF"/>
              <w:jc w:val="center"/>
              <w:rPr>
                <w:rFonts w:cs="Arial"/>
                <w:sz w:val="24"/>
                <w:szCs w:val="24"/>
                <w:lang w:eastAsia="zh-CN"/>
              </w:rPr>
            </w:pPr>
            <w:r w:rsidRPr="00BD0704">
              <w:rPr>
                <w:noProof/>
                <w:sz w:val="24"/>
                <w:szCs w:val="24"/>
                <w:lang w:val="en-GB" w:eastAsia="zh-CN"/>
              </w:rPr>
              <w:drawing>
                <wp:inline distT="0" distB="0" distL="0" distR="0" wp14:anchorId="1D1E1F10" wp14:editId="279A6ECC">
                  <wp:extent cx="6573092" cy="266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8027" t="24631" r="4312" b="12111"/>
                          <a:stretch/>
                        </pic:blipFill>
                        <pic:spPr bwMode="auto">
                          <a:xfrm>
                            <a:off x="0" y="0"/>
                            <a:ext cx="6573092" cy="2667000"/>
                          </a:xfrm>
                          <a:prstGeom prst="rect">
                            <a:avLst/>
                          </a:prstGeom>
                          <a:ln>
                            <a:noFill/>
                          </a:ln>
                          <a:extLst>
                            <a:ext uri="{53640926-AAD7-44D8-BBD7-CCE9431645EC}">
                              <a14:shadowObscured xmlns:a14="http://schemas.microsoft.com/office/drawing/2010/main"/>
                            </a:ext>
                          </a:extLst>
                        </pic:spPr>
                      </pic:pic>
                    </a:graphicData>
                  </a:graphic>
                </wp:inline>
              </w:drawing>
            </w:r>
          </w:p>
          <w:p w:rsidR="00513023" w:rsidRDefault="00513023" w:rsidP="00601238"/>
        </w:tc>
      </w:tr>
    </w:tbl>
    <w:p w:rsidR="00655CF8" w:rsidRPr="0087780C" w:rsidRDefault="00655CF8" w:rsidP="00513023">
      <w:pPr>
        <w:spacing w:before="0" w:after="0"/>
        <w:rPr>
          <w:rFonts w:asciiTheme="minorHAnsi" w:hAnsiTheme="minorHAnsi"/>
          <w:szCs w:val="22"/>
        </w:rPr>
      </w:pPr>
    </w:p>
    <w:sectPr w:rsidR="00655CF8" w:rsidRPr="0087780C" w:rsidSect="00563963">
      <w:headerReference w:type="even" r:id="rId17"/>
      <w:headerReference w:type="default" r:id="rId18"/>
      <w:headerReference w:type="first" r:id="rId19"/>
      <w:footerReference w:type="first" r:id="rId2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5EE" w:rsidRDefault="001155EE">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1155EE" w:rsidRDefault="001155EE">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1155EE" w:rsidRDefault="001155EE"/>
  </w:endnote>
  <w:endnote w:type="continuationSeparator" w:id="0">
    <w:p w:rsidR="001155EE" w:rsidRDefault="001155EE">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1155EE" w:rsidRDefault="001155EE">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1155EE" w:rsidRDefault="0011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CCD" w:rsidRDefault="00C53CCD">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t>/</w:t>
    </w:r>
    <w:proofErr w:type="spellStart"/>
    <w:r>
      <w:t>itu</w:t>
    </w:r>
    <w:proofErr w:type="spellEnd"/>
    <w:r>
      <w: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5EE" w:rsidRDefault="001155EE">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1155EE" w:rsidRDefault="001155EE">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1155EE" w:rsidRDefault="001155EE"/>
  </w:footnote>
  <w:footnote w:type="continuationSeparator" w:id="0">
    <w:p w:rsidR="001155EE" w:rsidRDefault="001155EE">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1155EE" w:rsidRDefault="001155EE">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1155EE" w:rsidRDefault="001155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CCD" w:rsidRDefault="00C53CCD">
    <w:pPr>
      <w:tabs>
        <w:tab w:val="left" w:pos="794"/>
        <w:tab w:val="left" w:pos="1191"/>
        <w:tab w:val="left" w:pos="1588"/>
        <w:tab w:val="left" w:pos="1985"/>
      </w:tabs>
      <w:overflowPunct w:val="0"/>
      <w:autoSpaceDE w:val="0"/>
      <w:autoSpaceDN w:val="0"/>
      <w:adjustRightInd w:val="0"/>
      <w:spacing w:before="160" w:line="280" w:lineRule="exact"/>
      <w:jc w:val="center"/>
      <w:textAlignment w:val="baseline"/>
      <w:rPr>
        <w:rStyle w:val="PageNumber"/>
        <w:rFonts w:cs="Traditional Arabic"/>
      </w:rPr>
    </w:pPr>
    <w:r>
      <w:t xml:space="preserve"> </w:t>
    </w:r>
    <w:r w:rsidR="001F7B98">
      <w:rPr>
        <w:rStyle w:val="PageNumber"/>
        <w:rFonts w:cs="Traditional Arabic"/>
      </w:rPr>
      <w:fldChar w:fldCharType="begin"/>
    </w:r>
    <w:r>
      <w:rPr>
        <w:rStyle w:val="PageNumber"/>
        <w:rFonts w:cs="Traditional Arabic"/>
      </w:rPr>
      <w:instrText xml:space="preserve"> PAGE </w:instrText>
    </w:r>
    <w:r w:rsidR="001F7B98">
      <w:rPr>
        <w:rStyle w:val="PageNumber"/>
        <w:rFonts w:cs="Traditional Arabic"/>
      </w:rPr>
      <w:fldChar w:fldCharType="separate"/>
    </w:r>
    <w:r w:rsidR="00D6744E">
      <w:rPr>
        <w:rStyle w:val="PageNumber"/>
        <w:rFonts w:cs="Traditional Arabic"/>
        <w:noProof/>
      </w:rPr>
      <w:t>2</w:t>
    </w:r>
    <w:r w:rsidR="001F7B98">
      <w:rPr>
        <w:rStyle w:val="PageNumber"/>
        <w:rFonts w:cs="Traditional Arabic"/>
      </w:rPr>
      <w:fldChar w:fldCharType="end"/>
    </w:r>
    <w:r>
      <w:rPr>
        <w:rStyle w:val="PageNumber"/>
        <w:rFonts w:cs="Traditional Arabic"/>
      </w:rPr>
      <w:t xml:space="preserve"> </w:t>
    </w:r>
  </w:p>
  <w:p w:rsidR="00513023" w:rsidRDefault="00513023">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172721"/>
      <w:docPartObj>
        <w:docPartGallery w:val="Page Numbers (Top of Page)"/>
        <w:docPartUnique/>
      </w:docPartObj>
    </w:sdtPr>
    <w:sdtEndPr>
      <w:rPr>
        <w:noProof/>
      </w:rPr>
    </w:sdtEndPr>
    <w:sdtContent>
      <w:p w:rsidR="00C53CCD" w:rsidRDefault="001F7B98">
        <w:pPr>
          <w:pStyle w:val="Header"/>
          <w:jc w:val="center"/>
        </w:pPr>
        <w:r>
          <w:fldChar w:fldCharType="begin"/>
        </w:r>
        <w:r w:rsidR="00C53CCD">
          <w:instrText xml:space="preserve"> PAGE   \* MERGEFORMAT </w:instrText>
        </w:r>
        <w:r>
          <w:fldChar w:fldCharType="separate"/>
        </w:r>
        <w:r w:rsidR="00D6744E">
          <w:rPr>
            <w:noProof/>
          </w:rPr>
          <w:t>5</w:t>
        </w:r>
        <w:r>
          <w:rPr>
            <w:noProof/>
          </w:rPr>
          <w:fldChar w:fldCharType="end"/>
        </w:r>
      </w:p>
    </w:sdtContent>
  </w:sdt>
  <w:p w:rsidR="00C53CCD" w:rsidRDefault="00C53C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CCD" w:rsidRDefault="00C53CCD" w:rsidP="00477EED">
    <w:pPr>
      <w:pStyle w:val="Header"/>
      <w:jc w:val="center"/>
    </w:pPr>
  </w:p>
  <w:p w:rsidR="00C53CCD" w:rsidRDefault="00C53CCD">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5A4E9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8C3659"/>
    <w:multiLevelType w:val="hybridMultilevel"/>
    <w:tmpl w:val="8406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624E6E"/>
    <w:multiLevelType w:val="hybridMultilevel"/>
    <w:tmpl w:val="D444DF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3221FF3"/>
    <w:multiLevelType w:val="hybridMultilevel"/>
    <w:tmpl w:val="373E9D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16"/>
  </w:num>
  <w:num w:numId="2">
    <w:abstractNumId w:val="8"/>
    <w:lvlOverride w:ilvl="0">
      <w:startOverride w:val="1"/>
    </w:lvlOverride>
  </w:num>
  <w:num w:numId="3">
    <w:abstractNumId w:val="10"/>
  </w:num>
  <w:num w:numId="4">
    <w:abstractNumId w:val="17"/>
  </w:num>
  <w:num w:numId="5">
    <w:abstractNumId w:val="9"/>
  </w:num>
  <w:num w:numId="6">
    <w:abstractNumId w:val="7"/>
  </w:num>
  <w:num w:numId="7">
    <w:abstractNumId w:val="5"/>
  </w:num>
  <w:num w:numId="8">
    <w:abstractNumId w:val="13"/>
  </w:num>
  <w:num w:numId="9">
    <w:abstractNumId w:val="12"/>
  </w:num>
  <w:num w:numId="10">
    <w:abstractNumId w:val="6"/>
  </w:num>
  <w:num w:numId="11">
    <w:abstractNumId w:val="15"/>
  </w:num>
  <w:num w:numId="12">
    <w:abstractNumId w:val="11"/>
  </w:num>
  <w:num w:numId="13">
    <w:abstractNumId w:val="4"/>
  </w:num>
  <w:num w:numId="14">
    <w:abstractNumId w:val="4"/>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963"/>
    <w:rsid w:val="000110CB"/>
    <w:rsid w:val="00030689"/>
    <w:rsid w:val="00030878"/>
    <w:rsid w:val="00030DE6"/>
    <w:rsid w:val="00035383"/>
    <w:rsid w:val="00042E48"/>
    <w:rsid w:val="000447B8"/>
    <w:rsid w:val="00052AF1"/>
    <w:rsid w:val="00053FD9"/>
    <w:rsid w:val="0007776D"/>
    <w:rsid w:val="000A4200"/>
    <w:rsid w:val="000B03EA"/>
    <w:rsid w:val="000B7F3F"/>
    <w:rsid w:val="000C256A"/>
    <w:rsid w:val="000D29D1"/>
    <w:rsid w:val="00103803"/>
    <w:rsid w:val="00105A55"/>
    <w:rsid w:val="00110F84"/>
    <w:rsid w:val="001155EE"/>
    <w:rsid w:val="00117BB4"/>
    <w:rsid w:val="001365C7"/>
    <w:rsid w:val="00151D85"/>
    <w:rsid w:val="001608D4"/>
    <w:rsid w:val="001647E4"/>
    <w:rsid w:val="00176D3E"/>
    <w:rsid w:val="001804A6"/>
    <w:rsid w:val="00182005"/>
    <w:rsid w:val="0018324E"/>
    <w:rsid w:val="00195D2F"/>
    <w:rsid w:val="001A4008"/>
    <w:rsid w:val="001B643C"/>
    <w:rsid w:val="001B6C85"/>
    <w:rsid w:val="001D5DCF"/>
    <w:rsid w:val="001E4061"/>
    <w:rsid w:val="001E411F"/>
    <w:rsid w:val="001E7F0A"/>
    <w:rsid w:val="001F7B98"/>
    <w:rsid w:val="00206D07"/>
    <w:rsid w:val="002423AB"/>
    <w:rsid w:val="00244934"/>
    <w:rsid w:val="00244E85"/>
    <w:rsid w:val="002527F8"/>
    <w:rsid w:val="002542D0"/>
    <w:rsid w:val="002632F8"/>
    <w:rsid w:val="00266A6F"/>
    <w:rsid w:val="002749A8"/>
    <w:rsid w:val="002778E6"/>
    <w:rsid w:val="00281329"/>
    <w:rsid w:val="00283334"/>
    <w:rsid w:val="00283902"/>
    <w:rsid w:val="002A2F17"/>
    <w:rsid w:val="002B02E7"/>
    <w:rsid w:val="002B6E57"/>
    <w:rsid w:val="002C3EDD"/>
    <w:rsid w:val="002D1BAC"/>
    <w:rsid w:val="002D283B"/>
    <w:rsid w:val="002F56E5"/>
    <w:rsid w:val="00304770"/>
    <w:rsid w:val="00312E8B"/>
    <w:rsid w:val="00315FC7"/>
    <w:rsid w:val="00326641"/>
    <w:rsid w:val="0033597E"/>
    <w:rsid w:val="00343C2D"/>
    <w:rsid w:val="00346BB5"/>
    <w:rsid w:val="00361903"/>
    <w:rsid w:val="00371C32"/>
    <w:rsid w:val="003754FF"/>
    <w:rsid w:val="00381E5E"/>
    <w:rsid w:val="0038222D"/>
    <w:rsid w:val="003872A6"/>
    <w:rsid w:val="003A5E09"/>
    <w:rsid w:val="003C6851"/>
    <w:rsid w:val="003E051F"/>
    <w:rsid w:val="003E0730"/>
    <w:rsid w:val="003E4048"/>
    <w:rsid w:val="003E7C77"/>
    <w:rsid w:val="004161AE"/>
    <w:rsid w:val="0041623B"/>
    <w:rsid w:val="0042068C"/>
    <w:rsid w:val="00431578"/>
    <w:rsid w:val="00437F01"/>
    <w:rsid w:val="00446B42"/>
    <w:rsid w:val="00450632"/>
    <w:rsid w:val="00453D41"/>
    <w:rsid w:val="00457681"/>
    <w:rsid w:val="0046366D"/>
    <w:rsid w:val="00470CAD"/>
    <w:rsid w:val="00472FD0"/>
    <w:rsid w:val="00477EED"/>
    <w:rsid w:val="00484BFF"/>
    <w:rsid w:val="004937CF"/>
    <w:rsid w:val="004959B5"/>
    <w:rsid w:val="004C197F"/>
    <w:rsid w:val="004C69B2"/>
    <w:rsid w:val="004E3C1B"/>
    <w:rsid w:val="004F0431"/>
    <w:rsid w:val="004F3515"/>
    <w:rsid w:val="004F5146"/>
    <w:rsid w:val="004F60D4"/>
    <w:rsid w:val="00513023"/>
    <w:rsid w:val="005158F5"/>
    <w:rsid w:val="00533773"/>
    <w:rsid w:val="005367D5"/>
    <w:rsid w:val="00543592"/>
    <w:rsid w:val="00550859"/>
    <w:rsid w:val="005531C3"/>
    <w:rsid w:val="00555AF3"/>
    <w:rsid w:val="00556E8C"/>
    <w:rsid w:val="00563963"/>
    <w:rsid w:val="00570014"/>
    <w:rsid w:val="00596321"/>
    <w:rsid w:val="005A05C0"/>
    <w:rsid w:val="005E2D9F"/>
    <w:rsid w:val="005F56D0"/>
    <w:rsid w:val="0061375B"/>
    <w:rsid w:val="00614DA6"/>
    <w:rsid w:val="0063757E"/>
    <w:rsid w:val="00653587"/>
    <w:rsid w:val="00655CF8"/>
    <w:rsid w:val="00670E1A"/>
    <w:rsid w:val="006956F9"/>
    <w:rsid w:val="00696BFC"/>
    <w:rsid w:val="00696D30"/>
    <w:rsid w:val="006A41B7"/>
    <w:rsid w:val="006B6552"/>
    <w:rsid w:val="006C4B5E"/>
    <w:rsid w:val="006D5F4C"/>
    <w:rsid w:val="006D762C"/>
    <w:rsid w:val="006E51A7"/>
    <w:rsid w:val="006E6667"/>
    <w:rsid w:val="006F54C6"/>
    <w:rsid w:val="006F6212"/>
    <w:rsid w:val="00722241"/>
    <w:rsid w:val="0074458D"/>
    <w:rsid w:val="00756FD5"/>
    <w:rsid w:val="007678D0"/>
    <w:rsid w:val="007724C5"/>
    <w:rsid w:val="007767A6"/>
    <w:rsid w:val="007B29D4"/>
    <w:rsid w:val="007B3269"/>
    <w:rsid w:val="007B611D"/>
    <w:rsid w:val="007C1EFC"/>
    <w:rsid w:val="007D7574"/>
    <w:rsid w:val="008217FD"/>
    <w:rsid w:val="00830698"/>
    <w:rsid w:val="00844920"/>
    <w:rsid w:val="0087780C"/>
    <w:rsid w:val="008A021B"/>
    <w:rsid w:val="008D2FB7"/>
    <w:rsid w:val="008E016F"/>
    <w:rsid w:val="008F0003"/>
    <w:rsid w:val="008F041B"/>
    <w:rsid w:val="009013D3"/>
    <w:rsid w:val="00922D89"/>
    <w:rsid w:val="009320CC"/>
    <w:rsid w:val="00955BB4"/>
    <w:rsid w:val="009702C4"/>
    <w:rsid w:val="0097562D"/>
    <w:rsid w:val="00981947"/>
    <w:rsid w:val="00983086"/>
    <w:rsid w:val="00986376"/>
    <w:rsid w:val="009903A4"/>
    <w:rsid w:val="00992EC7"/>
    <w:rsid w:val="009A4504"/>
    <w:rsid w:val="009B19D9"/>
    <w:rsid w:val="009C530A"/>
    <w:rsid w:val="009D5190"/>
    <w:rsid w:val="009E6E67"/>
    <w:rsid w:val="00A0199A"/>
    <w:rsid w:val="00A02840"/>
    <w:rsid w:val="00A06852"/>
    <w:rsid w:val="00A073E1"/>
    <w:rsid w:val="00A10F73"/>
    <w:rsid w:val="00A336A5"/>
    <w:rsid w:val="00A35602"/>
    <w:rsid w:val="00A438A7"/>
    <w:rsid w:val="00A44DED"/>
    <w:rsid w:val="00A50365"/>
    <w:rsid w:val="00A530AB"/>
    <w:rsid w:val="00A6543E"/>
    <w:rsid w:val="00A70E97"/>
    <w:rsid w:val="00A82E7F"/>
    <w:rsid w:val="00A846C6"/>
    <w:rsid w:val="00A914D6"/>
    <w:rsid w:val="00AA216B"/>
    <w:rsid w:val="00AA500A"/>
    <w:rsid w:val="00AB234D"/>
    <w:rsid w:val="00AB37F2"/>
    <w:rsid w:val="00AB77EC"/>
    <w:rsid w:val="00AC4969"/>
    <w:rsid w:val="00AC7C6B"/>
    <w:rsid w:val="00AD2AAA"/>
    <w:rsid w:val="00AD4F85"/>
    <w:rsid w:val="00AD5FB8"/>
    <w:rsid w:val="00AE58AD"/>
    <w:rsid w:val="00AF2E43"/>
    <w:rsid w:val="00B130DF"/>
    <w:rsid w:val="00B31058"/>
    <w:rsid w:val="00B41230"/>
    <w:rsid w:val="00B453DF"/>
    <w:rsid w:val="00B5106B"/>
    <w:rsid w:val="00B52953"/>
    <w:rsid w:val="00B665CF"/>
    <w:rsid w:val="00B6703B"/>
    <w:rsid w:val="00B729CA"/>
    <w:rsid w:val="00B774C1"/>
    <w:rsid w:val="00B84AEE"/>
    <w:rsid w:val="00B86D4D"/>
    <w:rsid w:val="00B954EA"/>
    <w:rsid w:val="00BA1CAF"/>
    <w:rsid w:val="00BC0A70"/>
    <w:rsid w:val="00BC3CD6"/>
    <w:rsid w:val="00BC4024"/>
    <w:rsid w:val="00BD0704"/>
    <w:rsid w:val="00BD42C3"/>
    <w:rsid w:val="00BE4238"/>
    <w:rsid w:val="00C019C6"/>
    <w:rsid w:val="00C13931"/>
    <w:rsid w:val="00C36E4D"/>
    <w:rsid w:val="00C5210A"/>
    <w:rsid w:val="00C53CCD"/>
    <w:rsid w:val="00C63673"/>
    <w:rsid w:val="00C639DB"/>
    <w:rsid w:val="00C63FF2"/>
    <w:rsid w:val="00C67817"/>
    <w:rsid w:val="00C722F8"/>
    <w:rsid w:val="00C85867"/>
    <w:rsid w:val="00C86820"/>
    <w:rsid w:val="00C90D64"/>
    <w:rsid w:val="00C9124B"/>
    <w:rsid w:val="00C97FC5"/>
    <w:rsid w:val="00CA4222"/>
    <w:rsid w:val="00CA48F4"/>
    <w:rsid w:val="00CB37B7"/>
    <w:rsid w:val="00CB4DC1"/>
    <w:rsid w:val="00CB5270"/>
    <w:rsid w:val="00CC175A"/>
    <w:rsid w:val="00CD12B9"/>
    <w:rsid w:val="00CF2F1C"/>
    <w:rsid w:val="00CF7436"/>
    <w:rsid w:val="00D05646"/>
    <w:rsid w:val="00D16BBD"/>
    <w:rsid w:val="00D21D51"/>
    <w:rsid w:val="00D439B8"/>
    <w:rsid w:val="00D43EAE"/>
    <w:rsid w:val="00D55FD3"/>
    <w:rsid w:val="00D6744E"/>
    <w:rsid w:val="00D752D0"/>
    <w:rsid w:val="00D86ECA"/>
    <w:rsid w:val="00DA05C1"/>
    <w:rsid w:val="00DA2B28"/>
    <w:rsid w:val="00DA51B1"/>
    <w:rsid w:val="00DA6FD5"/>
    <w:rsid w:val="00DB600F"/>
    <w:rsid w:val="00DC43E9"/>
    <w:rsid w:val="00DC5C63"/>
    <w:rsid w:val="00DC7B5D"/>
    <w:rsid w:val="00DF4CDB"/>
    <w:rsid w:val="00E10820"/>
    <w:rsid w:val="00E231A8"/>
    <w:rsid w:val="00E465B2"/>
    <w:rsid w:val="00E51441"/>
    <w:rsid w:val="00E57621"/>
    <w:rsid w:val="00E64441"/>
    <w:rsid w:val="00EB303B"/>
    <w:rsid w:val="00EB6C29"/>
    <w:rsid w:val="00F069A5"/>
    <w:rsid w:val="00F14E37"/>
    <w:rsid w:val="00F236E8"/>
    <w:rsid w:val="00F401FF"/>
    <w:rsid w:val="00F41603"/>
    <w:rsid w:val="00F41945"/>
    <w:rsid w:val="00F42415"/>
    <w:rsid w:val="00F460D8"/>
    <w:rsid w:val="00F54ECA"/>
    <w:rsid w:val="00F62560"/>
    <w:rsid w:val="00F67039"/>
    <w:rsid w:val="00F67B54"/>
    <w:rsid w:val="00F73F48"/>
    <w:rsid w:val="00F853A0"/>
    <w:rsid w:val="00F919ED"/>
    <w:rsid w:val="00FC0D8F"/>
    <w:rsid w:val="00FC258E"/>
    <w:rsid w:val="00FE0870"/>
    <w:rsid w:val="00FE61AC"/>
    <w:rsid w:val="00FF3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427A6A-CB78-4036-9D50-A5924B2D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uiPriority w:val="99"/>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Message">
    <w:name w:val="Message"/>
    <w:rsid w:val="00DF4CDB"/>
    <w:pPr>
      <w:spacing w:before="240" w:line="300" w:lineRule="exact"/>
      <w:ind w:left="794" w:right="794"/>
    </w:pPr>
    <w:rPr>
      <w:rFonts w:ascii="Arial" w:hAnsi="Arial" w:cs="Times New Roman"/>
      <w:szCs w:val="20"/>
      <w:lang w:eastAsia="en-US" w:bidi="he-IL"/>
    </w:rPr>
  </w:style>
  <w:style w:type="character" w:customStyle="1" w:styleId="st1">
    <w:name w:val="st1"/>
    <w:basedOn w:val="DefaultParagraphFont"/>
    <w:rsid w:val="00CC175A"/>
  </w:style>
  <w:style w:type="paragraph" w:styleId="ListParagraph">
    <w:name w:val="List Paragraph"/>
    <w:basedOn w:val="Normal"/>
    <w:uiPriority w:val="34"/>
    <w:qFormat/>
    <w:rsid w:val="00CC175A"/>
    <w:pPr>
      <w:spacing w:before="0" w:after="0"/>
      <w:ind w:left="720"/>
      <w:contextualSpacing/>
    </w:pPr>
    <w:rPr>
      <w:rFonts w:ascii="Times New Roman" w:hAnsi="Times New Roman" w:cs="Times New Roman"/>
      <w:sz w:val="24"/>
      <w:szCs w:val="24"/>
      <w:lang w:eastAsia="ru-RU"/>
    </w:rPr>
  </w:style>
  <w:style w:type="character" w:customStyle="1" w:styleId="apple-converted-space">
    <w:name w:val="apple-converted-space"/>
    <w:basedOn w:val="DefaultParagraphFont"/>
    <w:rsid w:val="00DA05C1"/>
  </w:style>
  <w:style w:type="character" w:styleId="FollowedHyperlink">
    <w:name w:val="FollowedHyperlink"/>
    <w:basedOn w:val="DefaultParagraphFont"/>
    <w:uiPriority w:val="99"/>
    <w:semiHidden/>
    <w:unhideWhenUsed/>
    <w:locked/>
    <w:rsid w:val="002542D0"/>
    <w:rPr>
      <w:color w:val="800080" w:themeColor="followedHyperlink"/>
      <w:u w:val="single"/>
    </w:rPr>
  </w:style>
  <w:style w:type="paragraph" w:styleId="Header">
    <w:name w:val="header"/>
    <w:basedOn w:val="Normal"/>
    <w:link w:val="HeaderChar"/>
    <w:unhideWhenUsed/>
    <w:locked/>
    <w:rsid w:val="00D55FD3"/>
    <w:pPr>
      <w:tabs>
        <w:tab w:val="center" w:pos="4680"/>
        <w:tab w:val="right" w:pos="9360"/>
      </w:tabs>
      <w:spacing w:before="0" w:after="0"/>
    </w:pPr>
    <w:rPr>
      <w:rFonts w:asciiTheme="minorHAnsi" w:eastAsiaTheme="minorEastAsia" w:hAnsiTheme="minorHAnsi" w:cstheme="minorBidi"/>
      <w:szCs w:val="22"/>
      <w:lang w:eastAsia="ja-JP"/>
    </w:rPr>
  </w:style>
  <w:style w:type="character" w:customStyle="1" w:styleId="HeaderChar">
    <w:name w:val="Header Char"/>
    <w:basedOn w:val="DefaultParagraphFont"/>
    <w:link w:val="Header"/>
    <w:uiPriority w:val="99"/>
    <w:rsid w:val="00D55FD3"/>
    <w:rPr>
      <w:rFonts w:asciiTheme="minorHAnsi" w:eastAsiaTheme="minorEastAsia" w:hAnsiTheme="minorHAnsi" w:cstheme="minorBidi"/>
      <w:lang w:eastAsia="ja-JP"/>
    </w:rPr>
  </w:style>
  <w:style w:type="paragraph" w:customStyle="1" w:styleId="CEOMeetingDates">
    <w:name w:val="CEO_MeetingDates"/>
    <w:basedOn w:val="Normal"/>
    <w:rsid w:val="00F67039"/>
    <w:rPr>
      <w:rFonts w:ascii="Verdana" w:hAnsi="Verdana" w:cs="Times New Roman"/>
      <w:b/>
      <w:bCs/>
      <w:sz w:val="19"/>
      <w:szCs w:val="20"/>
      <w:lang w:val="en-GB"/>
    </w:rPr>
  </w:style>
  <w:style w:type="table" w:styleId="TableGrid">
    <w:name w:val="Table Grid"/>
    <w:basedOn w:val="TableNormal"/>
    <w:uiPriority w:val="59"/>
    <w:locked/>
    <w:rsid w:val="00F670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7039"/>
    <w:rPr>
      <w:color w:val="808080"/>
    </w:rPr>
  </w:style>
  <w:style w:type="paragraph" w:customStyle="1" w:styleId="Event-Bold">
    <w:name w:val="Event - Bold"/>
    <w:basedOn w:val="Event"/>
    <w:qFormat/>
    <w:rsid w:val="00F67039"/>
    <w:rPr>
      <w:b/>
    </w:rPr>
  </w:style>
  <w:style w:type="paragraph" w:customStyle="1" w:styleId="Event">
    <w:name w:val="Event"/>
    <w:basedOn w:val="Normal"/>
    <w:qFormat/>
    <w:rsid w:val="00F67039"/>
    <w:pPr>
      <w:spacing w:before="0" w:after="80"/>
    </w:pPr>
    <w:rPr>
      <w:rFonts w:eastAsia="Calibri" w:cs="Arial"/>
      <w:sz w:val="18"/>
      <w:szCs w:val="22"/>
    </w:rPr>
  </w:style>
  <w:style w:type="table" w:customStyle="1" w:styleId="LightShading-Accent11">
    <w:name w:val="Light Shading - Accent 11"/>
    <w:basedOn w:val="TableNormal"/>
    <w:uiPriority w:val="60"/>
    <w:rsid w:val="00F67039"/>
    <w:rPr>
      <w:rFonts w:asciiTheme="minorHAnsi" w:eastAsiaTheme="minorEastAsia"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F67039"/>
    <w:rPr>
      <w:rFonts w:asciiTheme="minorHAnsi" w:eastAsiaTheme="minorEastAsia"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link w:val="TitleChar"/>
    <w:qFormat/>
    <w:locked/>
    <w:rsid w:val="002D283B"/>
    <w:pPr>
      <w:pBdr>
        <w:top w:val="single" w:sz="6" w:space="1" w:color="auto"/>
        <w:left w:val="single" w:sz="6" w:space="1" w:color="auto"/>
        <w:bottom w:val="single" w:sz="6" w:space="1" w:color="auto"/>
        <w:right w:val="single" w:sz="6" w:space="1" w:color="auto"/>
      </w:pBdr>
      <w:shd w:val="pct12" w:color="auto" w:fill="auto"/>
      <w:overflowPunct w:val="0"/>
      <w:autoSpaceDE w:val="0"/>
      <w:autoSpaceDN w:val="0"/>
      <w:adjustRightInd w:val="0"/>
      <w:spacing w:before="0" w:after="0"/>
      <w:jc w:val="center"/>
      <w:textAlignment w:val="baseline"/>
    </w:pPr>
    <w:rPr>
      <w:rFonts w:ascii="Arial" w:eastAsia="Times New Roman" w:hAnsi="Arial" w:cs="Times New Roman"/>
      <w:b/>
      <w:sz w:val="36"/>
      <w:szCs w:val="20"/>
    </w:rPr>
  </w:style>
  <w:style w:type="character" w:customStyle="1" w:styleId="TitleChar">
    <w:name w:val="Title Char"/>
    <w:basedOn w:val="DefaultParagraphFont"/>
    <w:link w:val="Title"/>
    <w:rsid w:val="002D283B"/>
    <w:rPr>
      <w:rFonts w:ascii="Arial" w:hAnsi="Arial" w:cs="Times New Roman"/>
      <w:b/>
      <w:sz w:val="36"/>
      <w:szCs w:val="20"/>
      <w:shd w:val="pct12" w:color="auto" w:fil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2457">
      <w:bodyDiv w:val="1"/>
      <w:marLeft w:val="0"/>
      <w:marRight w:val="0"/>
      <w:marTop w:val="0"/>
      <w:marBottom w:val="0"/>
      <w:divBdr>
        <w:top w:val="none" w:sz="0" w:space="0" w:color="auto"/>
        <w:left w:val="none" w:sz="0" w:space="0" w:color="auto"/>
        <w:bottom w:val="none" w:sz="0" w:space="0" w:color="auto"/>
        <w:right w:val="none" w:sz="0" w:space="0" w:color="auto"/>
      </w:divBdr>
    </w:div>
    <w:div w:id="333185409">
      <w:bodyDiv w:val="1"/>
      <w:marLeft w:val="0"/>
      <w:marRight w:val="0"/>
      <w:marTop w:val="0"/>
      <w:marBottom w:val="0"/>
      <w:divBdr>
        <w:top w:val="none" w:sz="0" w:space="0" w:color="auto"/>
        <w:left w:val="none" w:sz="0" w:space="0" w:color="auto"/>
        <w:bottom w:val="none" w:sz="0" w:space="0" w:color="auto"/>
        <w:right w:val="none" w:sz="0" w:space="0" w:color="auto"/>
      </w:divBdr>
    </w:div>
    <w:div w:id="621156275">
      <w:bodyDiv w:val="1"/>
      <w:marLeft w:val="0"/>
      <w:marRight w:val="0"/>
      <w:marTop w:val="0"/>
      <w:marBottom w:val="0"/>
      <w:divBdr>
        <w:top w:val="none" w:sz="0" w:space="0" w:color="auto"/>
        <w:left w:val="none" w:sz="0" w:space="0" w:color="auto"/>
        <w:bottom w:val="none" w:sz="0" w:space="0" w:color="auto"/>
        <w:right w:val="none" w:sz="0" w:space="0" w:color="auto"/>
      </w:divBdr>
    </w:div>
    <w:div w:id="647172937">
      <w:bodyDiv w:val="1"/>
      <w:marLeft w:val="0"/>
      <w:marRight w:val="0"/>
      <w:marTop w:val="0"/>
      <w:marBottom w:val="0"/>
      <w:divBdr>
        <w:top w:val="none" w:sz="0" w:space="0" w:color="auto"/>
        <w:left w:val="none" w:sz="0" w:space="0" w:color="auto"/>
        <w:bottom w:val="none" w:sz="0" w:space="0" w:color="auto"/>
        <w:right w:val="none" w:sz="0" w:space="0" w:color="auto"/>
      </w:divBdr>
    </w:div>
    <w:div w:id="737754579">
      <w:bodyDiv w:val="1"/>
      <w:marLeft w:val="0"/>
      <w:marRight w:val="0"/>
      <w:marTop w:val="0"/>
      <w:marBottom w:val="0"/>
      <w:divBdr>
        <w:top w:val="none" w:sz="0" w:space="0" w:color="auto"/>
        <w:left w:val="none" w:sz="0" w:space="0" w:color="auto"/>
        <w:bottom w:val="none" w:sz="0" w:space="0" w:color="auto"/>
        <w:right w:val="none" w:sz="0" w:space="0" w:color="auto"/>
      </w:divBdr>
    </w:div>
    <w:div w:id="858662982">
      <w:bodyDiv w:val="1"/>
      <w:marLeft w:val="0"/>
      <w:marRight w:val="0"/>
      <w:marTop w:val="0"/>
      <w:marBottom w:val="0"/>
      <w:divBdr>
        <w:top w:val="none" w:sz="0" w:space="0" w:color="auto"/>
        <w:left w:val="none" w:sz="0" w:space="0" w:color="auto"/>
        <w:bottom w:val="none" w:sz="0" w:space="0" w:color="auto"/>
        <w:right w:val="none" w:sz="0" w:space="0" w:color="auto"/>
      </w:divBdr>
    </w:div>
    <w:div w:id="912158346">
      <w:bodyDiv w:val="1"/>
      <w:marLeft w:val="0"/>
      <w:marRight w:val="0"/>
      <w:marTop w:val="0"/>
      <w:marBottom w:val="0"/>
      <w:divBdr>
        <w:top w:val="none" w:sz="0" w:space="0" w:color="auto"/>
        <w:left w:val="none" w:sz="0" w:space="0" w:color="auto"/>
        <w:bottom w:val="none" w:sz="0" w:space="0" w:color="auto"/>
        <w:right w:val="none" w:sz="0" w:space="0" w:color="auto"/>
      </w:divBdr>
    </w:div>
    <w:div w:id="1194659699">
      <w:bodyDiv w:val="1"/>
      <w:marLeft w:val="0"/>
      <w:marRight w:val="0"/>
      <w:marTop w:val="0"/>
      <w:marBottom w:val="0"/>
      <w:divBdr>
        <w:top w:val="none" w:sz="0" w:space="0" w:color="auto"/>
        <w:left w:val="none" w:sz="0" w:space="0" w:color="auto"/>
        <w:bottom w:val="none" w:sz="0" w:space="0" w:color="auto"/>
        <w:right w:val="none" w:sz="0" w:space="0" w:color="auto"/>
      </w:divBdr>
    </w:div>
    <w:div w:id="1290742982">
      <w:bodyDiv w:val="1"/>
      <w:marLeft w:val="0"/>
      <w:marRight w:val="0"/>
      <w:marTop w:val="0"/>
      <w:marBottom w:val="0"/>
      <w:divBdr>
        <w:top w:val="none" w:sz="0" w:space="0" w:color="auto"/>
        <w:left w:val="none" w:sz="0" w:space="0" w:color="auto"/>
        <w:bottom w:val="none" w:sz="0" w:space="0" w:color="auto"/>
        <w:right w:val="none" w:sz="0" w:space="0" w:color="auto"/>
      </w:divBdr>
    </w:div>
    <w:div w:id="1462042843">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20370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ept.org/ec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urregion@itu.int"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aha.rzayeva@itu.int"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eco@eco.cept.org" TargetMode="External"/><Relationship Id="rId23" Type="http://schemas.openxmlformats.org/officeDocument/2006/relationships/customXml" Target="../customXml/item2.xml"/><Relationship Id="rId10" Type="http://schemas.openxmlformats.org/officeDocument/2006/relationships/hyperlink" Target="http://academy.itu.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en/ITU-D/Regional-Presence/Europe/Pages/Events/2017/3rdSC.aspx"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9A141C-B8E5-4E88-84F5-61353FA653BB}"/>
</file>

<file path=customXml/itemProps2.xml><?xml version="1.0" encoding="utf-8"?>
<ds:datastoreItem xmlns:ds="http://schemas.openxmlformats.org/officeDocument/2006/customXml" ds:itemID="{A7A07997-7C9B-4906-880D-308CE592A41A}"/>
</file>

<file path=customXml/itemProps3.xml><?xml version="1.0" encoding="utf-8"?>
<ds:datastoreItem xmlns:ds="http://schemas.openxmlformats.org/officeDocument/2006/customXml" ds:itemID="{0B2E96FA-AE9B-4656-9031-1B3DDF987364}"/>
</file>

<file path=customXml/itemProps4.xml><?xml version="1.0" encoding="utf-8"?>
<ds:datastoreItem xmlns:ds="http://schemas.openxmlformats.org/officeDocument/2006/customXml" ds:itemID="{E5DB728B-35CB-442A-91A4-A30E703D076E}"/>
</file>

<file path=docProps/app.xml><?xml version="1.0" encoding="utf-8"?>
<Properties xmlns="http://schemas.openxmlformats.org/officeDocument/2006/extended-properties" xmlns:vt="http://schemas.openxmlformats.org/officeDocument/2006/docPropsVTypes">
  <Template>Normal.dotm</Template>
  <TotalTime>0</TotalTime>
  <Pages>5</Pages>
  <Words>964</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Efrem Yosef</dc:creator>
  <cp:lastModifiedBy>Chevtchenko, Marina</cp:lastModifiedBy>
  <cp:revision>3</cp:revision>
  <cp:lastPrinted>2016-11-02T15:46:00Z</cp:lastPrinted>
  <dcterms:created xsi:type="dcterms:W3CDTF">2016-11-03T11:16:00Z</dcterms:created>
  <dcterms:modified xsi:type="dcterms:W3CDTF">2016-11-03T14:49:00Z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0x01010042240BEE36140C4099AA2AE462C59614</vt:lpwstr>
  </property>
</Properties>
</file>