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3969"/>
        <w:gridCol w:w="3827"/>
      </w:tblGrid>
      <w:tr w:rsidR="006E710E" w:rsidRPr="00265BC1" w:rsidTr="00E04163">
        <w:tc>
          <w:tcPr>
            <w:tcW w:w="2835" w:type="dxa"/>
          </w:tcPr>
          <w:p w:rsidR="006E710E" w:rsidRPr="00265BC1" w:rsidRDefault="006E710E" w:rsidP="00E04163">
            <w:pPr>
              <w:spacing w:before="720"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Cs w:val="22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696595" cy="795020"/>
                  <wp:effectExtent l="0" t="0" r="8255" b="5080"/>
                  <wp:wrapNone/>
                  <wp:docPr id="4" name="Picture 1" descr="C:\Users\stankovic\Desktop\IT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nkovic\Desktop\IT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6E710E" w:rsidRDefault="006E710E" w:rsidP="00E041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E710E" w:rsidRPr="004E7519" w:rsidRDefault="006E710E" w:rsidP="00E041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ITU Academy Event </w:t>
            </w:r>
          </w:p>
          <w:p w:rsidR="006E710E" w:rsidRPr="00265BC1" w:rsidRDefault="006E710E" w:rsidP="00E041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on</w:t>
            </w:r>
          </w:p>
        </w:tc>
        <w:tc>
          <w:tcPr>
            <w:tcW w:w="3827" w:type="dxa"/>
          </w:tcPr>
          <w:p w:rsidR="006E710E" w:rsidRPr="00265BC1" w:rsidRDefault="006E710E" w:rsidP="00E04163">
            <w:pPr>
              <w:spacing w:before="840"/>
              <w:ind w:left="-391" w:firstLine="39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8890</wp:posOffset>
                  </wp:positionV>
                  <wp:extent cx="106489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252" y="21098"/>
                      <wp:lineTo x="21252" y="0"/>
                      <wp:lineTo x="0" y="0"/>
                    </wp:wrapPolygon>
                  </wp:wrapThrough>
                  <wp:docPr id="5" name="Picture 1" descr="http://t2.gstatic.com/images?q=tbn:ANd9GcTTFVKchfe_v4AA3QsywOZznOdCOVFZOzL45VkoUxAygJqr3M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TTFVKchfe_v4AA3QsywOZznOdCOVFZOzL45VkoUxAygJqr3M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710E" w:rsidRDefault="006E710E" w:rsidP="006E710E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Fostering Innovation and Partnerships in the Human Capacity Building: </w:t>
      </w:r>
      <w:r>
        <w:rPr>
          <w:rFonts w:asciiTheme="majorHAnsi" w:hAnsiTheme="majorHAnsi"/>
          <w:b/>
          <w:color w:val="C00000"/>
          <w:sz w:val="28"/>
          <w:szCs w:val="28"/>
        </w:rPr>
        <w:br/>
      </w:r>
      <w:r w:rsidRPr="00C922E7">
        <w:rPr>
          <w:rFonts w:asciiTheme="majorHAnsi" w:hAnsiTheme="majorHAnsi"/>
          <w:b/>
          <w:i/>
          <w:iCs/>
          <w:color w:val="C00000"/>
          <w:sz w:val="28"/>
          <w:szCs w:val="28"/>
        </w:rPr>
        <w:t>Enhanced Engagement of Academia in the</w:t>
      </w:r>
      <w:r>
        <w:rPr>
          <w:rFonts w:asciiTheme="majorHAnsi" w:hAnsiTheme="majorHAnsi"/>
          <w:b/>
          <w:i/>
          <w:iCs/>
          <w:color w:val="C00000"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iCs/>
          <w:color w:val="C00000"/>
          <w:sz w:val="28"/>
          <w:szCs w:val="28"/>
        </w:rPr>
        <w:br/>
      </w:r>
      <w:r w:rsidR="000A0816">
        <w:rPr>
          <w:rFonts w:asciiTheme="majorHAnsi" w:hAnsiTheme="majorHAnsi"/>
          <w:b/>
          <w:i/>
          <w:iCs/>
          <w:color w:val="C00000"/>
          <w:sz w:val="28"/>
          <w:szCs w:val="28"/>
        </w:rPr>
        <w:t xml:space="preserve">Work of </w:t>
      </w:r>
      <w:r w:rsidRPr="00C922E7">
        <w:rPr>
          <w:rFonts w:asciiTheme="majorHAnsi" w:hAnsiTheme="majorHAnsi"/>
          <w:b/>
          <w:i/>
          <w:iCs/>
          <w:color w:val="C00000"/>
          <w:sz w:val="28"/>
          <w:szCs w:val="28"/>
        </w:rPr>
        <w:t>International Telecommunication Union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</w:p>
    <w:p w:rsidR="006E710E" w:rsidRPr="00265BC1" w:rsidRDefault="006E710E" w:rsidP="006E710E">
      <w:pPr>
        <w:tabs>
          <w:tab w:val="left" w:pos="7910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Organized by </w:t>
      </w:r>
      <w:r>
        <w:rPr>
          <w:rFonts w:asciiTheme="majorHAnsi" w:hAnsiTheme="majorHAnsi"/>
          <w:b/>
          <w:sz w:val="24"/>
          <w:szCs w:val="24"/>
        </w:rPr>
        <w:br/>
        <w:t>International Telecommunication Union and Czech Technical University in Prague</w:t>
      </w:r>
      <w:r>
        <w:rPr>
          <w:rFonts w:asciiTheme="majorHAnsi" w:hAnsiTheme="majorHAnsi"/>
          <w:b/>
          <w:sz w:val="24"/>
          <w:szCs w:val="24"/>
        </w:rPr>
        <w:br/>
        <w:t xml:space="preserve">28-29 April 2014 </w:t>
      </w:r>
    </w:p>
    <w:p w:rsidR="006E710E" w:rsidRDefault="006E710E" w:rsidP="006E710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Czech Technical University</w:t>
      </w:r>
      <w:r>
        <w:rPr>
          <w:rFonts w:asciiTheme="majorHAnsi" w:hAnsiTheme="majorHAnsi"/>
          <w:b/>
          <w:sz w:val="24"/>
          <w:szCs w:val="24"/>
        </w:rPr>
        <w:br/>
        <w:t>National Technical Library</w:t>
      </w:r>
      <w:r>
        <w:rPr>
          <w:rFonts w:asciiTheme="majorHAnsi" w:hAnsiTheme="majorHAnsi"/>
          <w:b/>
          <w:sz w:val="24"/>
          <w:szCs w:val="24"/>
        </w:rPr>
        <w:br/>
      </w:r>
      <w:proofErr w:type="spellStart"/>
      <w:r>
        <w:rPr>
          <w:rFonts w:asciiTheme="majorHAnsi" w:hAnsiTheme="majorHAnsi"/>
          <w:b/>
          <w:sz w:val="24"/>
          <w:szCs w:val="24"/>
        </w:rPr>
        <w:t>Technicka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2, Prague, Czech Republic </w:t>
      </w:r>
    </w:p>
    <w:p w:rsidR="00843A68" w:rsidRDefault="00843A68" w:rsidP="00843A68">
      <w:pPr>
        <w:pStyle w:val="Default"/>
        <w:spacing w:after="120"/>
        <w:ind w:right="533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843A68" w:rsidRPr="008B4E5C" w:rsidRDefault="00843A68" w:rsidP="00843A68">
      <w:pPr>
        <w:pStyle w:val="Default"/>
        <w:spacing w:after="120"/>
        <w:ind w:right="533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8B4E5C">
        <w:rPr>
          <w:rFonts w:asciiTheme="minorHAnsi" w:hAnsiTheme="minorHAnsi" w:cs="Arial"/>
          <w:b/>
          <w:bCs/>
          <w:sz w:val="28"/>
          <w:szCs w:val="28"/>
          <w:u w:val="single"/>
        </w:rPr>
        <w:t>CALL FOR PAPERS</w:t>
      </w:r>
    </w:p>
    <w:p w:rsidR="00843A68" w:rsidRDefault="00843A68" w:rsidP="00843A68">
      <w:pPr>
        <w:pStyle w:val="Default"/>
        <w:ind w:right="5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T</w:t>
      </w:r>
      <w:r w:rsidRPr="00EA2AFA">
        <w:rPr>
          <w:rFonts w:asciiTheme="minorHAnsi" w:hAnsiTheme="minorHAnsi" w:cs="Arial"/>
          <w:b/>
          <w:bCs/>
          <w:sz w:val="22"/>
          <w:szCs w:val="22"/>
        </w:rPr>
        <w:t xml:space="preserve">o all academic and research institutions active in the ICT ecosystem, as well as ITU-D members involved with the ITU </w:t>
      </w:r>
      <w:r>
        <w:rPr>
          <w:rFonts w:asciiTheme="minorHAnsi" w:hAnsiTheme="minorHAnsi" w:cs="Arial"/>
          <w:b/>
          <w:bCs/>
          <w:sz w:val="22"/>
          <w:szCs w:val="22"/>
        </w:rPr>
        <w:t>Academy through development of t</w:t>
      </w:r>
      <w:r w:rsidRPr="00EA2AFA">
        <w:rPr>
          <w:rFonts w:asciiTheme="minorHAnsi" w:hAnsiTheme="minorHAnsi" w:cs="Arial"/>
          <w:b/>
          <w:bCs/>
          <w:sz w:val="22"/>
          <w:szCs w:val="22"/>
        </w:rPr>
        <w:t>raining materials or delivery of training programs.</w:t>
      </w:r>
    </w:p>
    <w:p w:rsidR="00843A68" w:rsidRPr="00B10BD2" w:rsidRDefault="00843A68" w:rsidP="00843A68">
      <w:pPr>
        <w:pStyle w:val="Default"/>
        <w:ind w:right="532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43A68" w:rsidRPr="00273CD6" w:rsidRDefault="00843A68" w:rsidP="00843A68">
      <w:pPr>
        <w:pStyle w:val="Default"/>
        <w:ind w:right="391"/>
        <w:jc w:val="both"/>
        <w:rPr>
          <w:rFonts w:asciiTheme="minorHAnsi" w:hAnsiTheme="minorHAnsi" w:cs="Arial"/>
          <w:sz w:val="22"/>
          <w:szCs w:val="22"/>
        </w:rPr>
      </w:pPr>
      <w:r w:rsidRPr="00B10BD2">
        <w:rPr>
          <w:rFonts w:asciiTheme="minorHAnsi" w:hAnsiTheme="minorHAnsi" w:cstheme="majorBidi"/>
          <w:sz w:val="22"/>
          <w:szCs w:val="22"/>
        </w:rPr>
        <w:t xml:space="preserve">This is an invitation to </w:t>
      </w:r>
      <w:r>
        <w:rPr>
          <w:rFonts w:asciiTheme="minorHAnsi" w:hAnsiTheme="minorHAnsi" w:cstheme="majorBidi"/>
          <w:sz w:val="22"/>
          <w:szCs w:val="22"/>
        </w:rPr>
        <w:t>academia members and representatives of research institutions,</w:t>
      </w:r>
      <w:r w:rsidRPr="00B10BD2">
        <w:rPr>
          <w:rFonts w:asciiTheme="minorHAnsi" w:hAnsiTheme="minorHAnsi" w:cstheme="majorBidi"/>
          <w:sz w:val="22"/>
          <w:szCs w:val="22"/>
        </w:rPr>
        <w:t xml:space="preserve"> </w:t>
      </w:r>
      <w:r>
        <w:rPr>
          <w:rFonts w:asciiTheme="minorHAnsi" w:hAnsiTheme="minorHAnsi" w:cstheme="majorBidi"/>
          <w:sz w:val="22"/>
          <w:szCs w:val="22"/>
        </w:rPr>
        <w:t>policymakers from Ministries</w:t>
      </w:r>
      <w:r w:rsidRPr="00B10BD2">
        <w:rPr>
          <w:rFonts w:asciiTheme="minorHAnsi" w:hAnsiTheme="minorHAnsi" w:cstheme="majorBidi"/>
          <w:sz w:val="22"/>
          <w:szCs w:val="22"/>
        </w:rPr>
        <w:t xml:space="preserve"> in charge of telecommunications/ICT</w:t>
      </w:r>
      <w:r>
        <w:rPr>
          <w:rFonts w:asciiTheme="minorHAnsi" w:hAnsiTheme="minorHAnsi" w:cstheme="majorBidi"/>
          <w:sz w:val="22"/>
          <w:szCs w:val="22"/>
        </w:rPr>
        <w:t xml:space="preserve"> and Education</w:t>
      </w:r>
      <w:r w:rsidRPr="00B10BD2">
        <w:rPr>
          <w:rFonts w:asciiTheme="minorHAnsi" w:hAnsiTheme="minorHAnsi" w:cstheme="majorBidi"/>
          <w:sz w:val="22"/>
          <w:szCs w:val="22"/>
        </w:rPr>
        <w:t xml:space="preserve">, </w:t>
      </w:r>
      <w:r>
        <w:rPr>
          <w:rFonts w:asciiTheme="minorHAnsi" w:hAnsiTheme="minorHAnsi" w:cstheme="majorBidi"/>
          <w:sz w:val="22"/>
          <w:szCs w:val="22"/>
        </w:rPr>
        <w:t>regulators, private sector representatives</w:t>
      </w:r>
      <w:r w:rsidRPr="00B10BD2">
        <w:rPr>
          <w:rFonts w:asciiTheme="minorHAnsi" w:hAnsiTheme="minorHAnsi" w:cstheme="majorBidi"/>
          <w:sz w:val="22"/>
          <w:szCs w:val="22"/>
        </w:rPr>
        <w:t>, a</w:t>
      </w:r>
      <w:r>
        <w:rPr>
          <w:rFonts w:asciiTheme="minorHAnsi" w:hAnsiTheme="minorHAnsi" w:cstheme="majorBidi"/>
          <w:sz w:val="22"/>
          <w:szCs w:val="22"/>
        </w:rPr>
        <w:t xml:space="preserve">nd all other </w:t>
      </w:r>
      <w:r w:rsidRPr="00B10BD2">
        <w:rPr>
          <w:rFonts w:asciiTheme="minorHAnsi" w:hAnsiTheme="minorHAnsi" w:cstheme="majorBidi"/>
          <w:sz w:val="22"/>
          <w:szCs w:val="22"/>
        </w:rPr>
        <w:t xml:space="preserve">stakeholders within </w:t>
      </w:r>
      <w:r>
        <w:rPr>
          <w:rFonts w:asciiTheme="minorHAnsi" w:hAnsiTheme="minorHAnsi" w:cstheme="majorBidi"/>
          <w:sz w:val="22"/>
          <w:szCs w:val="22"/>
        </w:rPr>
        <w:t xml:space="preserve">academia and </w:t>
      </w:r>
      <w:r w:rsidRPr="00B10BD2">
        <w:rPr>
          <w:rFonts w:asciiTheme="minorHAnsi" w:hAnsiTheme="minorHAnsi" w:cstheme="majorBidi"/>
          <w:sz w:val="22"/>
          <w:szCs w:val="22"/>
        </w:rPr>
        <w:t>ICT sector</w:t>
      </w:r>
      <w:r>
        <w:rPr>
          <w:rFonts w:asciiTheme="minorHAnsi" w:hAnsiTheme="minorHAnsi" w:cstheme="majorBidi"/>
          <w:sz w:val="22"/>
          <w:szCs w:val="22"/>
        </w:rPr>
        <w:t xml:space="preserve"> to present a paper during the event on </w:t>
      </w:r>
      <w:r w:rsidRPr="009A3192">
        <w:rPr>
          <w:rFonts w:asciiTheme="minorHAnsi" w:hAnsiTheme="minorHAnsi" w:cs="Arial"/>
          <w:b/>
          <w:bCs/>
          <w:sz w:val="22"/>
          <w:szCs w:val="22"/>
        </w:rPr>
        <w:t>“Fostering Innovation and Partnerships in the Human Capacity Building: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9A3192">
        <w:rPr>
          <w:rFonts w:asciiTheme="minorHAnsi" w:hAnsiTheme="minorHAnsi" w:cs="Arial"/>
          <w:b/>
          <w:bCs/>
          <w:sz w:val="22"/>
          <w:szCs w:val="22"/>
        </w:rPr>
        <w:t>Enhanced Engagement of Academia in the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A0816">
        <w:rPr>
          <w:rFonts w:asciiTheme="minorHAnsi" w:hAnsiTheme="minorHAnsi" w:cs="Arial"/>
          <w:b/>
          <w:bCs/>
          <w:sz w:val="22"/>
          <w:szCs w:val="22"/>
        </w:rPr>
        <w:t xml:space="preserve">Work of </w:t>
      </w:r>
      <w:r w:rsidRPr="009A3192">
        <w:rPr>
          <w:rFonts w:asciiTheme="minorHAnsi" w:hAnsiTheme="minorHAnsi" w:cs="Arial"/>
          <w:b/>
          <w:bCs/>
          <w:sz w:val="22"/>
          <w:szCs w:val="22"/>
        </w:rPr>
        <w:t>International Telecommunication Union”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273CD6">
        <w:rPr>
          <w:rFonts w:asciiTheme="minorHAnsi" w:hAnsiTheme="minorHAnsi" w:cs="Arial"/>
          <w:sz w:val="22"/>
          <w:szCs w:val="22"/>
        </w:rPr>
        <w:t>Prague, 28-29 April 2014.</w:t>
      </w:r>
    </w:p>
    <w:p w:rsidR="00843A68" w:rsidRPr="00B10BD2" w:rsidRDefault="00843A68" w:rsidP="00843A68">
      <w:pPr>
        <w:pStyle w:val="Default"/>
        <w:ind w:right="391"/>
        <w:jc w:val="both"/>
        <w:rPr>
          <w:rFonts w:asciiTheme="minorHAnsi" w:hAnsiTheme="minorHAnsi" w:cstheme="majorBidi"/>
          <w:sz w:val="22"/>
          <w:szCs w:val="22"/>
        </w:rPr>
      </w:pPr>
    </w:p>
    <w:p w:rsidR="00843A68" w:rsidRPr="00B10BD2" w:rsidRDefault="00843A68" w:rsidP="00843A68">
      <w:pPr>
        <w:pStyle w:val="Default"/>
        <w:ind w:right="391"/>
        <w:jc w:val="both"/>
        <w:rPr>
          <w:rFonts w:asciiTheme="minorHAnsi" w:hAnsiTheme="minorHAnsi" w:cstheme="majorBidi"/>
          <w:sz w:val="22"/>
          <w:szCs w:val="22"/>
        </w:rPr>
      </w:pPr>
      <w:r w:rsidRPr="00B10BD2">
        <w:rPr>
          <w:rFonts w:asciiTheme="minorHAnsi" w:hAnsiTheme="minorHAnsi" w:cstheme="majorBidi"/>
          <w:sz w:val="22"/>
          <w:szCs w:val="22"/>
        </w:rPr>
        <w:t>The papers/presentations</w:t>
      </w:r>
      <w:r>
        <w:rPr>
          <w:rFonts w:asciiTheme="minorHAnsi" w:hAnsiTheme="minorHAnsi" w:cstheme="majorBidi"/>
          <w:sz w:val="22"/>
          <w:szCs w:val="22"/>
        </w:rPr>
        <w:t xml:space="preserve"> </w:t>
      </w:r>
      <w:r w:rsidRPr="00B10BD2">
        <w:rPr>
          <w:rFonts w:asciiTheme="minorHAnsi" w:hAnsiTheme="minorHAnsi" w:cstheme="majorBidi"/>
          <w:sz w:val="22"/>
          <w:szCs w:val="22"/>
        </w:rPr>
        <w:t xml:space="preserve">can be in any </w:t>
      </w:r>
      <w:r>
        <w:rPr>
          <w:rFonts w:asciiTheme="minorHAnsi" w:hAnsiTheme="minorHAnsi" w:cstheme="majorBidi"/>
          <w:sz w:val="22"/>
          <w:szCs w:val="22"/>
        </w:rPr>
        <w:t xml:space="preserve">of the </w:t>
      </w:r>
      <w:r w:rsidRPr="00B10BD2">
        <w:rPr>
          <w:rFonts w:asciiTheme="minorHAnsi" w:hAnsiTheme="minorHAnsi" w:cstheme="majorBidi"/>
          <w:sz w:val="22"/>
          <w:szCs w:val="22"/>
        </w:rPr>
        <w:t xml:space="preserve">topics </w:t>
      </w:r>
      <w:r>
        <w:rPr>
          <w:rFonts w:asciiTheme="minorHAnsi" w:hAnsiTheme="minorHAnsi" w:cstheme="majorBidi"/>
          <w:sz w:val="22"/>
          <w:szCs w:val="22"/>
        </w:rPr>
        <w:t xml:space="preserve">or </w:t>
      </w:r>
      <w:r w:rsidRPr="00B10BD2">
        <w:rPr>
          <w:rFonts w:asciiTheme="minorHAnsi" w:hAnsiTheme="minorHAnsi" w:cstheme="majorBidi"/>
          <w:sz w:val="22"/>
          <w:szCs w:val="22"/>
        </w:rPr>
        <w:t>areas below</w:t>
      </w:r>
      <w:r>
        <w:rPr>
          <w:rFonts w:asciiTheme="minorHAnsi" w:hAnsiTheme="minorHAnsi" w:cstheme="majorBidi"/>
          <w:sz w:val="22"/>
          <w:szCs w:val="22"/>
        </w:rPr>
        <w:t>, and presented in no more than 10 to 15</w:t>
      </w:r>
      <w:r w:rsidRPr="00B10BD2">
        <w:rPr>
          <w:rFonts w:asciiTheme="minorHAnsi" w:hAnsiTheme="minorHAnsi" w:cstheme="majorBidi"/>
          <w:sz w:val="22"/>
          <w:szCs w:val="22"/>
        </w:rPr>
        <w:t xml:space="preserve"> minutes in Power Point</w:t>
      </w:r>
      <w:r>
        <w:rPr>
          <w:rFonts w:asciiTheme="minorHAnsi" w:hAnsiTheme="minorHAnsi" w:cstheme="majorBidi"/>
          <w:sz w:val="22"/>
          <w:szCs w:val="22"/>
        </w:rPr>
        <w:t xml:space="preserve"> or orally</w:t>
      </w:r>
      <w:r w:rsidRPr="00B10BD2">
        <w:rPr>
          <w:rFonts w:asciiTheme="minorHAnsi" w:hAnsiTheme="minorHAnsi" w:cstheme="majorBidi"/>
          <w:sz w:val="22"/>
          <w:szCs w:val="22"/>
        </w:rPr>
        <w:t>. They can also be in the form of case studies (</w:t>
      </w:r>
      <w:r>
        <w:rPr>
          <w:rFonts w:asciiTheme="minorHAnsi" w:hAnsiTheme="minorHAnsi" w:cstheme="majorBidi"/>
          <w:sz w:val="22"/>
          <w:szCs w:val="22"/>
        </w:rPr>
        <w:t>10-15 minutes</w:t>
      </w:r>
      <w:r w:rsidRPr="00B10BD2">
        <w:rPr>
          <w:rFonts w:asciiTheme="minorHAnsi" w:hAnsiTheme="minorHAnsi" w:cstheme="majorBidi"/>
          <w:sz w:val="22"/>
          <w:szCs w:val="22"/>
        </w:rPr>
        <w:t xml:space="preserve">) in order to share </w:t>
      </w:r>
      <w:r>
        <w:rPr>
          <w:rFonts w:asciiTheme="minorHAnsi" w:hAnsiTheme="minorHAnsi" w:cstheme="majorBidi"/>
          <w:sz w:val="22"/>
          <w:szCs w:val="22"/>
        </w:rPr>
        <w:t>particular experiences</w:t>
      </w:r>
      <w:r w:rsidRPr="00B10BD2">
        <w:rPr>
          <w:rFonts w:asciiTheme="minorHAnsi" w:hAnsiTheme="minorHAnsi" w:cstheme="majorBidi"/>
          <w:sz w:val="22"/>
          <w:szCs w:val="22"/>
        </w:rPr>
        <w:t>.</w:t>
      </w:r>
      <w:bookmarkStart w:id="0" w:name="_GoBack"/>
      <w:bookmarkEnd w:id="0"/>
    </w:p>
    <w:p w:rsidR="00843A68" w:rsidRPr="00D87DF1" w:rsidRDefault="00843A68" w:rsidP="00843A68">
      <w:pPr>
        <w:pStyle w:val="Default"/>
        <w:ind w:right="391"/>
        <w:jc w:val="both"/>
        <w:rPr>
          <w:rFonts w:asciiTheme="minorHAnsi" w:hAnsiTheme="minorHAnsi" w:cstheme="majorBidi"/>
          <w:sz w:val="22"/>
          <w:szCs w:val="22"/>
        </w:rPr>
      </w:pPr>
    </w:p>
    <w:p w:rsidR="00843A68" w:rsidRPr="00B10BD2" w:rsidRDefault="00843A68" w:rsidP="00843A68">
      <w:pPr>
        <w:pStyle w:val="Default"/>
        <w:spacing w:after="120"/>
        <w:ind w:right="391"/>
        <w:jc w:val="both"/>
        <w:rPr>
          <w:rFonts w:asciiTheme="minorHAnsi" w:hAnsiTheme="minorHAnsi" w:cstheme="majorBidi"/>
          <w:b/>
          <w:bCs/>
          <w:sz w:val="22"/>
          <w:szCs w:val="22"/>
        </w:rPr>
      </w:pPr>
      <w:r w:rsidRPr="00B10BD2">
        <w:rPr>
          <w:rFonts w:asciiTheme="minorHAnsi" w:hAnsiTheme="minorHAnsi" w:cstheme="majorBidi"/>
          <w:b/>
          <w:bCs/>
          <w:sz w:val="22"/>
          <w:szCs w:val="22"/>
        </w:rPr>
        <w:t>KEY TOPICS</w:t>
      </w:r>
    </w:p>
    <w:p w:rsidR="00843A68" w:rsidRPr="00B70F52" w:rsidRDefault="00843A68" w:rsidP="00843A68">
      <w:pPr>
        <w:snapToGrid w:val="0"/>
        <w:spacing w:before="0"/>
        <w:rPr>
          <w:rFonts w:asciiTheme="minorHAnsi" w:hAnsiTheme="minorHAnsi"/>
          <w:szCs w:val="22"/>
        </w:rPr>
      </w:pPr>
      <w:r w:rsidRPr="00B70F52">
        <w:rPr>
          <w:rFonts w:asciiTheme="minorHAnsi" w:hAnsiTheme="minorHAnsi"/>
          <w:szCs w:val="22"/>
        </w:rPr>
        <w:t xml:space="preserve">Some of the key topics to be discussed at the event include, </w:t>
      </w:r>
      <w:r w:rsidRPr="00B70F52">
        <w:rPr>
          <w:rFonts w:asciiTheme="minorHAnsi" w:hAnsiTheme="minorHAnsi"/>
          <w:i/>
          <w:iCs/>
          <w:szCs w:val="22"/>
        </w:rPr>
        <w:t>inter alia:</w:t>
      </w:r>
    </w:p>
    <w:p w:rsidR="00843A68" w:rsidRPr="00B6470F" w:rsidRDefault="00843A68" w:rsidP="00843A68">
      <w:pPr>
        <w:numPr>
          <w:ilvl w:val="0"/>
          <w:numId w:val="1"/>
        </w:numPr>
        <w:spacing w:before="0"/>
        <w:contextualSpacing/>
        <w:rPr>
          <w:rFonts w:asciiTheme="minorHAnsi" w:eastAsiaTheme="minorEastAsia" w:hAnsiTheme="minorHAnsi"/>
          <w:b/>
          <w:bCs/>
          <w:szCs w:val="22"/>
          <w:lang w:eastAsia="zh-CN"/>
        </w:rPr>
      </w:pPr>
      <w:r w:rsidRPr="00B6470F">
        <w:rPr>
          <w:rFonts w:asciiTheme="minorHAnsi" w:eastAsiaTheme="minorEastAsia" w:hAnsiTheme="minorHAnsi"/>
          <w:b/>
          <w:bCs/>
          <w:szCs w:val="22"/>
          <w:lang w:eastAsia="zh-CN"/>
        </w:rPr>
        <w:t>ITU Academy: global platform for human capacity building;</w:t>
      </w:r>
    </w:p>
    <w:p w:rsidR="00843A68" w:rsidRPr="00B94A7B" w:rsidRDefault="00843A68" w:rsidP="00843A68">
      <w:pPr>
        <w:numPr>
          <w:ilvl w:val="0"/>
          <w:numId w:val="2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The role of the ITU Academy as an ITU e-learning platform for knowledge sharing and capacity building</w:t>
      </w:r>
    </w:p>
    <w:p w:rsidR="00843A68" w:rsidRPr="00B94A7B" w:rsidRDefault="00843A68" w:rsidP="00843A68">
      <w:pPr>
        <w:numPr>
          <w:ilvl w:val="0"/>
          <w:numId w:val="2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 xml:space="preserve">Collaboration with </w:t>
      </w:r>
      <w:r>
        <w:rPr>
          <w:rFonts w:asciiTheme="minorHAnsi" w:eastAsiaTheme="minorEastAsia" w:hAnsiTheme="minorHAnsi"/>
          <w:szCs w:val="22"/>
          <w:lang w:eastAsia="zh-CN"/>
        </w:rPr>
        <w:t xml:space="preserve">the </w:t>
      </w:r>
      <w:r w:rsidRPr="00B94A7B">
        <w:rPr>
          <w:rFonts w:asciiTheme="minorHAnsi" w:eastAsiaTheme="minorEastAsia" w:hAnsiTheme="minorHAnsi"/>
          <w:szCs w:val="22"/>
          <w:lang w:eastAsia="zh-CN"/>
        </w:rPr>
        <w:t>ITU Academy: experiences and case studies</w:t>
      </w:r>
      <w:r>
        <w:rPr>
          <w:rFonts w:asciiTheme="minorHAnsi" w:eastAsiaTheme="minorEastAsia" w:hAnsiTheme="minorHAnsi"/>
          <w:szCs w:val="22"/>
          <w:lang w:eastAsia="zh-CN"/>
        </w:rPr>
        <w:t>.</w:t>
      </w:r>
    </w:p>
    <w:p w:rsidR="00843A68" w:rsidRPr="00B6470F" w:rsidRDefault="00843A68" w:rsidP="00843A68">
      <w:pPr>
        <w:numPr>
          <w:ilvl w:val="0"/>
          <w:numId w:val="1"/>
        </w:numPr>
        <w:spacing w:before="0"/>
        <w:contextualSpacing/>
        <w:rPr>
          <w:rFonts w:asciiTheme="minorHAnsi" w:eastAsiaTheme="minorEastAsia" w:hAnsiTheme="minorHAnsi"/>
          <w:b/>
          <w:bCs/>
          <w:szCs w:val="22"/>
          <w:lang w:eastAsia="zh-CN"/>
        </w:rPr>
      </w:pPr>
      <w:r w:rsidRPr="00B6470F">
        <w:rPr>
          <w:rFonts w:asciiTheme="minorHAnsi" w:eastAsiaTheme="minorEastAsia" w:hAnsiTheme="minorHAnsi"/>
          <w:b/>
          <w:bCs/>
          <w:szCs w:val="22"/>
          <w:lang w:eastAsia="zh-CN"/>
        </w:rPr>
        <w:t>Building win-win partnerships between the ITU Academy and Academia;</w:t>
      </w:r>
    </w:p>
    <w:p w:rsidR="00843A68" w:rsidRPr="00B94A7B" w:rsidRDefault="00843A68" w:rsidP="00843A68">
      <w:pPr>
        <w:numPr>
          <w:ilvl w:val="0"/>
          <w:numId w:val="3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The role of the ITU Academy for Academia and vice versa;</w:t>
      </w:r>
    </w:p>
    <w:p w:rsidR="00843A68" w:rsidRPr="00B94A7B" w:rsidRDefault="00843A68" w:rsidP="00843A68">
      <w:pPr>
        <w:numPr>
          <w:ilvl w:val="0"/>
          <w:numId w:val="3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Key elements for the successful partnership between ITU Academy and Academia;</w:t>
      </w:r>
    </w:p>
    <w:p w:rsidR="00843A68" w:rsidRPr="00B94A7B" w:rsidRDefault="00843A68" w:rsidP="00843A68">
      <w:pPr>
        <w:numPr>
          <w:ilvl w:val="0"/>
          <w:numId w:val="3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Types of cooperation between ITU Academy and Academia and their benefits;</w:t>
      </w:r>
    </w:p>
    <w:p w:rsidR="00843A68" w:rsidRDefault="00843A68" w:rsidP="00843A68">
      <w:pPr>
        <w:numPr>
          <w:ilvl w:val="0"/>
          <w:numId w:val="3"/>
        </w:numPr>
        <w:spacing w:before="0" w:after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Partnership between ITU Academy and Academia: establishment of accreditat</w:t>
      </w:r>
      <w:r>
        <w:rPr>
          <w:rFonts w:asciiTheme="minorHAnsi" w:eastAsiaTheme="minorEastAsia" w:hAnsiTheme="minorHAnsi"/>
          <w:szCs w:val="22"/>
          <w:lang w:eastAsia="zh-CN"/>
        </w:rPr>
        <w:t>ion and certification framework;</w:t>
      </w:r>
    </w:p>
    <w:p w:rsidR="00843A68" w:rsidRPr="0049251C" w:rsidRDefault="00843A68" w:rsidP="00843A68">
      <w:pPr>
        <w:pStyle w:val="ListParagraph"/>
        <w:numPr>
          <w:ilvl w:val="0"/>
          <w:numId w:val="3"/>
        </w:numPr>
        <w:spacing w:after="0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lastRenderedPageBreak/>
        <w:t xml:space="preserve">How the Academia can accredit </w:t>
      </w:r>
      <w:r w:rsidRPr="0049251C">
        <w:rPr>
          <w:rFonts w:asciiTheme="minorHAnsi" w:eastAsiaTheme="minorEastAsia" w:hAnsiTheme="minorHAnsi"/>
          <w:lang w:val="en-US" w:eastAsia="zh-CN"/>
        </w:rPr>
        <w:t>programs developed by or jointly with the ITU Academy</w:t>
      </w:r>
      <w:r>
        <w:rPr>
          <w:rFonts w:asciiTheme="minorHAnsi" w:eastAsiaTheme="minorEastAsia" w:hAnsiTheme="minorHAnsi"/>
          <w:lang w:val="en-US" w:eastAsia="zh-CN"/>
        </w:rPr>
        <w:t>;</w:t>
      </w:r>
    </w:p>
    <w:p w:rsidR="00843A68" w:rsidRPr="00B94A7B" w:rsidRDefault="00843A68" w:rsidP="00843A68">
      <w:pPr>
        <w:numPr>
          <w:ilvl w:val="0"/>
          <w:numId w:val="3"/>
        </w:numPr>
        <w:spacing w:before="0" w:after="0"/>
        <w:contextualSpacing/>
        <w:rPr>
          <w:rFonts w:asciiTheme="minorHAnsi" w:eastAsiaTheme="minorEastAsia" w:hAnsiTheme="minorHAnsi"/>
          <w:szCs w:val="22"/>
          <w:lang w:eastAsia="zh-CN"/>
        </w:rPr>
      </w:pPr>
      <w:r>
        <w:rPr>
          <w:rFonts w:asciiTheme="minorHAnsi" w:eastAsiaTheme="minorEastAsia" w:hAnsiTheme="minorHAnsi"/>
          <w:szCs w:val="22"/>
          <w:lang w:eastAsia="zh-CN"/>
        </w:rPr>
        <w:t>Professionalism as one of the important elements of the Partnership.</w:t>
      </w:r>
    </w:p>
    <w:p w:rsidR="00843A68" w:rsidRPr="00B6470F" w:rsidRDefault="00843A68" w:rsidP="00843A68">
      <w:pPr>
        <w:numPr>
          <w:ilvl w:val="0"/>
          <w:numId w:val="1"/>
        </w:numPr>
        <w:spacing w:before="0"/>
        <w:contextualSpacing/>
        <w:rPr>
          <w:rFonts w:asciiTheme="minorHAnsi" w:eastAsiaTheme="minorEastAsia" w:hAnsiTheme="minorHAnsi"/>
          <w:b/>
          <w:bCs/>
          <w:szCs w:val="22"/>
          <w:lang w:eastAsia="zh-CN"/>
        </w:rPr>
      </w:pPr>
      <w:r w:rsidRPr="00B6470F">
        <w:rPr>
          <w:rFonts w:asciiTheme="minorHAnsi" w:eastAsiaTheme="minorEastAsia" w:hAnsiTheme="minorHAnsi"/>
          <w:b/>
          <w:bCs/>
          <w:szCs w:val="22"/>
          <w:lang w:eastAsia="zh-CN"/>
        </w:rPr>
        <w:t xml:space="preserve">New paradigm for </w:t>
      </w:r>
      <w:proofErr w:type="spellStart"/>
      <w:r w:rsidRPr="00B6470F">
        <w:rPr>
          <w:rFonts w:asciiTheme="minorHAnsi" w:eastAsiaTheme="minorEastAsia" w:hAnsiTheme="minorHAnsi"/>
          <w:b/>
          <w:bCs/>
          <w:szCs w:val="22"/>
          <w:lang w:eastAsia="zh-CN"/>
        </w:rPr>
        <w:t>Centres</w:t>
      </w:r>
      <w:proofErr w:type="spellEnd"/>
      <w:r w:rsidRPr="00B6470F">
        <w:rPr>
          <w:rFonts w:asciiTheme="minorHAnsi" w:eastAsiaTheme="minorEastAsia" w:hAnsiTheme="minorHAnsi"/>
          <w:b/>
          <w:bCs/>
          <w:szCs w:val="22"/>
          <w:lang w:eastAsia="zh-CN"/>
        </w:rPr>
        <w:t xml:space="preserve"> of Excellence as an effective mechanism for training delivery at regional and global levels;</w:t>
      </w:r>
    </w:p>
    <w:p w:rsidR="00843A68" w:rsidRPr="00B94A7B" w:rsidRDefault="00843A68" w:rsidP="00843A68">
      <w:pPr>
        <w:numPr>
          <w:ilvl w:val="0"/>
          <w:numId w:val="4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Developing a self-sustainable model: sharing experiences.</w:t>
      </w:r>
    </w:p>
    <w:p w:rsidR="00843A68" w:rsidRPr="00B6470F" w:rsidRDefault="00843A68" w:rsidP="00843A68">
      <w:pPr>
        <w:numPr>
          <w:ilvl w:val="0"/>
          <w:numId w:val="1"/>
        </w:numPr>
        <w:spacing w:before="0"/>
        <w:contextualSpacing/>
        <w:rPr>
          <w:rFonts w:asciiTheme="minorHAnsi" w:eastAsiaTheme="minorEastAsia" w:hAnsiTheme="minorHAnsi"/>
          <w:b/>
          <w:bCs/>
          <w:szCs w:val="22"/>
          <w:lang w:eastAsia="zh-CN"/>
        </w:rPr>
      </w:pPr>
      <w:r w:rsidRPr="00B6470F">
        <w:rPr>
          <w:rFonts w:asciiTheme="minorHAnsi" w:eastAsiaTheme="minorEastAsia" w:hAnsiTheme="minorHAnsi"/>
          <w:b/>
          <w:bCs/>
          <w:szCs w:val="22"/>
          <w:lang w:eastAsia="zh-CN"/>
        </w:rPr>
        <w:t>Fostering the development of training materials through partnerships with Academia and other stakeholders;</w:t>
      </w:r>
    </w:p>
    <w:p w:rsidR="00843A68" w:rsidRDefault="00843A68" w:rsidP="00843A68">
      <w:pPr>
        <w:numPr>
          <w:ilvl w:val="0"/>
          <w:numId w:val="5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Role of the Academia in the main ITU Academy areas of activity: developing and delivering of training materials;</w:t>
      </w:r>
    </w:p>
    <w:p w:rsidR="00843A68" w:rsidRPr="00B94A7B" w:rsidRDefault="00843A68" w:rsidP="00843A68">
      <w:pPr>
        <w:numPr>
          <w:ilvl w:val="0"/>
          <w:numId w:val="5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49251C">
        <w:rPr>
          <w:rFonts w:asciiTheme="minorHAnsi" w:eastAsiaTheme="minorEastAsia" w:hAnsiTheme="minorHAnsi"/>
          <w:szCs w:val="22"/>
          <w:lang w:eastAsia="zh-CN"/>
        </w:rPr>
        <w:t>Exploring areas of joint research in capacity building between the ITU Academy and the Academia</w:t>
      </w:r>
    </w:p>
    <w:p w:rsidR="00843A68" w:rsidRPr="00B94A7B" w:rsidRDefault="00843A68" w:rsidP="00843A68">
      <w:pPr>
        <w:numPr>
          <w:ilvl w:val="0"/>
          <w:numId w:val="5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 xml:space="preserve">The ITU Academy new training solutions (Spectrum Management Training </w:t>
      </w:r>
      <w:proofErr w:type="spellStart"/>
      <w:r w:rsidRPr="00B94A7B">
        <w:rPr>
          <w:rFonts w:asciiTheme="minorHAnsi" w:eastAsiaTheme="minorEastAsia" w:hAnsiTheme="minorHAnsi"/>
          <w:szCs w:val="22"/>
          <w:lang w:eastAsia="zh-CN"/>
        </w:rPr>
        <w:t>Program</w:t>
      </w:r>
      <w:r w:rsidR="00635C4C">
        <w:rPr>
          <w:rFonts w:asciiTheme="minorHAnsi" w:eastAsiaTheme="minorEastAsia" w:hAnsiTheme="minorHAnsi"/>
          <w:szCs w:val="22"/>
          <w:lang w:eastAsia="zh-CN"/>
        </w:rPr>
        <w:t>m</w:t>
      </w:r>
      <w:r w:rsidRPr="00B94A7B">
        <w:rPr>
          <w:rFonts w:asciiTheme="minorHAnsi" w:eastAsiaTheme="minorEastAsia" w:hAnsiTheme="minorHAnsi"/>
          <w:szCs w:val="22"/>
          <w:lang w:eastAsia="zh-CN"/>
        </w:rPr>
        <w:t>e</w:t>
      </w:r>
      <w:proofErr w:type="spellEnd"/>
      <w:r w:rsidRPr="00B94A7B">
        <w:rPr>
          <w:rFonts w:asciiTheme="minorHAnsi" w:eastAsiaTheme="minorEastAsia" w:hAnsiTheme="minorHAnsi"/>
          <w:szCs w:val="22"/>
          <w:lang w:eastAsia="zh-CN"/>
        </w:rPr>
        <w:t xml:space="preserve"> (SMTP) and Quality of Service Training </w:t>
      </w:r>
      <w:proofErr w:type="spellStart"/>
      <w:r w:rsidRPr="00B94A7B">
        <w:rPr>
          <w:rFonts w:asciiTheme="minorHAnsi" w:eastAsiaTheme="minorEastAsia" w:hAnsiTheme="minorHAnsi"/>
          <w:szCs w:val="22"/>
          <w:lang w:eastAsia="zh-CN"/>
        </w:rPr>
        <w:t>Programme</w:t>
      </w:r>
      <w:proofErr w:type="spellEnd"/>
      <w:r w:rsidRPr="00B94A7B">
        <w:rPr>
          <w:rFonts w:asciiTheme="minorHAnsi" w:eastAsiaTheme="minorEastAsia" w:hAnsiTheme="minorHAnsi"/>
          <w:szCs w:val="22"/>
          <w:lang w:eastAsia="zh-CN"/>
        </w:rPr>
        <w:t xml:space="preserve"> (</w:t>
      </w:r>
      <w:proofErr w:type="spellStart"/>
      <w:r w:rsidRPr="00B94A7B">
        <w:rPr>
          <w:rFonts w:asciiTheme="minorHAnsi" w:eastAsiaTheme="minorEastAsia" w:hAnsiTheme="minorHAnsi"/>
          <w:szCs w:val="22"/>
          <w:lang w:eastAsia="zh-CN"/>
        </w:rPr>
        <w:t>QoSTP</w:t>
      </w:r>
      <w:proofErr w:type="spellEnd"/>
      <w:r w:rsidRPr="00B94A7B">
        <w:rPr>
          <w:rFonts w:asciiTheme="minorHAnsi" w:eastAsiaTheme="minorEastAsia" w:hAnsiTheme="minorHAnsi"/>
          <w:szCs w:val="22"/>
          <w:lang w:eastAsia="zh-CN"/>
        </w:rPr>
        <w:t>)): concept, experiences and way forward;</w:t>
      </w:r>
    </w:p>
    <w:p w:rsidR="00843A68" w:rsidRPr="00B6470F" w:rsidRDefault="00843A68" w:rsidP="00843A68">
      <w:pPr>
        <w:numPr>
          <w:ilvl w:val="0"/>
          <w:numId w:val="1"/>
        </w:numPr>
        <w:spacing w:before="0"/>
        <w:contextualSpacing/>
        <w:rPr>
          <w:rFonts w:asciiTheme="minorHAnsi" w:eastAsiaTheme="minorEastAsia" w:hAnsiTheme="minorHAnsi"/>
          <w:b/>
          <w:bCs/>
          <w:szCs w:val="22"/>
          <w:lang w:eastAsia="zh-CN"/>
        </w:rPr>
      </w:pPr>
      <w:r w:rsidRPr="00B6470F">
        <w:rPr>
          <w:rFonts w:asciiTheme="minorHAnsi" w:eastAsiaTheme="minorEastAsia" w:hAnsiTheme="minorHAnsi"/>
          <w:b/>
          <w:bCs/>
          <w:szCs w:val="22"/>
          <w:lang w:eastAsia="zh-CN"/>
        </w:rPr>
        <w:t>Role of Academia in ITU: opportunities and challenges;</w:t>
      </w:r>
    </w:p>
    <w:p w:rsidR="00843A68" w:rsidRPr="00B94A7B" w:rsidRDefault="00843A68" w:rsidP="00843A68">
      <w:pPr>
        <w:numPr>
          <w:ilvl w:val="0"/>
          <w:numId w:val="6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Expectations and advantages: Academia and ITU Academy</w:t>
      </w:r>
    </w:p>
    <w:p w:rsidR="00843A68" w:rsidRPr="00B94A7B" w:rsidRDefault="00843A68" w:rsidP="00843A68">
      <w:pPr>
        <w:numPr>
          <w:ilvl w:val="0"/>
          <w:numId w:val="6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The main challenges and barriers to effective partnership between ITU Academy and Academia</w:t>
      </w:r>
    </w:p>
    <w:p w:rsidR="00843A68" w:rsidRPr="00B94A7B" w:rsidRDefault="00843A68" w:rsidP="00843A68">
      <w:pPr>
        <w:numPr>
          <w:ilvl w:val="0"/>
          <w:numId w:val="6"/>
        </w:numPr>
        <w:spacing w:before="0"/>
        <w:contextualSpacing/>
        <w:rPr>
          <w:rFonts w:asciiTheme="minorHAnsi" w:eastAsiaTheme="minorEastAsia" w:hAnsiTheme="minorHAnsi"/>
          <w:szCs w:val="22"/>
          <w:lang w:eastAsia="zh-CN"/>
        </w:rPr>
      </w:pPr>
      <w:r w:rsidRPr="00B94A7B">
        <w:rPr>
          <w:rFonts w:asciiTheme="minorHAnsi" w:eastAsiaTheme="minorEastAsia" w:hAnsiTheme="minorHAnsi"/>
          <w:szCs w:val="22"/>
          <w:lang w:eastAsia="zh-CN"/>
        </w:rPr>
        <w:t>Key elements of successful partnership: lessons learned and further steps.</w:t>
      </w:r>
    </w:p>
    <w:p w:rsidR="00843A68" w:rsidRDefault="00843A68" w:rsidP="00843A68">
      <w:pPr>
        <w:rPr>
          <w:rFonts w:asciiTheme="minorHAnsi" w:hAnsiTheme="minorHAnsi"/>
          <w:szCs w:val="22"/>
        </w:rPr>
      </w:pPr>
    </w:p>
    <w:p w:rsidR="00843A68" w:rsidRPr="00B10BD2" w:rsidRDefault="00843A68" w:rsidP="00843A68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you are interested in making a</w:t>
      </w:r>
      <w:r w:rsidRPr="00B10BD2">
        <w:rPr>
          <w:rFonts w:asciiTheme="minorHAnsi" w:hAnsiTheme="minorHAnsi"/>
          <w:szCs w:val="22"/>
        </w:rPr>
        <w:t xml:space="preserve"> contribution</w:t>
      </w:r>
      <w:r>
        <w:rPr>
          <w:rFonts w:asciiTheme="minorHAnsi" w:hAnsiTheme="minorHAnsi"/>
          <w:szCs w:val="22"/>
        </w:rPr>
        <w:t xml:space="preserve"> to this event,</w:t>
      </w:r>
      <w:r w:rsidRPr="00B10BD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please submit your proposal using the attached “Proposed Contributions” form</w:t>
      </w:r>
      <w:r w:rsidRPr="00B10BD2">
        <w:rPr>
          <w:rFonts w:asciiTheme="minorHAnsi" w:hAnsiTheme="minorHAnsi"/>
          <w:szCs w:val="22"/>
        </w:rPr>
        <w:t>, by</w:t>
      </w:r>
      <w:r>
        <w:rPr>
          <w:rFonts w:asciiTheme="minorHAnsi" w:hAnsiTheme="minorHAnsi"/>
          <w:szCs w:val="22"/>
        </w:rPr>
        <w:t xml:space="preserve"> fax +41 22 730 6204 or by </w:t>
      </w:r>
      <w:r w:rsidRPr="00B10BD2">
        <w:rPr>
          <w:rFonts w:asciiTheme="minorHAnsi" w:hAnsiTheme="minorHAnsi"/>
          <w:szCs w:val="22"/>
        </w:rPr>
        <w:t xml:space="preserve">e-mail to </w:t>
      </w:r>
      <w:r w:rsidRPr="001F4444">
        <w:rPr>
          <w:rFonts w:asciiTheme="minorHAnsi" w:hAnsiTheme="minorHAnsi"/>
          <w:b/>
          <w:bCs/>
          <w:szCs w:val="22"/>
        </w:rPr>
        <w:t>Mr. Mike Nxele</w:t>
      </w:r>
      <w:r w:rsidRPr="00B10BD2">
        <w:rPr>
          <w:rFonts w:asciiTheme="minorHAnsi" w:hAnsiTheme="minorHAnsi"/>
          <w:szCs w:val="22"/>
        </w:rPr>
        <w:t xml:space="preserve"> (</w:t>
      </w:r>
      <w:hyperlink r:id="rId7" w:history="1">
        <w:r w:rsidRPr="00B10BD2">
          <w:rPr>
            <w:rStyle w:val="Hyperlink"/>
            <w:rFonts w:asciiTheme="minorHAnsi" w:hAnsiTheme="minorHAnsi"/>
            <w:szCs w:val="22"/>
          </w:rPr>
          <w:t>mike.nxele@itu.int</w:t>
        </w:r>
      </w:hyperlink>
      <w:r>
        <w:rPr>
          <w:rFonts w:asciiTheme="minorHAnsi" w:hAnsiTheme="minorHAnsi"/>
          <w:szCs w:val="22"/>
        </w:rPr>
        <w:t>)</w:t>
      </w:r>
      <w:r w:rsidRPr="002F10C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n</w:t>
      </w:r>
      <w:r w:rsidRPr="00B10BD2">
        <w:rPr>
          <w:rFonts w:asciiTheme="minorHAnsi" w:hAnsiTheme="minorHAnsi"/>
          <w:szCs w:val="22"/>
        </w:rPr>
        <w:t xml:space="preserve">o later than </w:t>
      </w:r>
      <w:r w:rsidR="00635C4C">
        <w:rPr>
          <w:rFonts w:asciiTheme="minorHAnsi" w:hAnsiTheme="minorHAnsi"/>
          <w:b/>
          <w:bCs/>
          <w:szCs w:val="22"/>
        </w:rPr>
        <w:t>31</w:t>
      </w:r>
      <w:r>
        <w:rPr>
          <w:rFonts w:asciiTheme="minorHAnsi" w:hAnsiTheme="minorHAnsi"/>
          <w:b/>
          <w:bCs/>
          <w:szCs w:val="22"/>
        </w:rPr>
        <w:t xml:space="preserve"> March</w:t>
      </w:r>
      <w:r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b/>
          <w:bCs/>
          <w:szCs w:val="22"/>
        </w:rPr>
        <w:t>2014.</w:t>
      </w:r>
      <w:r w:rsidRPr="00B10BD2">
        <w:rPr>
          <w:rFonts w:asciiTheme="minorHAnsi" w:hAnsiTheme="minorHAnsi"/>
          <w:szCs w:val="22"/>
        </w:rPr>
        <w:tab/>
      </w:r>
    </w:p>
    <w:p w:rsidR="00843A68" w:rsidRDefault="00843A68" w:rsidP="00843A68">
      <w:pPr>
        <w:shd w:val="clear" w:color="auto" w:fill="FFFFFF"/>
        <w:rPr>
          <w:rFonts w:asciiTheme="minorHAnsi" w:hAnsiTheme="minorHAnsi" w:cstheme="majorBidi"/>
          <w:color w:val="000000"/>
          <w:szCs w:val="22"/>
          <w:lang w:eastAsia="zh-CN"/>
        </w:rPr>
      </w:pPr>
      <w:r w:rsidRPr="00B10BD2">
        <w:rPr>
          <w:rFonts w:asciiTheme="minorHAnsi" w:hAnsiTheme="minorHAnsi" w:cstheme="majorBidi"/>
          <w:color w:val="000000"/>
          <w:szCs w:val="22"/>
          <w:lang w:eastAsia="zh-CN"/>
        </w:rPr>
        <w:t xml:space="preserve">We look forward to your active participation and invaluable contribution to this </w:t>
      </w:r>
      <w:r>
        <w:rPr>
          <w:rFonts w:asciiTheme="minorHAnsi" w:hAnsiTheme="minorHAnsi" w:cstheme="majorBidi"/>
          <w:color w:val="000000"/>
          <w:szCs w:val="22"/>
          <w:lang w:eastAsia="zh-CN"/>
        </w:rPr>
        <w:t>event</w:t>
      </w:r>
      <w:r w:rsidRPr="00B10BD2">
        <w:rPr>
          <w:rFonts w:asciiTheme="minorHAnsi" w:hAnsiTheme="minorHAnsi" w:cstheme="majorBidi"/>
          <w:color w:val="000000"/>
          <w:szCs w:val="22"/>
          <w:lang w:eastAsia="zh-CN"/>
        </w:rPr>
        <w:t>.</w:t>
      </w:r>
    </w:p>
    <w:p w:rsidR="00257AB5" w:rsidRDefault="00BE1BFE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p w:rsidR="00843A68" w:rsidRDefault="00843A68"/>
    <w:tbl>
      <w:tblPr>
        <w:tblStyle w:val="TableGrid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3969"/>
        <w:gridCol w:w="3827"/>
      </w:tblGrid>
      <w:tr w:rsidR="006E710E" w:rsidRPr="00265BC1" w:rsidTr="00E04163">
        <w:tc>
          <w:tcPr>
            <w:tcW w:w="2835" w:type="dxa"/>
          </w:tcPr>
          <w:p w:rsidR="006E710E" w:rsidRPr="00265BC1" w:rsidRDefault="006E710E" w:rsidP="00E04163">
            <w:pPr>
              <w:spacing w:before="720"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Cs w:val="22"/>
                <w:lang w:eastAsia="zh-CN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696595" cy="795020"/>
                  <wp:effectExtent l="0" t="0" r="8255" b="5080"/>
                  <wp:wrapNone/>
                  <wp:docPr id="6" name="Picture 1" descr="C:\Users\stankovic\Desktop\IT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nkovic\Desktop\IT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6E710E" w:rsidRDefault="006E710E" w:rsidP="00E041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E710E" w:rsidRPr="004E7519" w:rsidRDefault="006E710E" w:rsidP="00E0416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ITU Academy Event </w:t>
            </w:r>
          </w:p>
          <w:p w:rsidR="006E710E" w:rsidRPr="00265BC1" w:rsidRDefault="006E710E" w:rsidP="00E0416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on</w:t>
            </w:r>
          </w:p>
        </w:tc>
        <w:tc>
          <w:tcPr>
            <w:tcW w:w="3827" w:type="dxa"/>
          </w:tcPr>
          <w:p w:rsidR="006E710E" w:rsidRPr="00265BC1" w:rsidRDefault="006E710E" w:rsidP="00E04163">
            <w:pPr>
              <w:spacing w:before="840"/>
              <w:ind w:left="-391" w:firstLine="39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783590</wp:posOffset>
                  </wp:positionH>
                  <wp:positionV relativeFrom="paragraph">
                    <wp:posOffset>8890</wp:posOffset>
                  </wp:positionV>
                  <wp:extent cx="106489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1252" y="21098"/>
                      <wp:lineTo x="21252" y="0"/>
                      <wp:lineTo x="0" y="0"/>
                    </wp:wrapPolygon>
                  </wp:wrapThrough>
                  <wp:docPr id="7" name="Picture 1" descr="http://t2.gstatic.com/images?q=tbn:ANd9GcTTFVKchfe_v4AA3QsywOZznOdCOVFZOzL45VkoUxAygJqr3M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TTFVKchfe_v4AA3QsywOZznOdCOVFZOzL45VkoUxAygJqr3M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E710E" w:rsidRDefault="006E710E" w:rsidP="006E710E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Fostering Innovation and Partnerships in the Human Capacity Building: </w:t>
      </w:r>
      <w:r>
        <w:rPr>
          <w:rFonts w:asciiTheme="majorHAnsi" w:hAnsiTheme="majorHAnsi"/>
          <w:b/>
          <w:color w:val="C00000"/>
          <w:sz w:val="28"/>
          <w:szCs w:val="28"/>
        </w:rPr>
        <w:br/>
      </w:r>
      <w:r w:rsidRPr="00C922E7">
        <w:rPr>
          <w:rFonts w:asciiTheme="majorHAnsi" w:hAnsiTheme="majorHAnsi"/>
          <w:b/>
          <w:i/>
          <w:iCs/>
          <w:color w:val="C00000"/>
          <w:sz w:val="28"/>
          <w:szCs w:val="28"/>
        </w:rPr>
        <w:t>Enhanced Engagement of Academia in the</w:t>
      </w:r>
      <w:r>
        <w:rPr>
          <w:rFonts w:asciiTheme="majorHAnsi" w:hAnsiTheme="majorHAnsi"/>
          <w:b/>
          <w:i/>
          <w:iCs/>
          <w:color w:val="C00000"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iCs/>
          <w:color w:val="C00000"/>
          <w:sz w:val="28"/>
          <w:szCs w:val="28"/>
        </w:rPr>
        <w:br/>
      </w:r>
      <w:r w:rsidR="000A0816">
        <w:rPr>
          <w:rFonts w:asciiTheme="majorHAnsi" w:hAnsiTheme="majorHAnsi"/>
          <w:b/>
          <w:i/>
          <w:iCs/>
          <w:color w:val="C00000"/>
          <w:sz w:val="28"/>
          <w:szCs w:val="28"/>
        </w:rPr>
        <w:t xml:space="preserve">Work of </w:t>
      </w:r>
      <w:r w:rsidRPr="00C922E7">
        <w:rPr>
          <w:rFonts w:asciiTheme="majorHAnsi" w:hAnsiTheme="majorHAnsi"/>
          <w:b/>
          <w:i/>
          <w:iCs/>
          <w:color w:val="C00000"/>
          <w:sz w:val="28"/>
          <w:szCs w:val="28"/>
        </w:rPr>
        <w:t>International Telecommunication Union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</w:p>
    <w:p w:rsidR="006E710E" w:rsidRPr="00265BC1" w:rsidRDefault="006E710E" w:rsidP="006E710E">
      <w:pPr>
        <w:tabs>
          <w:tab w:val="left" w:pos="7910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Organized by </w:t>
      </w:r>
      <w:r>
        <w:rPr>
          <w:rFonts w:asciiTheme="majorHAnsi" w:hAnsiTheme="majorHAnsi"/>
          <w:b/>
          <w:sz w:val="24"/>
          <w:szCs w:val="24"/>
        </w:rPr>
        <w:br/>
        <w:t>International Telecommunication Union and Czech Technical University in Prague</w:t>
      </w:r>
      <w:r>
        <w:rPr>
          <w:rFonts w:asciiTheme="majorHAnsi" w:hAnsiTheme="majorHAnsi"/>
          <w:b/>
          <w:sz w:val="24"/>
          <w:szCs w:val="24"/>
        </w:rPr>
        <w:br/>
        <w:t xml:space="preserve">28-29 April 2014 </w:t>
      </w:r>
    </w:p>
    <w:p w:rsidR="006E710E" w:rsidRDefault="006E710E" w:rsidP="006E710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Czech Technical University</w:t>
      </w:r>
      <w:r>
        <w:rPr>
          <w:rFonts w:asciiTheme="majorHAnsi" w:hAnsiTheme="majorHAnsi"/>
          <w:b/>
          <w:sz w:val="24"/>
          <w:szCs w:val="24"/>
        </w:rPr>
        <w:br/>
        <w:t>National Technical Library</w:t>
      </w:r>
      <w:r>
        <w:rPr>
          <w:rFonts w:asciiTheme="majorHAnsi" w:hAnsiTheme="majorHAnsi"/>
          <w:b/>
          <w:sz w:val="24"/>
          <w:szCs w:val="24"/>
        </w:rPr>
        <w:br/>
      </w:r>
      <w:proofErr w:type="spellStart"/>
      <w:r>
        <w:rPr>
          <w:rFonts w:asciiTheme="majorHAnsi" w:hAnsiTheme="majorHAnsi"/>
          <w:b/>
          <w:sz w:val="24"/>
          <w:szCs w:val="24"/>
        </w:rPr>
        <w:t>Technicka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2, Prague, Czech Republic </w:t>
      </w:r>
    </w:p>
    <w:p w:rsidR="00843A68" w:rsidRDefault="00843A68" w:rsidP="00843A68">
      <w:pPr>
        <w:pStyle w:val="Default"/>
        <w:ind w:right="532"/>
        <w:jc w:val="both"/>
        <w:rPr>
          <w:rFonts w:ascii="Arial" w:hAnsi="Arial" w:cs="Arial"/>
          <w:sz w:val="22"/>
        </w:rPr>
      </w:pPr>
    </w:p>
    <w:p w:rsidR="00843A68" w:rsidRDefault="00843A68" w:rsidP="00843A68">
      <w:pPr>
        <w:pStyle w:val="Default"/>
        <w:ind w:right="532"/>
        <w:jc w:val="center"/>
        <w:rPr>
          <w:rFonts w:asciiTheme="minorHAnsi" w:hAnsiTheme="minorHAnsi" w:cs="Arial"/>
          <w:b/>
          <w:bCs/>
          <w:sz w:val="22"/>
        </w:rPr>
      </w:pPr>
      <w:r w:rsidRPr="00B10BD2">
        <w:rPr>
          <w:rFonts w:asciiTheme="minorHAnsi" w:hAnsiTheme="minorHAnsi" w:cs="Arial"/>
          <w:b/>
          <w:bCs/>
          <w:sz w:val="22"/>
        </w:rPr>
        <w:t>PROPOSED CONTRIBUTIONS</w:t>
      </w:r>
    </w:p>
    <w:p w:rsidR="00843A68" w:rsidRPr="00B420D5" w:rsidRDefault="00843A68" w:rsidP="00843A68">
      <w:pPr>
        <w:pStyle w:val="Default"/>
        <w:ind w:right="532"/>
        <w:jc w:val="center"/>
        <w:rPr>
          <w:rFonts w:asciiTheme="minorHAnsi" w:hAnsiTheme="minorHAnsi" w:cs="Arial"/>
          <w:i/>
          <w:iCs/>
          <w:sz w:val="22"/>
        </w:rPr>
      </w:pPr>
      <w:r w:rsidRPr="00B420D5">
        <w:rPr>
          <w:rFonts w:asciiTheme="minorHAnsi" w:hAnsiTheme="minorHAnsi" w:cs="Arial"/>
          <w:i/>
          <w:iCs/>
          <w:sz w:val="22"/>
        </w:rPr>
        <w:t>(Please type or use capital letters)</w:t>
      </w:r>
    </w:p>
    <w:p w:rsidR="00843A68" w:rsidRPr="00B10BD2" w:rsidRDefault="00843A68" w:rsidP="00843A68">
      <w:pPr>
        <w:pStyle w:val="Default"/>
        <w:ind w:right="532"/>
        <w:jc w:val="center"/>
        <w:rPr>
          <w:rFonts w:asciiTheme="minorHAnsi" w:hAnsiTheme="minorHAnsi" w:cs="Arial"/>
          <w:b/>
          <w:bCs/>
          <w:sz w:val="22"/>
        </w:rPr>
      </w:pPr>
    </w:p>
    <w:p w:rsidR="00843A68" w:rsidRPr="00B10BD2" w:rsidRDefault="00843A68" w:rsidP="00843A68">
      <w:pPr>
        <w:pStyle w:val="Default"/>
        <w:ind w:right="532"/>
        <w:jc w:val="both"/>
        <w:rPr>
          <w:rFonts w:asciiTheme="minorHAnsi" w:hAnsiTheme="minorHAnsi" w:cs="Arial"/>
          <w:sz w:val="22"/>
        </w:rPr>
      </w:pPr>
    </w:p>
    <w:p w:rsidR="00843A68" w:rsidRPr="00B10BD2" w:rsidRDefault="00843A68" w:rsidP="00843A68">
      <w:pPr>
        <w:pStyle w:val="Default"/>
        <w:ind w:right="532"/>
        <w:jc w:val="both"/>
        <w:rPr>
          <w:rFonts w:asciiTheme="minorHAnsi" w:hAnsiTheme="minorHAns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7447"/>
      </w:tblGrid>
      <w:tr w:rsidR="00843A68" w:rsidRPr="00B10BD2" w:rsidTr="00CF2591">
        <w:trPr>
          <w:cantSplit/>
          <w:trHeight w:val="765"/>
        </w:trPr>
        <w:tc>
          <w:tcPr>
            <w:tcW w:w="217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  <w:r w:rsidRPr="00B10BD2">
              <w:rPr>
                <w:rFonts w:asciiTheme="minorHAnsi" w:hAnsiTheme="minorHAnsi" w:cs="Arial"/>
                <w:b/>
                <w:bCs/>
                <w:szCs w:val="22"/>
                <w:lang w:val="en-GB"/>
              </w:rPr>
              <w:t>Name:</w:t>
            </w:r>
          </w:p>
          <w:p w:rsidR="00843A68" w:rsidRPr="00B10BD2" w:rsidRDefault="00843A68" w:rsidP="00CF2591">
            <w:pPr>
              <w:tabs>
                <w:tab w:val="left" w:pos="9460"/>
              </w:tabs>
              <w:ind w:right="159"/>
              <w:jc w:val="both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</w:p>
        </w:tc>
        <w:tc>
          <w:tcPr>
            <w:tcW w:w="811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szCs w:val="22"/>
                <w:lang w:val="en-GB"/>
              </w:rPr>
            </w:pPr>
          </w:p>
        </w:tc>
      </w:tr>
      <w:tr w:rsidR="00843A68" w:rsidRPr="00B10BD2" w:rsidTr="00CF2591">
        <w:trPr>
          <w:cantSplit/>
        </w:trPr>
        <w:tc>
          <w:tcPr>
            <w:tcW w:w="217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  <w:r w:rsidRPr="00B10BD2">
              <w:rPr>
                <w:rFonts w:asciiTheme="minorHAnsi" w:hAnsiTheme="minorHAnsi" w:cs="Arial"/>
                <w:b/>
                <w:bCs/>
                <w:szCs w:val="22"/>
                <w:lang w:val="en-GB"/>
              </w:rPr>
              <w:t>Designation:</w:t>
            </w:r>
          </w:p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</w:p>
        </w:tc>
        <w:tc>
          <w:tcPr>
            <w:tcW w:w="811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jc w:val="both"/>
              <w:rPr>
                <w:rFonts w:asciiTheme="minorHAnsi" w:hAnsiTheme="minorHAnsi" w:cs="Arial"/>
                <w:szCs w:val="22"/>
                <w:lang w:val="en-GB"/>
              </w:rPr>
            </w:pPr>
          </w:p>
        </w:tc>
      </w:tr>
      <w:tr w:rsidR="00843A68" w:rsidRPr="00B10BD2" w:rsidTr="00CF2591">
        <w:trPr>
          <w:cantSplit/>
        </w:trPr>
        <w:tc>
          <w:tcPr>
            <w:tcW w:w="217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  <w:r w:rsidRPr="00B10BD2">
              <w:rPr>
                <w:rFonts w:asciiTheme="minorHAnsi" w:hAnsiTheme="minorHAnsi" w:cs="Arial"/>
                <w:b/>
                <w:bCs/>
                <w:szCs w:val="22"/>
                <w:lang w:val="en-GB"/>
              </w:rPr>
              <w:t>Organisation:</w:t>
            </w:r>
          </w:p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</w:p>
        </w:tc>
        <w:tc>
          <w:tcPr>
            <w:tcW w:w="811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jc w:val="both"/>
              <w:rPr>
                <w:rFonts w:asciiTheme="minorHAnsi" w:hAnsiTheme="minorHAnsi" w:cs="Arial"/>
                <w:szCs w:val="22"/>
                <w:lang w:val="en-GB"/>
              </w:rPr>
            </w:pPr>
          </w:p>
        </w:tc>
      </w:tr>
      <w:tr w:rsidR="00843A68" w:rsidRPr="00B10BD2" w:rsidTr="00CF2591">
        <w:trPr>
          <w:cantSplit/>
        </w:trPr>
        <w:tc>
          <w:tcPr>
            <w:tcW w:w="217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  <w:r w:rsidRPr="00B10BD2">
              <w:rPr>
                <w:rFonts w:asciiTheme="minorHAnsi" w:hAnsiTheme="minorHAnsi" w:cs="Arial"/>
                <w:b/>
                <w:bCs/>
                <w:szCs w:val="22"/>
                <w:lang w:val="en-GB"/>
              </w:rPr>
              <w:t>Country:</w:t>
            </w:r>
          </w:p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</w:p>
        </w:tc>
        <w:tc>
          <w:tcPr>
            <w:tcW w:w="811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jc w:val="both"/>
              <w:rPr>
                <w:rFonts w:asciiTheme="minorHAnsi" w:hAnsiTheme="minorHAnsi" w:cs="Arial"/>
                <w:szCs w:val="22"/>
                <w:lang w:val="en-GB"/>
              </w:rPr>
            </w:pPr>
          </w:p>
        </w:tc>
      </w:tr>
      <w:tr w:rsidR="00843A68" w:rsidRPr="00663B82" w:rsidTr="00CF2591">
        <w:trPr>
          <w:cantSplit/>
          <w:trHeight w:val="790"/>
        </w:trPr>
        <w:tc>
          <w:tcPr>
            <w:tcW w:w="217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  <w:r w:rsidRPr="00B10BD2">
              <w:rPr>
                <w:rFonts w:asciiTheme="minorHAnsi" w:hAnsiTheme="minorHAnsi" w:cs="Arial"/>
                <w:b/>
                <w:bCs/>
                <w:szCs w:val="22"/>
                <w:lang w:val="en-GB"/>
              </w:rPr>
              <w:t>Contact email and telephone number:</w:t>
            </w:r>
          </w:p>
        </w:tc>
        <w:tc>
          <w:tcPr>
            <w:tcW w:w="811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jc w:val="both"/>
              <w:rPr>
                <w:rFonts w:asciiTheme="minorHAnsi" w:hAnsiTheme="minorHAnsi" w:cs="Arial"/>
                <w:szCs w:val="22"/>
                <w:lang w:val="en-GB"/>
              </w:rPr>
            </w:pPr>
          </w:p>
        </w:tc>
      </w:tr>
      <w:tr w:rsidR="00843A68" w:rsidRPr="00B10BD2" w:rsidTr="00CF2591">
        <w:trPr>
          <w:cantSplit/>
          <w:trHeight w:val="759"/>
        </w:trPr>
        <w:tc>
          <w:tcPr>
            <w:tcW w:w="217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  <w:r w:rsidRPr="00B10BD2">
              <w:rPr>
                <w:rFonts w:asciiTheme="minorHAnsi" w:hAnsiTheme="minorHAnsi" w:cs="Arial"/>
                <w:b/>
                <w:bCs/>
                <w:szCs w:val="22"/>
                <w:lang w:val="en-GB"/>
              </w:rPr>
              <w:t>Title of Paper:</w:t>
            </w:r>
          </w:p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</w:p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</w:p>
        </w:tc>
        <w:tc>
          <w:tcPr>
            <w:tcW w:w="811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jc w:val="both"/>
              <w:rPr>
                <w:rFonts w:asciiTheme="minorHAnsi" w:hAnsiTheme="minorHAnsi" w:cs="Arial"/>
                <w:szCs w:val="22"/>
                <w:lang w:val="en-GB"/>
              </w:rPr>
            </w:pPr>
          </w:p>
        </w:tc>
      </w:tr>
      <w:tr w:rsidR="00843A68" w:rsidRPr="00663B82" w:rsidTr="00843A68">
        <w:trPr>
          <w:cantSplit/>
          <w:trHeight w:val="1398"/>
        </w:trPr>
        <w:tc>
          <w:tcPr>
            <w:tcW w:w="2178" w:type="dxa"/>
            <w:shd w:val="clear" w:color="auto" w:fill="auto"/>
          </w:tcPr>
          <w:p w:rsidR="00843A68" w:rsidRPr="00B10BD2" w:rsidRDefault="00843A68" w:rsidP="00CF2591">
            <w:pPr>
              <w:tabs>
                <w:tab w:val="left" w:pos="9460"/>
              </w:tabs>
              <w:ind w:right="159"/>
              <w:rPr>
                <w:rFonts w:asciiTheme="minorHAnsi" w:hAnsiTheme="minorHAnsi" w:cs="Arial"/>
                <w:b/>
                <w:bCs/>
                <w:szCs w:val="22"/>
                <w:lang w:val="en-GB"/>
              </w:rPr>
            </w:pPr>
            <w:r w:rsidRPr="00B10BD2">
              <w:rPr>
                <w:rFonts w:asciiTheme="minorHAnsi" w:hAnsiTheme="minorHAnsi" w:cs="Arial"/>
                <w:b/>
                <w:bCs/>
                <w:szCs w:val="22"/>
                <w:lang w:val="en-GB"/>
              </w:rPr>
              <w:lastRenderedPageBreak/>
              <w:t>Brief (one paragraph) description of paper:</w:t>
            </w:r>
          </w:p>
        </w:tc>
        <w:tc>
          <w:tcPr>
            <w:tcW w:w="8118" w:type="dxa"/>
            <w:shd w:val="clear" w:color="auto" w:fill="auto"/>
          </w:tcPr>
          <w:p w:rsidR="00843A68" w:rsidRDefault="00843A68" w:rsidP="00CF2591">
            <w:pPr>
              <w:tabs>
                <w:tab w:val="left" w:pos="9460"/>
              </w:tabs>
              <w:ind w:right="159"/>
              <w:jc w:val="both"/>
              <w:rPr>
                <w:rFonts w:asciiTheme="minorHAnsi" w:hAnsiTheme="minorHAnsi" w:cs="Arial"/>
                <w:szCs w:val="22"/>
                <w:lang w:val="en-GB"/>
              </w:rPr>
            </w:pPr>
          </w:p>
          <w:p w:rsidR="00843A68" w:rsidRPr="00B10BD2" w:rsidRDefault="00843A68" w:rsidP="00CF2591">
            <w:pPr>
              <w:tabs>
                <w:tab w:val="left" w:pos="9460"/>
              </w:tabs>
              <w:ind w:right="159"/>
              <w:jc w:val="both"/>
              <w:rPr>
                <w:rFonts w:asciiTheme="minorHAnsi" w:hAnsiTheme="minorHAnsi" w:cs="Arial"/>
                <w:szCs w:val="22"/>
                <w:lang w:val="en-GB"/>
              </w:rPr>
            </w:pPr>
          </w:p>
        </w:tc>
      </w:tr>
    </w:tbl>
    <w:p w:rsidR="00843A68" w:rsidRDefault="00843A68" w:rsidP="00843A68"/>
    <w:sectPr w:rsidR="00843A68" w:rsidSect="00843A68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6F2"/>
    <w:multiLevelType w:val="hybridMultilevel"/>
    <w:tmpl w:val="1DF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7EDD"/>
    <w:multiLevelType w:val="hybridMultilevel"/>
    <w:tmpl w:val="900483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F7EB5"/>
    <w:multiLevelType w:val="hybridMultilevel"/>
    <w:tmpl w:val="580C27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76230A"/>
    <w:multiLevelType w:val="hybridMultilevel"/>
    <w:tmpl w:val="01C64D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411542"/>
    <w:multiLevelType w:val="hybridMultilevel"/>
    <w:tmpl w:val="630887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8E62B1"/>
    <w:multiLevelType w:val="hybridMultilevel"/>
    <w:tmpl w:val="BE4ACF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43A68"/>
    <w:rsid w:val="000A0816"/>
    <w:rsid w:val="00131614"/>
    <w:rsid w:val="002A2705"/>
    <w:rsid w:val="002D04AC"/>
    <w:rsid w:val="00381FDA"/>
    <w:rsid w:val="003B713B"/>
    <w:rsid w:val="004A2B05"/>
    <w:rsid w:val="00635C4C"/>
    <w:rsid w:val="006E710E"/>
    <w:rsid w:val="0072340F"/>
    <w:rsid w:val="00843A68"/>
    <w:rsid w:val="00AF0AE6"/>
    <w:rsid w:val="00BE0967"/>
    <w:rsid w:val="00BE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43A68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3A68"/>
    <w:rPr>
      <w:rFonts w:cs="Times New Roman"/>
      <w:color w:val="0000FF"/>
      <w:u w:val="single"/>
    </w:rPr>
  </w:style>
  <w:style w:type="paragraph" w:customStyle="1" w:styleId="Default">
    <w:name w:val="Default"/>
    <w:rsid w:val="00843A6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A68"/>
    <w:pPr>
      <w:spacing w:before="0" w:after="200" w:line="276" w:lineRule="auto"/>
      <w:ind w:left="720"/>
      <w:contextualSpacing/>
    </w:pPr>
    <w:rPr>
      <w:rFonts w:eastAsia="Malgun Gothic" w:cs="Times New Roman"/>
      <w:szCs w:val="22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.nxele@itu.in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80409B-0581-4A71-8A99-980FBFD37FAA}"/>
</file>

<file path=customXml/itemProps2.xml><?xml version="1.0" encoding="utf-8"?>
<ds:datastoreItem xmlns:ds="http://schemas.openxmlformats.org/officeDocument/2006/customXml" ds:itemID="{F1ACA0EE-A523-496B-91A4-600A33B0970F}"/>
</file>

<file path=customXml/itemProps3.xml><?xml version="1.0" encoding="utf-8"?>
<ds:datastoreItem xmlns:ds="http://schemas.openxmlformats.org/officeDocument/2006/customXml" ds:itemID="{D86F2524-925A-4307-B58C-6D1DF4E03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Stankovic</dc:creator>
  <cp:lastModifiedBy>Vladimir Stankovic</cp:lastModifiedBy>
  <cp:revision>3</cp:revision>
  <dcterms:created xsi:type="dcterms:W3CDTF">2014-02-20T14:18:00Z</dcterms:created>
  <dcterms:modified xsi:type="dcterms:W3CDTF">2014-03-17T17:31:00Z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