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5F5176" w14:textId="77777777" w:rsidR="00546CA8" w:rsidRDefault="00546CA8" w:rsidP="001237D4">
      <w:pPr>
        <w:spacing w:before="240"/>
        <w:jc w:val="center"/>
        <w:rPr>
          <w:rFonts w:asciiTheme="minorHAnsi" w:hAnsiTheme="minorHAnsi" w:cstheme="minorBidi"/>
          <w:b/>
          <w:bCs/>
          <w:color w:val="000000" w:themeColor="text1"/>
          <w:sz w:val="28"/>
          <w:szCs w:val="28"/>
          <w:lang w:val="en-GB"/>
        </w:rPr>
      </w:pPr>
      <w:r w:rsidRPr="000C13CF">
        <w:rPr>
          <w:rFonts w:ascii="Calibri" w:hAnsi="Calibri" w:cs="Calibri"/>
          <w:noProof/>
          <w:lang w:eastAsia="en-GB"/>
        </w:rPr>
        <w:drawing>
          <wp:inline distT="0" distB="0" distL="0" distR="0" wp14:anchorId="6A252F35" wp14:editId="62D148F2">
            <wp:extent cx="810951" cy="749300"/>
            <wp:effectExtent l="0" t="0" r="8255" b="0"/>
            <wp:docPr id="493436538" name="Picture 1" descr="A blue logo with a circle and a gl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lue logo with a circle and a glob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8589" cy="756357"/>
                    </a:xfrm>
                    <a:prstGeom prst="rect">
                      <a:avLst/>
                    </a:prstGeom>
                    <a:noFill/>
                    <a:ln>
                      <a:noFill/>
                    </a:ln>
                  </pic:spPr>
                </pic:pic>
              </a:graphicData>
            </a:graphic>
          </wp:inline>
        </w:drawing>
      </w:r>
    </w:p>
    <w:p w14:paraId="5EC4DEED" w14:textId="77777777" w:rsidR="00546CA8" w:rsidRDefault="00546CA8" w:rsidP="001237D4">
      <w:pPr>
        <w:spacing w:before="240"/>
        <w:jc w:val="center"/>
        <w:rPr>
          <w:rFonts w:asciiTheme="minorHAnsi" w:hAnsiTheme="minorHAnsi" w:cstheme="minorBidi"/>
          <w:b/>
          <w:bCs/>
          <w:color w:val="000000" w:themeColor="text1"/>
          <w:sz w:val="28"/>
          <w:szCs w:val="28"/>
          <w:lang w:val="en-GB"/>
        </w:rPr>
      </w:pPr>
    </w:p>
    <w:p w14:paraId="0F4D5A3B" w14:textId="77777777" w:rsidR="00546CA8" w:rsidRDefault="00546CA8" w:rsidP="001237D4">
      <w:pPr>
        <w:spacing w:before="240"/>
        <w:jc w:val="center"/>
        <w:rPr>
          <w:rFonts w:asciiTheme="minorHAnsi" w:hAnsiTheme="minorHAnsi" w:cstheme="minorBidi"/>
          <w:b/>
          <w:bCs/>
          <w:color w:val="000000" w:themeColor="text1"/>
          <w:sz w:val="28"/>
          <w:szCs w:val="28"/>
          <w:lang w:val="en-GB"/>
        </w:rPr>
      </w:pPr>
    </w:p>
    <w:p w14:paraId="258B327F" w14:textId="0D5AF1C9" w:rsidR="00546CA8" w:rsidRDefault="00104BB9" w:rsidP="001237D4">
      <w:pPr>
        <w:spacing w:before="240"/>
        <w:jc w:val="center"/>
        <w:rPr>
          <w:rFonts w:asciiTheme="minorHAnsi" w:hAnsiTheme="minorHAnsi" w:cstheme="minorBidi"/>
          <w:b/>
          <w:bCs/>
          <w:color w:val="000000" w:themeColor="text1"/>
          <w:sz w:val="28"/>
          <w:szCs w:val="28"/>
          <w:lang w:val="en-GB"/>
        </w:rPr>
      </w:pPr>
      <w:r>
        <w:rPr>
          <w:noProof/>
        </w:rPr>
        <w:drawing>
          <wp:inline distT="0" distB="0" distL="0" distR="0" wp14:anchorId="56FE03E9" wp14:editId="7B40B2CF">
            <wp:extent cx="5435600" cy="2578100"/>
            <wp:effectExtent l="0" t="0" r="0" b="0"/>
            <wp:docPr id="1047935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5600" cy="2578100"/>
                    </a:xfrm>
                    <a:prstGeom prst="rect">
                      <a:avLst/>
                    </a:prstGeom>
                    <a:noFill/>
                    <a:ln>
                      <a:noFill/>
                    </a:ln>
                  </pic:spPr>
                </pic:pic>
              </a:graphicData>
            </a:graphic>
          </wp:inline>
        </w:drawing>
      </w:r>
    </w:p>
    <w:p w14:paraId="681CFA4A" w14:textId="77777777" w:rsidR="00546CA8" w:rsidRDefault="00546CA8" w:rsidP="001237D4">
      <w:pPr>
        <w:spacing w:before="240"/>
        <w:jc w:val="center"/>
        <w:rPr>
          <w:rFonts w:asciiTheme="minorHAnsi" w:hAnsiTheme="minorHAnsi" w:cstheme="minorBidi"/>
          <w:b/>
          <w:bCs/>
          <w:color w:val="000000" w:themeColor="text1"/>
          <w:sz w:val="28"/>
          <w:szCs w:val="28"/>
          <w:lang w:val="en-GB"/>
        </w:rPr>
      </w:pPr>
    </w:p>
    <w:p w14:paraId="2F16E7F8" w14:textId="77777777" w:rsidR="00546CA8" w:rsidRPr="00A518DE" w:rsidRDefault="00546CA8" w:rsidP="001237D4">
      <w:pPr>
        <w:spacing w:before="240"/>
        <w:jc w:val="center"/>
        <w:rPr>
          <w:rFonts w:asciiTheme="minorHAnsi" w:eastAsia="DengXian" w:hAnsiTheme="minorHAnsi" w:cstheme="minorBidi"/>
          <w:color w:val="000000" w:themeColor="text1"/>
          <w:sz w:val="32"/>
          <w:szCs w:val="32"/>
          <w:lang w:val="en-GB"/>
        </w:rPr>
      </w:pPr>
      <w:r w:rsidRPr="00A518DE">
        <w:rPr>
          <w:rFonts w:asciiTheme="minorHAnsi" w:hAnsiTheme="minorHAnsi" w:cstheme="minorBidi"/>
          <w:b/>
          <w:bCs/>
          <w:color w:val="000000" w:themeColor="text1"/>
          <w:sz w:val="32"/>
          <w:szCs w:val="32"/>
          <w:lang w:val="en-GB"/>
        </w:rPr>
        <w:t xml:space="preserve">REPORT </w:t>
      </w:r>
    </w:p>
    <w:p w14:paraId="184D5B48" w14:textId="77777777" w:rsidR="004251DE" w:rsidRDefault="00A73D4D" w:rsidP="001237D4">
      <w:pPr>
        <w:pStyle w:val="Heading1"/>
        <w:spacing w:before="240"/>
        <w:jc w:val="center"/>
      </w:pPr>
      <w:r w:rsidRPr="00A73D4D">
        <w:t>ITU - ITTLLDC Seminar</w:t>
      </w:r>
      <w:r w:rsidR="004251DE">
        <w:t xml:space="preserve"> 2025:</w:t>
      </w:r>
    </w:p>
    <w:p w14:paraId="3E67BDFE" w14:textId="0D33B2A3" w:rsidR="00A73D4D" w:rsidRPr="004251DE" w:rsidRDefault="001804A2" w:rsidP="001237D4">
      <w:pPr>
        <w:spacing w:before="240"/>
        <w:jc w:val="center"/>
        <w:rPr>
          <w:rFonts w:ascii="Aptos" w:hAnsi="Aptos" w:cs="Calibri"/>
          <w:sz w:val="28"/>
          <w:szCs w:val="28"/>
        </w:rPr>
      </w:pPr>
      <w:r w:rsidRPr="2995B5CE">
        <w:rPr>
          <w:rFonts w:ascii="Aptos" w:hAnsi="Aptos" w:cs="Calibri"/>
          <w:sz w:val="28"/>
          <w:szCs w:val="28"/>
        </w:rPr>
        <w:t xml:space="preserve"> Cooperation for sustainable space connectivity</w:t>
      </w:r>
      <w:r w:rsidR="00F4627D" w:rsidRPr="2995B5CE">
        <w:rPr>
          <w:rFonts w:ascii="Aptos" w:hAnsi="Aptos" w:cs="Calibri"/>
          <w:sz w:val="28"/>
          <w:szCs w:val="28"/>
        </w:rPr>
        <w:t>, spectrum use and Early Warning Systems</w:t>
      </w:r>
    </w:p>
    <w:p w14:paraId="69ADC8B0" w14:textId="57A6B72E" w:rsidR="3A2F8F65" w:rsidRDefault="3A2F8F65" w:rsidP="2995B5CE">
      <w:pPr>
        <w:spacing w:before="240"/>
        <w:jc w:val="center"/>
        <w:rPr>
          <w:rFonts w:ascii="Aptos" w:hAnsi="Aptos" w:cs="Calibri"/>
          <w:b/>
          <w:bCs/>
          <w:sz w:val="28"/>
          <w:szCs w:val="28"/>
        </w:rPr>
      </w:pPr>
      <w:r w:rsidRPr="2995B5CE">
        <w:rPr>
          <w:rFonts w:ascii="Aptos" w:hAnsi="Aptos" w:cs="Calibri"/>
          <w:b/>
          <w:bCs/>
          <w:sz w:val="28"/>
          <w:szCs w:val="28"/>
        </w:rPr>
        <w:t>28 – 29 August 2025</w:t>
      </w:r>
    </w:p>
    <w:p w14:paraId="5514A785" w14:textId="24D28B00" w:rsidR="00B0070C" w:rsidRDefault="3A2F8F65" w:rsidP="2995B5CE">
      <w:pPr>
        <w:spacing w:before="240"/>
        <w:jc w:val="center"/>
        <w:rPr>
          <w:rFonts w:ascii="Aptos" w:hAnsi="Aptos" w:cs="Calibri"/>
          <w:b/>
          <w:bCs/>
          <w:sz w:val="28"/>
          <w:szCs w:val="28"/>
        </w:rPr>
      </w:pPr>
      <w:r w:rsidRPr="2995B5CE">
        <w:rPr>
          <w:rFonts w:ascii="Aptos" w:hAnsi="Aptos" w:cs="Calibri"/>
          <w:b/>
          <w:bCs/>
          <w:sz w:val="28"/>
          <w:szCs w:val="28"/>
        </w:rPr>
        <w:t>Ulaanbaatar, Mongolia</w:t>
      </w:r>
    </w:p>
    <w:p w14:paraId="77837C09" w14:textId="77777777" w:rsidR="00B0070C" w:rsidRDefault="00B0070C">
      <w:pPr>
        <w:spacing w:after="160" w:line="259" w:lineRule="auto"/>
        <w:rPr>
          <w:rFonts w:ascii="Aptos" w:hAnsi="Aptos" w:cs="Calibri"/>
          <w:b/>
          <w:bCs/>
          <w:sz w:val="28"/>
          <w:szCs w:val="28"/>
        </w:rPr>
      </w:pPr>
      <w:r>
        <w:rPr>
          <w:rFonts w:ascii="Aptos" w:hAnsi="Aptos" w:cs="Calibri"/>
          <w:b/>
          <w:bCs/>
          <w:sz w:val="28"/>
          <w:szCs w:val="28"/>
        </w:rPr>
        <w:br w:type="page"/>
      </w:r>
    </w:p>
    <w:p w14:paraId="37833805" w14:textId="470F178B" w:rsidR="00243886" w:rsidRPr="005C7E51" w:rsidRDefault="008F27E5" w:rsidP="001237D4">
      <w:pPr>
        <w:pStyle w:val="Title"/>
        <w:numPr>
          <w:ilvl w:val="0"/>
          <w:numId w:val="14"/>
        </w:numPr>
        <w:spacing w:before="240"/>
        <w:ind w:left="284" w:hanging="284"/>
        <w:contextualSpacing w:val="0"/>
        <w:rPr>
          <w:rFonts w:asciiTheme="minorHAnsi" w:hAnsiTheme="minorHAnsi"/>
          <w:b/>
          <w:bCs/>
          <w:color w:val="0070C0"/>
          <w:sz w:val="24"/>
          <w:szCs w:val="24"/>
        </w:rPr>
      </w:pPr>
      <w:r w:rsidRPr="53340F37">
        <w:rPr>
          <w:rFonts w:asciiTheme="minorHAnsi" w:hAnsiTheme="minorHAnsi"/>
          <w:b/>
          <w:bCs/>
          <w:color w:val="0070C0"/>
          <w:sz w:val="24"/>
          <w:szCs w:val="24"/>
        </w:rPr>
        <w:lastRenderedPageBreak/>
        <w:t>Introduction</w:t>
      </w:r>
    </w:p>
    <w:p w14:paraId="153789C5" w14:textId="77777777" w:rsidR="00C071B7" w:rsidRPr="005C7E51" w:rsidRDefault="00C071B7" w:rsidP="001237D4">
      <w:pPr>
        <w:pStyle w:val="Title"/>
        <w:spacing w:before="240"/>
        <w:contextualSpacing w:val="0"/>
        <w:jc w:val="both"/>
        <w:rPr>
          <w:rFonts w:asciiTheme="minorHAnsi" w:eastAsia="Times New Roman" w:hAnsiTheme="minorHAnsi" w:cs="Times New Roman"/>
          <w:spacing w:val="0"/>
          <w:kern w:val="0"/>
          <w:sz w:val="22"/>
          <w:szCs w:val="22"/>
        </w:rPr>
      </w:pPr>
      <w:r w:rsidRPr="005C7E51">
        <w:rPr>
          <w:rFonts w:asciiTheme="minorHAnsi" w:eastAsia="Times New Roman" w:hAnsiTheme="minorHAnsi" w:cs="Times New Roman"/>
          <w:spacing w:val="0"/>
          <w:kern w:val="0"/>
          <w:sz w:val="22"/>
          <w:szCs w:val="22"/>
        </w:rPr>
        <w:t xml:space="preserve">Since 2023, the International Telecommunication Union (ITU) and International Think Tank for Landlocked Developing Countries (ITTLLDC) have been collaborating to co-organize annual events that focus on the unique challenges faced by the Landlocked developing countries (LLDCs) in developing their digital economies. These events provide a </w:t>
      </w:r>
      <w:r w:rsidRPr="005C7E51">
        <w:rPr>
          <w:rFonts w:ascii="Arial" w:eastAsia="Times New Roman" w:hAnsi="Arial" w:cs="Arial"/>
          <w:spacing w:val="0"/>
          <w:kern w:val="0"/>
          <w:sz w:val="22"/>
          <w:szCs w:val="22"/>
        </w:rPr>
        <w:t>​</w:t>
      </w:r>
      <w:r w:rsidRPr="005C7E51">
        <w:rPr>
          <w:rFonts w:asciiTheme="minorHAnsi" w:eastAsia="Times New Roman" w:hAnsiTheme="minorHAnsi" w:cs="Times New Roman"/>
          <w:spacing w:val="0"/>
          <w:kern w:val="0"/>
          <w:sz w:val="22"/>
          <w:szCs w:val="22"/>
        </w:rPr>
        <w:t>platform to discuss and put forward possible solutions that can leverage technological evolutions for sustainable digital development in these regions.</w:t>
      </w:r>
    </w:p>
    <w:p w14:paraId="3EDE609B" w14:textId="1597754E" w:rsidR="005E54EF" w:rsidRDefault="00C071B7" w:rsidP="001237D4">
      <w:pPr>
        <w:pStyle w:val="Title"/>
        <w:spacing w:before="240"/>
        <w:contextualSpacing w:val="0"/>
        <w:jc w:val="both"/>
        <w:rPr>
          <w:rFonts w:asciiTheme="minorHAnsi" w:eastAsia="Times New Roman" w:hAnsiTheme="minorHAnsi" w:cs="Times New Roman"/>
          <w:spacing w:val="0"/>
          <w:kern w:val="0"/>
          <w:sz w:val="22"/>
          <w:szCs w:val="22"/>
        </w:rPr>
      </w:pPr>
      <w:r w:rsidRPr="005C7E51">
        <w:rPr>
          <w:rFonts w:asciiTheme="minorHAnsi" w:eastAsia="Times New Roman" w:hAnsiTheme="minorHAnsi" w:cs="Times New Roman"/>
          <w:spacing w:val="0"/>
          <w:kern w:val="0"/>
          <w:sz w:val="22"/>
          <w:szCs w:val="22"/>
        </w:rPr>
        <w:t>Building on these past impactful engagements, ITU and ITTLLDC co-organised</w:t>
      </w:r>
      <w:r w:rsidR="004711D5" w:rsidRPr="005C7E51">
        <w:rPr>
          <w:rFonts w:asciiTheme="minorHAnsi" w:eastAsia="Times New Roman" w:hAnsiTheme="minorHAnsi" w:cs="Times New Roman"/>
          <w:spacing w:val="0"/>
          <w:kern w:val="0"/>
          <w:sz w:val="22"/>
          <w:szCs w:val="22"/>
        </w:rPr>
        <w:t xml:space="preserve"> this</w:t>
      </w:r>
      <w:r w:rsidRPr="005C7E51">
        <w:rPr>
          <w:rFonts w:asciiTheme="minorHAnsi" w:eastAsia="Times New Roman" w:hAnsiTheme="minorHAnsi" w:cs="Times New Roman"/>
          <w:spacing w:val="0"/>
          <w:kern w:val="0"/>
          <w:sz w:val="22"/>
          <w:szCs w:val="22"/>
        </w:rPr>
        <w:t xml:space="preserve"> seminar in 2025 on the theme </w:t>
      </w:r>
      <w:r w:rsidR="004711D5" w:rsidRPr="005C7E51">
        <w:rPr>
          <w:rFonts w:asciiTheme="minorHAnsi" w:eastAsia="Times New Roman" w:hAnsiTheme="minorHAnsi" w:cs="Times New Roman"/>
          <w:spacing w:val="0"/>
          <w:kern w:val="0"/>
          <w:sz w:val="22"/>
          <w:szCs w:val="22"/>
        </w:rPr>
        <w:t>“</w:t>
      </w:r>
      <w:r w:rsidRPr="005C7E51">
        <w:rPr>
          <w:rFonts w:asciiTheme="minorHAnsi" w:eastAsia="Times New Roman" w:hAnsiTheme="minorHAnsi" w:cs="Times New Roman"/>
          <w:spacing w:val="0"/>
          <w:kern w:val="0"/>
          <w:sz w:val="22"/>
          <w:szCs w:val="22"/>
        </w:rPr>
        <w:t>Cooperation for Sustainable Space Connectivity, spectrum use, and Early Warning Systems</w:t>
      </w:r>
      <w:r w:rsidR="004711D5" w:rsidRPr="005C7E51">
        <w:rPr>
          <w:rFonts w:asciiTheme="minorHAnsi" w:eastAsia="Times New Roman" w:hAnsiTheme="minorHAnsi" w:cs="Times New Roman"/>
          <w:spacing w:val="0"/>
          <w:kern w:val="0"/>
          <w:sz w:val="22"/>
          <w:szCs w:val="22"/>
        </w:rPr>
        <w:t>”</w:t>
      </w:r>
      <w:r w:rsidRPr="005C7E51">
        <w:rPr>
          <w:rFonts w:asciiTheme="minorHAnsi" w:eastAsia="Times New Roman" w:hAnsiTheme="minorHAnsi" w:cs="Times New Roman"/>
          <w:spacing w:val="0"/>
          <w:kern w:val="0"/>
          <w:sz w:val="22"/>
          <w:szCs w:val="22"/>
        </w:rPr>
        <w:t xml:space="preserve">. </w:t>
      </w:r>
      <w:r w:rsidR="005E54EF">
        <w:rPr>
          <w:rFonts w:asciiTheme="minorHAnsi" w:eastAsia="Times New Roman" w:hAnsiTheme="minorHAnsi" w:cs="Times New Roman"/>
          <w:spacing w:val="0"/>
          <w:kern w:val="0"/>
          <w:sz w:val="22"/>
          <w:szCs w:val="22"/>
        </w:rPr>
        <w:t xml:space="preserve">The event was supported by </w:t>
      </w:r>
      <w:r w:rsidR="00536F3F">
        <w:rPr>
          <w:rFonts w:asciiTheme="minorHAnsi" w:eastAsia="Times New Roman" w:hAnsiTheme="minorHAnsi" w:cs="Times New Roman"/>
          <w:spacing w:val="0"/>
          <w:kern w:val="0"/>
          <w:sz w:val="22"/>
          <w:szCs w:val="22"/>
        </w:rPr>
        <w:t xml:space="preserve">Ministry </w:t>
      </w:r>
      <w:proofErr w:type="spellStart"/>
      <w:r w:rsidR="00536F3F">
        <w:rPr>
          <w:rFonts w:asciiTheme="minorHAnsi" w:eastAsia="Times New Roman" w:hAnsiTheme="minorHAnsi" w:cs="Times New Roman"/>
          <w:spacing w:val="0"/>
          <w:kern w:val="0"/>
          <w:sz w:val="22"/>
          <w:szCs w:val="22"/>
        </w:rPr>
        <w:t>fo</w:t>
      </w:r>
      <w:proofErr w:type="spellEnd"/>
      <w:r w:rsidR="00536F3F">
        <w:rPr>
          <w:rFonts w:asciiTheme="minorHAnsi" w:eastAsia="Times New Roman" w:hAnsiTheme="minorHAnsi" w:cs="Times New Roman"/>
          <w:spacing w:val="0"/>
          <w:kern w:val="0"/>
          <w:sz w:val="22"/>
          <w:szCs w:val="22"/>
        </w:rPr>
        <w:t xml:space="preserve"> Digital Development, Innovation and communications (</w:t>
      </w:r>
      <w:r w:rsidR="005E54EF">
        <w:rPr>
          <w:rFonts w:asciiTheme="minorHAnsi" w:eastAsia="Times New Roman" w:hAnsiTheme="minorHAnsi" w:cs="Times New Roman"/>
          <w:spacing w:val="0"/>
          <w:kern w:val="0"/>
          <w:sz w:val="22"/>
          <w:szCs w:val="22"/>
        </w:rPr>
        <w:t>MDDIC</w:t>
      </w:r>
      <w:r w:rsidR="00536F3F">
        <w:rPr>
          <w:rFonts w:asciiTheme="minorHAnsi" w:eastAsia="Times New Roman" w:hAnsiTheme="minorHAnsi" w:cs="Times New Roman"/>
          <w:spacing w:val="0"/>
          <w:kern w:val="0"/>
          <w:sz w:val="22"/>
          <w:szCs w:val="22"/>
        </w:rPr>
        <w:t>)</w:t>
      </w:r>
      <w:r w:rsidR="005E54EF">
        <w:rPr>
          <w:rFonts w:asciiTheme="minorHAnsi" w:eastAsia="Times New Roman" w:hAnsiTheme="minorHAnsi" w:cs="Times New Roman"/>
          <w:spacing w:val="0"/>
          <w:kern w:val="0"/>
          <w:sz w:val="22"/>
          <w:szCs w:val="22"/>
        </w:rPr>
        <w:t xml:space="preserve"> and </w:t>
      </w:r>
      <w:r w:rsidR="00536F3F">
        <w:rPr>
          <w:rFonts w:asciiTheme="minorHAnsi" w:eastAsia="Times New Roman" w:hAnsiTheme="minorHAnsi" w:cs="Times New Roman"/>
          <w:spacing w:val="0"/>
          <w:kern w:val="0"/>
          <w:sz w:val="22"/>
          <w:szCs w:val="22"/>
        </w:rPr>
        <w:t>Communications Regulatory Commission (</w:t>
      </w:r>
      <w:r w:rsidR="005E54EF">
        <w:rPr>
          <w:rFonts w:asciiTheme="minorHAnsi" w:eastAsia="Times New Roman" w:hAnsiTheme="minorHAnsi" w:cs="Times New Roman"/>
          <w:spacing w:val="0"/>
          <w:kern w:val="0"/>
          <w:sz w:val="22"/>
          <w:szCs w:val="22"/>
        </w:rPr>
        <w:t>CRC</w:t>
      </w:r>
      <w:r w:rsidR="00536F3F">
        <w:rPr>
          <w:rFonts w:asciiTheme="minorHAnsi" w:eastAsia="Times New Roman" w:hAnsiTheme="minorHAnsi" w:cs="Times New Roman"/>
          <w:spacing w:val="0"/>
          <w:kern w:val="0"/>
          <w:sz w:val="22"/>
          <w:szCs w:val="22"/>
        </w:rPr>
        <w:t>) of</w:t>
      </w:r>
      <w:r w:rsidR="005E54EF">
        <w:rPr>
          <w:rFonts w:asciiTheme="minorHAnsi" w:eastAsia="Times New Roman" w:hAnsiTheme="minorHAnsi" w:cs="Times New Roman"/>
          <w:spacing w:val="0"/>
          <w:kern w:val="0"/>
          <w:sz w:val="22"/>
          <w:szCs w:val="22"/>
        </w:rPr>
        <w:t xml:space="preserve"> Mongolia.</w:t>
      </w:r>
    </w:p>
    <w:p w14:paraId="1D869E93" w14:textId="429F44D2" w:rsidR="00C071B7" w:rsidRPr="005C7E51" w:rsidRDefault="004711D5" w:rsidP="001237D4">
      <w:pPr>
        <w:pStyle w:val="Title"/>
        <w:spacing w:before="240"/>
        <w:contextualSpacing w:val="0"/>
        <w:jc w:val="both"/>
        <w:rPr>
          <w:rFonts w:asciiTheme="minorHAnsi" w:eastAsia="Times New Roman" w:hAnsiTheme="minorHAnsi" w:cs="Times New Roman"/>
          <w:spacing w:val="0"/>
          <w:kern w:val="0"/>
          <w:sz w:val="22"/>
          <w:szCs w:val="22"/>
        </w:rPr>
      </w:pPr>
      <w:r w:rsidRPr="005C7E51">
        <w:rPr>
          <w:rFonts w:asciiTheme="minorHAnsi" w:eastAsia="Times New Roman" w:hAnsiTheme="minorHAnsi" w:cs="Times New Roman"/>
          <w:spacing w:val="0"/>
          <w:kern w:val="0"/>
          <w:sz w:val="22"/>
          <w:szCs w:val="22"/>
        </w:rPr>
        <w:t>The event</w:t>
      </w:r>
      <w:r w:rsidR="00C071B7" w:rsidRPr="005C7E51">
        <w:rPr>
          <w:rFonts w:asciiTheme="minorHAnsi" w:eastAsia="Times New Roman" w:hAnsiTheme="minorHAnsi" w:cs="Times New Roman"/>
          <w:spacing w:val="0"/>
          <w:kern w:val="0"/>
          <w:sz w:val="22"/>
          <w:szCs w:val="22"/>
        </w:rPr>
        <w:t xml:space="preserve"> discuss</w:t>
      </w:r>
      <w:r w:rsidRPr="005C7E51">
        <w:rPr>
          <w:rFonts w:asciiTheme="minorHAnsi" w:eastAsia="Times New Roman" w:hAnsiTheme="minorHAnsi" w:cs="Times New Roman"/>
          <w:spacing w:val="0"/>
          <w:kern w:val="0"/>
          <w:sz w:val="22"/>
          <w:szCs w:val="22"/>
        </w:rPr>
        <w:t>ed</w:t>
      </w:r>
      <w:r w:rsidR="00C071B7" w:rsidRPr="005C7E51">
        <w:rPr>
          <w:rFonts w:asciiTheme="minorHAnsi" w:eastAsia="Times New Roman" w:hAnsiTheme="minorHAnsi" w:cs="Times New Roman"/>
          <w:spacing w:val="0"/>
          <w:kern w:val="0"/>
          <w:sz w:val="22"/>
          <w:szCs w:val="22"/>
        </w:rPr>
        <w:t xml:space="preserve"> key </w:t>
      </w:r>
      <w:r w:rsidRPr="005C7E51">
        <w:rPr>
          <w:rFonts w:asciiTheme="minorHAnsi" w:eastAsia="Times New Roman" w:hAnsiTheme="minorHAnsi" w:cs="Times New Roman"/>
          <w:spacing w:val="0"/>
          <w:kern w:val="0"/>
          <w:sz w:val="22"/>
          <w:szCs w:val="22"/>
        </w:rPr>
        <w:t>items related</w:t>
      </w:r>
      <w:r w:rsidR="00C071B7" w:rsidRPr="005C7E51">
        <w:rPr>
          <w:rFonts w:asciiTheme="minorHAnsi" w:eastAsia="Times New Roman" w:hAnsiTheme="minorHAnsi" w:cs="Times New Roman"/>
          <w:spacing w:val="0"/>
          <w:kern w:val="0"/>
          <w:sz w:val="22"/>
          <w:szCs w:val="22"/>
        </w:rPr>
        <w:t xml:space="preserve"> to LLDCs in CIS (Commonwealth of Independent States) and Asia-Pacific including:</w:t>
      </w:r>
    </w:p>
    <w:p w14:paraId="16019866" w14:textId="77777777" w:rsidR="00C071B7" w:rsidRPr="005C7E51" w:rsidRDefault="00C071B7" w:rsidP="001237D4">
      <w:pPr>
        <w:pStyle w:val="Title"/>
        <w:numPr>
          <w:ilvl w:val="0"/>
          <w:numId w:val="15"/>
        </w:numPr>
        <w:spacing w:before="240"/>
        <w:contextualSpacing w:val="0"/>
        <w:jc w:val="both"/>
        <w:rPr>
          <w:rFonts w:asciiTheme="minorHAnsi" w:eastAsia="Times New Roman" w:hAnsiTheme="minorHAnsi" w:cs="Times New Roman"/>
          <w:spacing w:val="0"/>
          <w:kern w:val="0"/>
          <w:sz w:val="22"/>
          <w:szCs w:val="22"/>
        </w:rPr>
      </w:pPr>
      <w:r w:rsidRPr="53340F37">
        <w:rPr>
          <w:rFonts w:asciiTheme="minorHAnsi" w:eastAsia="Times New Roman" w:hAnsiTheme="minorHAnsi" w:cs="Times New Roman"/>
          <w:spacing w:val="0"/>
          <w:kern w:val="0"/>
          <w:sz w:val="22"/>
          <w:szCs w:val="22"/>
        </w:rPr>
        <w:t>Promoting international cooperation in the use of space, satellite and non-terrestrial digital connectivity solutions</w:t>
      </w:r>
    </w:p>
    <w:p w14:paraId="56403F18" w14:textId="77777777" w:rsidR="00C071B7" w:rsidRPr="005C7E51" w:rsidRDefault="00C071B7" w:rsidP="001237D4">
      <w:pPr>
        <w:pStyle w:val="Title"/>
        <w:numPr>
          <w:ilvl w:val="0"/>
          <w:numId w:val="15"/>
        </w:numPr>
        <w:spacing w:before="240"/>
        <w:contextualSpacing w:val="0"/>
        <w:jc w:val="both"/>
        <w:rPr>
          <w:rFonts w:asciiTheme="minorHAnsi" w:eastAsia="Times New Roman" w:hAnsiTheme="minorHAnsi" w:cs="Times New Roman"/>
          <w:spacing w:val="0"/>
          <w:kern w:val="0"/>
          <w:sz w:val="22"/>
          <w:szCs w:val="22"/>
        </w:rPr>
      </w:pPr>
      <w:r w:rsidRPr="53340F37">
        <w:rPr>
          <w:rFonts w:asciiTheme="minorHAnsi" w:eastAsia="Times New Roman" w:hAnsiTheme="minorHAnsi" w:cs="Times New Roman"/>
          <w:spacing w:val="0"/>
          <w:kern w:val="0"/>
          <w:sz w:val="22"/>
          <w:szCs w:val="22"/>
        </w:rPr>
        <w:t>Cross border RF interference mitigation</w:t>
      </w:r>
    </w:p>
    <w:p w14:paraId="79C164D7" w14:textId="77777777" w:rsidR="00C071B7" w:rsidRDefault="00C071B7" w:rsidP="001237D4">
      <w:pPr>
        <w:pStyle w:val="Title"/>
        <w:numPr>
          <w:ilvl w:val="0"/>
          <w:numId w:val="15"/>
        </w:numPr>
        <w:spacing w:before="240"/>
        <w:contextualSpacing w:val="0"/>
        <w:jc w:val="both"/>
        <w:rPr>
          <w:rFonts w:asciiTheme="minorHAnsi" w:eastAsia="Times New Roman" w:hAnsiTheme="minorHAnsi" w:cs="Times New Roman"/>
          <w:spacing w:val="0"/>
          <w:kern w:val="0"/>
          <w:sz w:val="22"/>
          <w:szCs w:val="22"/>
        </w:rPr>
      </w:pPr>
      <w:r w:rsidRPr="53340F37">
        <w:rPr>
          <w:rFonts w:asciiTheme="minorHAnsi" w:eastAsia="Times New Roman" w:hAnsiTheme="minorHAnsi" w:cs="Times New Roman"/>
          <w:spacing w:val="0"/>
          <w:kern w:val="0"/>
          <w:sz w:val="22"/>
          <w:szCs w:val="22"/>
        </w:rPr>
        <w:t>Leveraging digital networks for Early Warning dissemination</w:t>
      </w:r>
    </w:p>
    <w:p w14:paraId="2B98AEFF" w14:textId="39258FCD" w:rsidR="00C071B7" w:rsidRPr="005C7E51" w:rsidRDefault="00986C8A" w:rsidP="001237D4">
      <w:pPr>
        <w:pStyle w:val="Title"/>
        <w:numPr>
          <w:ilvl w:val="0"/>
          <w:numId w:val="15"/>
        </w:numPr>
        <w:spacing w:before="240"/>
        <w:contextualSpacing w:val="0"/>
        <w:jc w:val="both"/>
        <w:rPr>
          <w:rFonts w:asciiTheme="minorHAnsi" w:eastAsia="Times New Roman" w:hAnsiTheme="minorHAnsi" w:cs="Times New Roman"/>
          <w:spacing w:val="0"/>
          <w:kern w:val="0"/>
          <w:sz w:val="22"/>
          <w:szCs w:val="22"/>
        </w:rPr>
      </w:pPr>
      <w:r w:rsidRPr="001237D4">
        <w:rPr>
          <w:rFonts w:asciiTheme="minorHAnsi" w:eastAsia="Times New Roman" w:hAnsiTheme="minorHAnsi" w:cs="Times New Roman"/>
          <w:spacing w:val="0"/>
          <w:kern w:val="0"/>
          <w:sz w:val="22"/>
          <w:szCs w:val="22"/>
        </w:rPr>
        <w:t>Affordable international connectivity for LLDCs</w:t>
      </w:r>
      <w:r w:rsidR="00C071B7" w:rsidRPr="00986C8A">
        <w:rPr>
          <w:rFonts w:ascii="Arial" w:eastAsia="Times New Roman" w:hAnsi="Arial" w:cs="Arial"/>
          <w:spacing w:val="0"/>
          <w:kern w:val="0"/>
          <w:sz w:val="22"/>
          <w:szCs w:val="22"/>
        </w:rPr>
        <w:t>​</w:t>
      </w:r>
    </w:p>
    <w:p w14:paraId="317C3398" w14:textId="2D4C72ED" w:rsidR="00243886" w:rsidRDefault="00C071B7">
      <w:pPr>
        <w:pStyle w:val="Title"/>
        <w:spacing w:before="240"/>
        <w:contextualSpacing w:val="0"/>
        <w:jc w:val="both"/>
        <w:rPr>
          <w:rFonts w:asciiTheme="minorHAnsi" w:eastAsia="Times New Roman" w:hAnsiTheme="minorHAnsi" w:cs="Times New Roman"/>
          <w:spacing w:val="0"/>
          <w:kern w:val="0"/>
          <w:sz w:val="22"/>
          <w:szCs w:val="22"/>
        </w:rPr>
      </w:pPr>
      <w:r w:rsidRPr="53340F37">
        <w:rPr>
          <w:rFonts w:asciiTheme="minorHAnsi" w:eastAsia="Times New Roman" w:hAnsiTheme="minorHAnsi" w:cs="Times New Roman"/>
          <w:spacing w:val="0"/>
          <w:kern w:val="0"/>
          <w:sz w:val="22"/>
          <w:szCs w:val="22"/>
        </w:rPr>
        <w:t xml:space="preserve">The event </w:t>
      </w:r>
      <w:r w:rsidR="003D2C8F">
        <w:rPr>
          <w:rFonts w:asciiTheme="minorHAnsi" w:eastAsia="Times New Roman" w:hAnsiTheme="minorHAnsi" w:cs="Times New Roman"/>
          <w:spacing w:val="0"/>
          <w:kern w:val="0"/>
          <w:sz w:val="22"/>
          <w:szCs w:val="22"/>
        </w:rPr>
        <w:t xml:space="preserve">brought </w:t>
      </w:r>
      <w:r w:rsidRPr="53340F37">
        <w:rPr>
          <w:rFonts w:asciiTheme="minorHAnsi" w:eastAsia="Times New Roman" w:hAnsiTheme="minorHAnsi" w:cs="Times New Roman"/>
          <w:spacing w:val="0"/>
          <w:kern w:val="0"/>
          <w:sz w:val="22"/>
          <w:szCs w:val="22"/>
        </w:rPr>
        <w:t>together participants from Asia-Pacific and CIS regions with specific focus on Landlocked Developing Administrations and domain experts.</w:t>
      </w:r>
    </w:p>
    <w:p w14:paraId="2C55F665" w14:textId="77777777" w:rsidR="009652B7" w:rsidRDefault="009652B7" w:rsidP="009652B7">
      <w:pPr>
        <w:spacing w:before="240"/>
        <w:jc w:val="both"/>
        <w:rPr>
          <w:rFonts w:asciiTheme="minorHAnsi" w:hAnsiTheme="minorHAnsi"/>
          <w:sz w:val="22"/>
          <w:szCs w:val="22"/>
        </w:rPr>
      </w:pPr>
      <w:r w:rsidRPr="53340F37">
        <w:rPr>
          <w:rFonts w:asciiTheme="minorHAnsi" w:hAnsiTheme="minorHAnsi"/>
          <w:sz w:val="22"/>
          <w:szCs w:val="22"/>
        </w:rPr>
        <w:t>The seminar consisted of following sessions:</w:t>
      </w:r>
    </w:p>
    <w:p w14:paraId="6C4E5F63" w14:textId="77777777" w:rsidR="009652B7" w:rsidRDefault="009652B7" w:rsidP="009652B7">
      <w:pPr>
        <w:pStyle w:val="ListParagraph"/>
        <w:numPr>
          <w:ilvl w:val="0"/>
          <w:numId w:val="3"/>
        </w:numPr>
        <w:spacing w:before="240"/>
        <w:contextualSpacing w:val="0"/>
        <w:jc w:val="both"/>
        <w:rPr>
          <w:rFonts w:asciiTheme="minorHAnsi" w:hAnsiTheme="minorHAnsi"/>
          <w:sz w:val="22"/>
          <w:szCs w:val="22"/>
        </w:rPr>
      </w:pPr>
      <w:r w:rsidRPr="53340F37">
        <w:rPr>
          <w:rFonts w:asciiTheme="minorHAnsi" w:hAnsiTheme="minorHAnsi"/>
          <w:sz w:val="22"/>
          <w:szCs w:val="22"/>
        </w:rPr>
        <w:t>Developing a national satellite program: considerations and case studies</w:t>
      </w:r>
    </w:p>
    <w:p w14:paraId="15AE3CFF" w14:textId="77777777" w:rsidR="009652B7" w:rsidRDefault="009652B7" w:rsidP="009652B7">
      <w:pPr>
        <w:pStyle w:val="ListParagraph"/>
        <w:numPr>
          <w:ilvl w:val="0"/>
          <w:numId w:val="3"/>
        </w:numPr>
        <w:spacing w:before="240"/>
        <w:contextualSpacing w:val="0"/>
        <w:jc w:val="both"/>
        <w:rPr>
          <w:rFonts w:asciiTheme="minorHAnsi" w:hAnsiTheme="minorHAnsi"/>
          <w:sz w:val="22"/>
          <w:szCs w:val="22"/>
        </w:rPr>
      </w:pPr>
      <w:r w:rsidRPr="53340F37">
        <w:rPr>
          <w:rFonts w:asciiTheme="minorHAnsi" w:hAnsiTheme="minorHAnsi"/>
          <w:sz w:val="22"/>
          <w:szCs w:val="22"/>
        </w:rPr>
        <w:t>Leveraging digital networks for Early Warning dissemination</w:t>
      </w:r>
    </w:p>
    <w:p w14:paraId="5866C8FE" w14:textId="77777777" w:rsidR="009652B7" w:rsidRDefault="009652B7" w:rsidP="009652B7">
      <w:pPr>
        <w:pStyle w:val="ListParagraph"/>
        <w:numPr>
          <w:ilvl w:val="0"/>
          <w:numId w:val="3"/>
        </w:numPr>
        <w:spacing w:before="240"/>
        <w:contextualSpacing w:val="0"/>
        <w:jc w:val="both"/>
        <w:rPr>
          <w:rFonts w:asciiTheme="minorHAnsi" w:hAnsiTheme="minorHAnsi"/>
          <w:sz w:val="22"/>
          <w:szCs w:val="22"/>
        </w:rPr>
      </w:pPr>
      <w:r w:rsidRPr="53340F37">
        <w:rPr>
          <w:rFonts w:asciiTheme="minorHAnsi" w:hAnsiTheme="minorHAnsi"/>
          <w:sz w:val="22"/>
          <w:szCs w:val="22"/>
        </w:rPr>
        <w:t>Presentation on E-Mongolia best practice</w:t>
      </w:r>
    </w:p>
    <w:p w14:paraId="7A39A79D" w14:textId="77777777" w:rsidR="009652B7" w:rsidRDefault="009652B7" w:rsidP="009652B7">
      <w:pPr>
        <w:pStyle w:val="ListParagraph"/>
        <w:numPr>
          <w:ilvl w:val="0"/>
          <w:numId w:val="3"/>
        </w:numPr>
        <w:spacing w:before="240"/>
        <w:contextualSpacing w:val="0"/>
        <w:jc w:val="both"/>
        <w:rPr>
          <w:rFonts w:asciiTheme="minorHAnsi" w:hAnsiTheme="minorHAnsi"/>
          <w:sz w:val="22"/>
          <w:szCs w:val="22"/>
        </w:rPr>
      </w:pPr>
      <w:r w:rsidRPr="53340F37">
        <w:rPr>
          <w:rFonts w:asciiTheme="minorHAnsi" w:hAnsiTheme="minorHAnsi"/>
          <w:sz w:val="22"/>
          <w:szCs w:val="22"/>
        </w:rPr>
        <w:t>Innovation Cafe on "Enhancing Digital Connectivity in LLDC's"</w:t>
      </w:r>
    </w:p>
    <w:p w14:paraId="10E02F18" w14:textId="77777777" w:rsidR="009652B7" w:rsidRDefault="009652B7" w:rsidP="009652B7">
      <w:pPr>
        <w:pStyle w:val="ListParagraph"/>
        <w:numPr>
          <w:ilvl w:val="0"/>
          <w:numId w:val="3"/>
        </w:numPr>
        <w:spacing w:before="240"/>
        <w:contextualSpacing w:val="0"/>
        <w:jc w:val="both"/>
        <w:rPr>
          <w:rFonts w:asciiTheme="minorHAnsi" w:hAnsiTheme="minorHAnsi"/>
          <w:sz w:val="22"/>
          <w:szCs w:val="22"/>
        </w:rPr>
      </w:pPr>
      <w:r w:rsidRPr="53340F37">
        <w:rPr>
          <w:rFonts w:asciiTheme="minorHAnsi" w:hAnsiTheme="minorHAnsi"/>
          <w:sz w:val="22"/>
          <w:szCs w:val="22"/>
        </w:rPr>
        <w:t>Cross Border RF interference mitigation</w:t>
      </w:r>
    </w:p>
    <w:p w14:paraId="037B6558" w14:textId="77777777" w:rsidR="009652B7" w:rsidRDefault="009652B7" w:rsidP="009652B7">
      <w:pPr>
        <w:pStyle w:val="ListParagraph"/>
        <w:numPr>
          <w:ilvl w:val="0"/>
          <w:numId w:val="3"/>
        </w:numPr>
        <w:spacing w:before="240"/>
        <w:contextualSpacing w:val="0"/>
        <w:jc w:val="both"/>
        <w:rPr>
          <w:rFonts w:asciiTheme="minorHAnsi" w:hAnsiTheme="minorHAnsi"/>
          <w:sz w:val="22"/>
          <w:szCs w:val="22"/>
        </w:rPr>
      </w:pPr>
      <w:r w:rsidRPr="53340F37">
        <w:rPr>
          <w:rFonts w:asciiTheme="minorHAnsi" w:hAnsiTheme="minorHAnsi"/>
          <w:sz w:val="22"/>
          <w:szCs w:val="22"/>
        </w:rPr>
        <w:t>Panel Discussion on "International Digital Connectivity for LLDC's"</w:t>
      </w:r>
    </w:p>
    <w:p w14:paraId="79D6202A" w14:textId="0363B963" w:rsidR="009652B7" w:rsidRDefault="009652B7" w:rsidP="009652B7">
      <w:pPr>
        <w:spacing w:before="240"/>
        <w:jc w:val="both"/>
        <w:rPr>
          <w:rFonts w:ascii="Aptos" w:hAnsi="Aptos"/>
          <w:sz w:val="22"/>
          <w:szCs w:val="22"/>
        </w:rPr>
      </w:pPr>
      <w:r w:rsidRPr="53340F37">
        <w:rPr>
          <w:rFonts w:ascii="Aptos" w:hAnsi="Aptos"/>
          <w:sz w:val="22"/>
          <w:szCs w:val="22"/>
        </w:rPr>
        <w:t>The detailed agenda</w:t>
      </w:r>
      <w:r>
        <w:rPr>
          <w:rFonts w:ascii="Aptos" w:hAnsi="Aptos"/>
          <w:sz w:val="22"/>
          <w:szCs w:val="22"/>
        </w:rPr>
        <w:t xml:space="preserve"> and </w:t>
      </w:r>
      <w:r w:rsidR="00CE6EC3">
        <w:rPr>
          <w:rFonts w:ascii="Aptos" w:hAnsi="Aptos"/>
          <w:sz w:val="22"/>
          <w:szCs w:val="22"/>
        </w:rPr>
        <w:t xml:space="preserve">meeting content is available at </w:t>
      </w:r>
      <w:r w:rsidRPr="53340F37">
        <w:rPr>
          <w:rFonts w:ascii="Aptos" w:hAnsi="Aptos"/>
          <w:sz w:val="22"/>
          <w:szCs w:val="22"/>
        </w:rPr>
        <w:t xml:space="preserve"> </w:t>
      </w:r>
      <w:r>
        <w:rPr>
          <w:rFonts w:ascii="Aptos" w:hAnsi="Aptos"/>
          <w:sz w:val="22"/>
          <w:szCs w:val="22"/>
        </w:rPr>
        <w:t>event webpage</w:t>
      </w:r>
      <w:r w:rsidR="00D47188">
        <w:rPr>
          <w:rFonts w:ascii="Aptos" w:hAnsi="Aptos"/>
          <w:sz w:val="22"/>
          <w:szCs w:val="22"/>
        </w:rPr>
        <w:t xml:space="preserve"> </w:t>
      </w:r>
      <w:hyperlink r:id="rId12" w:history="1">
        <w:r w:rsidR="00D47188" w:rsidRPr="00056D51">
          <w:rPr>
            <w:rStyle w:val="Hyperlink"/>
            <w:rFonts w:ascii="Aptos" w:hAnsi="Aptos"/>
            <w:sz w:val="22"/>
            <w:szCs w:val="22"/>
          </w:rPr>
          <w:t>https://www.itu.int/en/ITU-D/Regional-Presence/AsiaPacific/Pages/Events/2025/ITTLLDC%202025/main.aspx</w:t>
        </w:r>
      </w:hyperlink>
      <w:r w:rsidR="00D47188">
        <w:rPr>
          <w:rFonts w:ascii="Aptos" w:hAnsi="Aptos"/>
          <w:sz w:val="22"/>
          <w:szCs w:val="22"/>
        </w:rPr>
        <w:t xml:space="preserve"> </w:t>
      </w:r>
      <w:r w:rsidRPr="53340F37">
        <w:rPr>
          <w:rFonts w:ascii="Aptos" w:hAnsi="Aptos"/>
          <w:sz w:val="22"/>
          <w:szCs w:val="22"/>
        </w:rPr>
        <w:t>.</w:t>
      </w:r>
    </w:p>
    <w:p w14:paraId="135FA723" w14:textId="77777777" w:rsidR="009652B7" w:rsidRPr="001237D4" w:rsidRDefault="009652B7" w:rsidP="001237D4"/>
    <w:p w14:paraId="200000FC" w14:textId="4012D8AF" w:rsidR="004711D5" w:rsidRPr="00DF2F95" w:rsidRDefault="00984161" w:rsidP="001237D4">
      <w:pPr>
        <w:pStyle w:val="Title"/>
        <w:numPr>
          <w:ilvl w:val="0"/>
          <w:numId w:val="14"/>
        </w:numPr>
        <w:spacing w:before="240"/>
        <w:ind w:left="284" w:hanging="284"/>
        <w:contextualSpacing w:val="0"/>
        <w:rPr>
          <w:rFonts w:asciiTheme="minorHAnsi" w:hAnsiTheme="minorHAnsi"/>
          <w:b/>
          <w:bCs/>
          <w:color w:val="0070C0"/>
        </w:rPr>
      </w:pPr>
      <w:r w:rsidRPr="001237D4">
        <w:rPr>
          <w:rFonts w:asciiTheme="minorHAnsi" w:hAnsiTheme="minorHAnsi"/>
          <w:b/>
          <w:bCs/>
          <w:color w:val="0070C0"/>
          <w:sz w:val="24"/>
          <w:szCs w:val="24"/>
        </w:rPr>
        <w:t>Workshop Summary</w:t>
      </w:r>
    </w:p>
    <w:p w14:paraId="3ECF4483" w14:textId="18CDB55D" w:rsidR="005C7E51" w:rsidRPr="001237D4" w:rsidRDefault="005C7E51" w:rsidP="001237D4">
      <w:pPr>
        <w:pStyle w:val="Title"/>
        <w:spacing w:before="240"/>
        <w:contextualSpacing w:val="0"/>
        <w:jc w:val="both"/>
        <w:rPr>
          <w:rFonts w:asciiTheme="minorHAnsi" w:hAnsiTheme="minorHAnsi"/>
          <w:sz w:val="22"/>
          <w:szCs w:val="22"/>
        </w:rPr>
      </w:pPr>
      <w:r w:rsidRPr="00356A5A">
        <w:rPr>
          <w:rFonts w:asciiTheme="minorHAnsi" w:eastAsia="Times New Roman" w:hAnsiTheme="minorHAnsi" w:cs="Times New Roman"/>
          <w:spacing w:val="0"/>
          <w:kern w:val="0"/>
          <w:sz w:val="22"/>
          <w:szCs w:val="22"/>
        </w:rPr>
        <w:t xml:space="preserve">The event commenced with a recorded </w:t>
      </w:r>
      <w:r w:rsidR="00650890">
        <w:rPr>
          <w:rFonts w:asciiTheme="minorHAnsi" w:eastAsia="Times New Roman" w:hAnsiTheme="minorHAnsi" w:cs="Times New Roman"/>
          <w:spacing w:val="0"/>
          <w:kern w:val="0"/>
          <w:sz w:val="22"/>
          <w:szCs w:val="22"/>
        </w:rPr>
        <w:t xml:space="preserve">video </w:t>
      </w:r>
      <w:r w:rsidRPr="00356A5A">
        <w:rPr>
          <w:rFonts w:asciiTheme="minorHAnsi" w:eastAsia="Times New Roman" w:hAnsiTheme="minorHAnsi" w:cs="Times New Roman"/>
          <w:spacing w:val="0"/>
          <w:kern w:val="0"/>
          <w:sz w:val="22"/>
          <w:szCs w:val="22"/>
        </w:rPr>
        <w:t xml:space="preserve">address from </w:t>
      </w:r>
      <w:r w:rsidRPr="001237D4">
        <w:rPr>
          <w:rFonts w:asciiTheme="minorHAnsi" w:eastAsia="Times New Roman" w:hAnsiTheme="minorHAnsi" w:cs="Times New Roman"/>
          <w:b/>
          <w:bCs/>
          <w:spacing w:val="0"/>
          <w:kern w:val="0"/>
          <w:sz w:val="22"/>
          <w:szCs w:val="22"/>
        </w:rPr>
        <w:t>Dr</w:t>
      </w:r>
      <w:r w:rsidR="00B3341D" w:rsidRPr="001237D4">
        <w:rPr>
          <w:rFonts w:asciiTheme="minorHAnsi" w:eastAsia="Times New Roman" w:hAnsiTheme="minorHAnsi" w:cs="Times New Roman"/>
          <w:b/>
          <w:bCs/>
          <w:spacing w:val="0"/>
          <w:kern w:val="0"/>
          <w:sz w:val="22"/>
          <w:szCs w:val="22"/>
        </w:rPr>
        <w:t>.</w:t>
      </w:r>
      <w:r w:rsidRPr="001237D4">
        <w:rPr>
          <w:rFonts w:asciiTheme="minorHAnsi" w:eastAsia="Times New Roman" w:hAnsiTheme="minorHAnsi" w:cs="Times New Roman"/>
          <w:b/>
          <w:bCs/>
          <w:spacing w:val="0"/>
          <w:kern w:val="0"/>
          <w:sz w:val="22"/>
          <w:szCs w:val="22"/>
        </w:rPr>
        <w:t xml:space="preserve"> Cosmas Zavazava, Director Development Bureau</w:t>
      </w:r>
      <w:r w:rsidR="00A27085" w:rsidRPr="001237D4">
        <w:rPr>
          <w:rFonts w:asciiTheme="minorHAnsi" w:eastAsia="Times New Roman" w:hAnsiTheme="minorHAnsi" w:cs="Times New Roman"/>
          <w:b/>
          <w:bCs/>
          <w:spacing w:val="0"/>
          <w:kern w:val="0"/>
          <w:sz w:val="22"/>
          <w:szCs w:val="22"/>
        </w:rPr>
        <w:t xml:space="preserve"> of</w:t>
      </w:r>
      <w:r w:rsidRPr="001237D4">
        <w:rPr>
          <w:rFonts w:asciiTheme="minorHAnsi" w:eastAsia="Times New Roman" w:hAnsiTheme="minorHAnsi" w:cs="Times New Roman"/>
          <w:b/>
          <w:bCs/>
          <w:spacing w:val="0"/>
          <w:kern w:val="0"/>
          <w:sz w:val="22"/>
          <w:szCs w:val="22"/>
        </w:rPr>
        <w:t xml:space="preserve"> ITU</w:t>
      </w:r>
      <w:r w:rsidRPr="001237D4">
        <w:rPr>
          <w:rFonts w:asciiTheme="minorHAnsi" w:eastAsia="Times New Roman" w:hAnsiTheme="minorHAnsi" w:cs="Times New Roman"/>
          <w:spacing w:val="0"/>
          <w:kern w:val="0"/>
          <w:sz w:val="22"/>
          <w:szCs w:val="22"/>
        </w:rPr>
        <w:t xml:space="preserve"> who </w:t>
      </w:r>
      <w:r w:rsidR="00356A5A" w:rsidRPr="00356A5A">
        <w:rPr>
          <w:rFonts w:asciiTheme="minorHAnsi" w:eastAsia="Times New Roman" w:hAnsiTheme="minorHAnsi" w:cs="Times New Roman"/>
          <w:spacing w:val="0"/>
          <w:kern w:val="0"/>
          <w:sz w:val="22"/>
          <w:szCs w:val="22"/>
        </w:rPr>
        <w:t>underscore</w:t>
      </w:r>
      <w:r w:rsidR="00650890">
        <w:rPr>
          <w:rFonts w:asciiTheme="minorHAnsi" w:eastAsia="Times New Roman" w:hAnsiTheme="minorHAnsi" w:cs="Times New Roman"/>
          <w:spacing w:val="0"/>
          <w:kern w:val="0"/>
          <w:sz w:val="22"/>
          <w:szCs w:val="22"/>
        </w:rPr>
        <w:t>d</w:t>
      </w:r>
      <w:r w:rsidR="00356A5A" w:rsidRPr="00356A5A">
        <w:rPr>
          <w:rFonts w:asciiTheme="minorHAnsi" w:eastAsia="Times New Roman" w:hAnsiTheme="minorHAnsi" w:cs="Times New Roman"/>
          <w:spacing w:val="0"/>
          <w:kern w:val="0"/>
          <w:sz w:val="22"/>
          <w:szCs w:val="22"/>
        </w:rPr>
        <w:t xml:space="preserve"> the unique digital challenges faced by Landlocked Developing Countries (LLDCs), particularly their reliance on vulnerable submarine cables and expensive terrestrial infrastructure, which leads to higher costs and instability. </w:t>
      </w:r>
      <w:r w:rsidR="00650890">
        <w:rPr>
          <w:rFonts w:asciiTheme="minorHAnsi" w:eastAsia="Times New Roman" w:hAnsiTheme="minorHAnsi" w:cs="Times New Roman"/>
          <w:spacing w:val="0"/>
          <w:kern w:val="0"/>
          <w:sz w:val="22"/>
          <w:szCs w:val="22"/>
        </w:rPr>
        <w:t>He emphasized</w:t>
      </w:r>
      <w:r w:rsidR="00DF2AAD">
        <w:rPr>
          <w:rFonts w:asciiTheme="minorHAnsi" w:eastAsia="Times New Roman" w:hAnsiTheme="minorHAnsi" w:cs="Times New Roman"/>
          <w:spacing w:val="0"/>
          <w:kern w:val="0"/>
          <w:sz w:val="22"/>
          <w:szCs w:val="22"/>
        </w:rPr>
        <w:t xml:space="preserve"> the role of s</w:t>
      </w:r>
      <w:r w:rsidR="00356A5A" w:rsidRPr="00356A5A">
        <w:rPr>
          <w:rFonts w:asciiTheme="minorHAnsi" w:eastAsia="Times New Roman" w:hAnsiTheme="minorHAnsi" w:cs="Times New Roman"/>
          <w:spacing w:val="0"/>
          <w:kern w:val="0"/>
          <w:sz w:val="22"/>
          <w:szCs w:val="22"/>
        </w:rPr>
        <w:t xml:space="preserve">atellite technology as a critical, immediate solution </w:t>
      </w:r>
      <w:r w:rsidR="00DF2AAD">
        <w:rPr>
          <w:rFonts w:asciiTheme="minorHAnsi" w:eastAsia="Times New Roman" w:hAnsiTheme="minorHAnsi" w:cs="Times New Roman"/>
          <w:spacing w:val="0"/>
          <w:kern w:val="0"/>
          <w:sz w:val="22"/>
          <w:szCs w:val="22"/>
        </w:rPr>
        <w:lastRenderedPageBreak/>
        <w:t xml:space="preserve">for </w:t>
      </w:r>
      <w:r w:rsidR="00356A5A" w:rsidRPr="00356A5A">
        <w:rPr>
          <w:rFonts w:asciiTheme="minorHAnsi" w:eastAsia="Times New Roman" w:hAnsiTheme="minorHAnsi" w:cs="Times New Roman"/>
          <w:spacing w:val="0"/>
          <w:kern w:val="0"/>
          <w:sz w:val="22"/>
          <w:szCs w:val="22"/>
        </w:rPr>
        <w:t xml:space="preserve">geographical </w:t>
      </w:r>
      <w:r w:rsidR="00DF2AAD">
        <w:rPr>
          <w:rFonts w:asciiTheme="minorHAnsi" w:eastAsia="Times New Roman" w:hAnsiTheme="minorHAnsi" w:cs="Times New Roman"/>
          <w:spacing w:val="0"/>
          <w:kern w:val="0"/>
          <w:sz w:val="22"/>
          <w:szCs w:val="22"/>
        </w:rPr>
        <w:t>barriers</w:t>
      </w:r>
      <w:r w:rsidR="00356A5A" w:rsidRPr="00356A5A">
        <w:rPr>
          <w:rFonts w:asciiTheme="minorHAnsi" w:eastAsia="Times New Roman" w:hAnsiTheme="minorHAnsi" w:cs="Times New Roman"/>
          <w:spacing w:val="0"/>
          <w:kern w:val="0"/>
          <w:sz w:val="22"/>
          <w:szCs w:val="22"/>
        </w:rPr>
        <w:t xml:space="preserve">, promote inclusivity, and deliver vital e-services. </w:t>
      </w:r>
      <w:r w:rsidR="00EA0165">
        <w:rPr>
          <w:rFonts w:asciiTheme="minorHAnsi" w:eastAsia="Times New Roman" w:hAnsiTheme="minorHAnsi" w:cs="Times New Roman"/>
          <w:spacing w:val="0"/>
          <w:kern w:val="0"/>
          <w:sz w:val="22"/>
          <w:szCs w:val="22"/>
        </w:rPr>
        <w:t>H</w:t>
      </w:r>
      <w:r w:rsidR="00FF5022">
        <w:rPr>
          <w:rFonts w:asciiTheme="minorHAnsi" w:eastAsia="Times New Roman" w:hAnsiTheme="minorHAnsi" w:cs="Times New Roman"/>
          <w:spacing w:val="0"/>
          <w:kern w:val="0"/>
          <w:sz w:val="22"/>
          <w:szCs w:val="22"/>
        </w:rPr>
        <w:t>e encouraged</w:t>
      </w:r>
      <w:r w:rsidR="00356A5A" w:rsidRPr="00356A5A">
        <w:rPr>
          <w:rFonts w:asciiTheme="minorHAnsi" w:eastAsia="Times New Roman" w:hAnsiTheme="minorHAnsi" w:cs="Times New Roman"/>
          <w:spacing w:val="0"/>
          <w:kern w:val="0"/>
          <w:sz w:val="22"/>
          <w:szCs w:val="22"/>
        </w:rPr>
        <w:t xml:space="preserve"> </w:t>
      </w:r>
      <w:r w:rsidR="00FF5022">
        <w:rPr>
          <w:rFonts w:asciiTheme="minorHAnsi" w:eastAsia="Times New Roman" w:hAnsiTheme="minorHAnsi" w:cs="Times New Roman"/>
          <w:spacing w:val="0"/>
          <w:kern w:val="0"/>
          <w:sz w:val="22"/>
          <w:szCs w:val="22"/>
        </w:rPr>
        <w:t>to put in place</w:t>
      </w:r>
      <w:r w:rsidR="00356A5A" w:rsidRPr="00356A5A">
        <w:rPr>
          <w:rFonts w:asciiTheme="minorHAnsi" w:eastAsia="Times New Roman" w:hAnsiTheme="minorHAnsi" w:cs="Times New Roman"/>
          <w:spacing w:val="0"/>
          <w:kern w:val="0"/>
          <w:sz w:val="22"/>
          <w:szCs w:val="22"/>
        </w:rPr>
        <w:t xml:space="preserve"> regulatory frameworks that balance innovation with fair competition and highlights ongoing international efforts, including upcoming ITU conferences, to ensure that LLDCs are no longer isolated from digital opportunities.</w:t>
      </w:r>
      <w:r w:rsidR="00E366FA">
        <w:rPr>
          <w:rFonts w:asciiTheme="minorHAnsi" w:eastAsia="Times New Roman" w:hAnsiTheme="minorHAnsi" w:cs="Times New Roman"/>
          <w:spacing w:val="0"/>
          <w:kern w:val="0"/>
          <w:sz w:val="22"/>
          <w:szCs w:val="22"/>
        </w:rPr>
        <w:t xml:space="preserve"> Being LLDC means landlocked, but it should not be considered as opportunity locked.</w:t>
      </w:r>
    </w:p>
    <w:p w14:paraId="36857F00" w14:textId="46C53741" w:rsidR="000D3D84" w:rsidRDefault="00F64417" w:rsidP="001237D4">
      <w:pPr>
        <w:spacing w:before="240"/>
        <w:jc w:val="both"/>
        <w:rPr>
          <w:rFonts w:asciiTheme="minorHAnsi" w:hAnsiTheme="minorHAnsi"/>
          <w:sz w:val="22"/>
          <w:szCs w:val="22"/>
        </w:rPr>
      </w:pPr>
      <w:r w:rsidRPr="001237D4">
        <w:rPr>
          <w:rFonts w:asciiTheme="minorHAnsi" w:hAnsiTheme="minorHAnsi"/>
          <w:b/>
          <w:bCs/>
          <w:sz w:val="22"/>
          <w:szCs w:val="22"/>
        </w:rPr>
        <w:t>Mr. Dulguun Damdin-Od, Executive Director, International Think Tank for LLDCs (ITTLLDC)</w:t>
      </w:r>
      <w:r w:rsidRPr="00F64417">
        <w:rPr>
          <w:rFonts w:asciiTheme="minorHAnsi" w:hAnsiTheme="minorHAnsi"/>
          <w:sz w:val="22"/>
          <w:szCs w:val="22"/>
        </w:rPr>
        <w:t xml:space="preserve">, welcomed delegates to Mongolia and expressed his </w:t>
      </w:r>
      <w:r w:rsidR="00D013DA">
        <w:rPr>
          <w:rFonts w:asciiTheme="minorHAnsi" w:hAnsiTheme="minorHAnsi"/>
          <w:sz w:val="22"/>
          <w:szCs w:val="22"/>
        </w:rPr>
        <w:t>thanks</w:t>
      </w:r>
      <w:r w:rsidRPr="00F64417">
        <w:rPr>
          <w:rFonts w:asciiTheme="minorHAnsi" w:hAnsiTheme="minorHAnsi"/>
          <w:sz w:val="22"/>
          <w:szCs w:val="22"/>
        </w:rPr>
        <w:t xml:space="preserve"> to ITU for </w:t>
      </w:r>
      <w:r w:rsidR="00F92B23">
        <w:rPr>
          <w:rFonts w:asciiTheme="minorHAnsi" w:hAnsiTheme="minorHAnsi"/>
          <w:sz w:val="22"/>
          <w:szCs w:val="22"/>
        </w:rPr>
        <w:t>continued cooperation</w:t>
      </w:r>
      <w:r w:rsidRPr="00F64417">
        <w:rPr>
          <w:rFonts w:asciiTheme="minorHAnsi" w:hAnsiTheme="minorHAnsi"/>
          <w:sz w:val="22"/>
          <w:szCs w:val="22"/>
        </w:rPr>
        <w:t xml:space="preserve">. </w:t>
      </w:r>
      <w:r w:rsidR="009D4EEE">
        <w:rPr>
          <w:rFonts w:asciiTheme="minorHAnsi" w:hAnsiTheme="minorHAnsi"/>
          <w:sz w:val="22"/>
          <w:szCs w:val="22"/>
        </w:rPr>
        <w:t>He highlighted that LLDC</w:t>
      </w:r>
      <w:r w:rsidR="00E366FA">
        <w:rPr>
          <w:rFonts w:asciiTheme="minorHAnsi" w:hAnsiTheme="minorHAnsi"/>
          <w:sz w:val="22"/>
          <w:szCs w:val="22"/>
        </w:rPr>
        <w:t xml:space="preserve">s </w:t>
      </w:r>
      <w:r w:rsidR="009D4EEE">
        <w:rPr>
          <w:rFonts w:asciiTheme="minorHAnsi" w:hAnsiTheme="minorHAnsi"/>
          <w:sz w:val="22"/>
          <w:szCs w:val="22"/>
        </w:rPr>
        <w:t>are c</w:t>
      </w:r>
      <w:r w:rsidRPr="00F64417">
        <w:rPr>
          <w:rFonts w:asciiTheme="minorHAnsi" w:hAnsiTheme="minorHAnsi"/>
          <w:sz w:val="22"/>
          <w:szCs w:val="22"/>
        </w:rPr>
        <w:t xml:space="preserve">haracterised by their geographical isolation and lack of direct access to </w:t>
      </w:r>
      <w:r w:rsidR="00E366FA" w:rsidRPr="00F64417">
        <w:rPr>
          <w:rFonts w:asciiTheme="minorHAnsi" w:hAnsiTheme="minorHAnsi"/>
          <w:sz w:val="22"/>
          <w:szCs w:val="22"/>
        </w:rPr>
        <w:t>seashore</w:t>
      </w:r>
      <w:r w:rsidRPr="00F64417">
        <w:rPr>
          <w:rFonts w:asciiTheme="minorHAnsi" w:hAnsiTheme="minorHAnsi"/>
          <w:sz w:val="22"/>
          <w:szCs w:val="22"/>
        </w:rPr>
        <w:t xml:space="preserve"> and submarine cables</w:t>
      </w:r>
      <w:r w:rsidR="00D013DA">
        <w:rPr>
          <w:rFonts w:asciiTheme="minorHAnsi" w:hAnsiTheme="minorHAnsi"/>
          <w:sz w:val="22"/>
          <w:szCs w:val="22"/>
        </w:rPr>
        <w:t xml:space="preserve">. This fact </w:t>
      </w:r>
      <w:r w:rsidR="00AB4DA1">
        <w:rPr>
          <w:rFonts w:asciiTheme="minorHAnsi" w:hAnsiTheme="minorHAnsi"/>
          <w:sz w:val="22"/>
          <w:szCs w:val="22"/>
        </w:rPr>
        <w:t xml:space="preserve">results into </w:t>
      </w:r>
      <w:r w:rsidR="00AB4DA1" w:rsidRPr="00F64417">
        <w:rPr>
          <w:rFonts w:asciiTheme="minorHAnsi" w:hAnsiTheme="minorHAnsi"/>
          <w:sz w:val="22"/>
          <w:szCs w:val="22"/>
        </w:rPr>
        <w:t xml:space="preserve">significant </w:t>
      </w:r>
      <w:r w:rsidR="00AB4DA1">
        <w:rPr>
          <w:rFonts w:asciiTheme="minorHAnsi" w:hAnsiTheme="minorHAnsi"/>
          <w:sz w:val="22"/>
          <w:szCs w:val="22"/>
        </w:rPr>
        <w:t xml:space="preserve">high </w:t>
      </w:r>
      <w:r w:rsidR="00AB4DA1" w:rsidRPr="00F64417">
        <w:rPr>
          <w:rFonts w:asciiTheme="minorHAnsi" w:hAnsiTheme="minorHAnsi"/>
          <w:sz w:val="22"/>
          <w:szCs w:val="22"/>
        </w:rPr>
        <w:t>rel</w:t>
      </w:r>
      <w:r w:rsidR="00AB4DA1">
        <w:rPr>
          <w:rFonts w:asciiTheme="minorHAnsi" w:hAnsiTheme="minorHAnsi"/>
          <w:sz w:val="22"/>
          <w:szCs w:val="22"/>
        </w:rPr>
        <w:t>iance</w:t>
      </w:r>
      <w:r w:rsidR="00AB4DA1" w:rsidRPr="00F64417">
        <w:rPr>
          <w:rFonts w:asciiTheme="minorHAnsi" w:hAnsiTheme="minorHAnsi"/>
          <w:sz w:val="22"/>
          <w:szCs w:val="22"/>
        </w:rPr>
        <w:t xml:space="preserve"> on the interconnection to terrestrial telecom infrastructure of neighbouring states</w:t>
      </w:r>
      <w:r w:rsidR="00AB4DA1">
        <w:rPr>
          <w:rFonts w:asciiTheme="minorHAnsi" w:hAnsiTheme="minorHAnsi"/>
          <w:sz w:val="22"/>
          <w:szCs w:val="22"/>
        </w:rPr>
        <w:t xml:space="preserve">. </w:t>
      </w:r>
      <w:r w:rsidR="00E37DFA">
        <w:rPr>
          <w:rFonts w:asciiTheme="minorHAnsi" w:hAnsiTheme="minorHAnsi"/>
          <w:sz w:val="22"/>
          <w:szCs w:val="22"/>
        </w:rPr>
        <w:t xml:space="preserve">As a </w:t>
      </w:r>
      <w:r w:rsidR="00FE08C9">
        <w:rPr>
          <w:rFonts w:asciiTheme="minorHAnsi" w:hAnsiTheme="minorHAnsi"/>
          <w:sz w:val="22"/>
          <w:szCs w:val="22"/>
        </w:rPr>
        <w:t>result,</w:t>
      </w:r>
      <w:r w:rsidR="00E37DFA">
        <w:rPr>
          <w:rFonts w:asciiTheme="minorHAnsi" w:hAnsiTheme="minorHAnsi"/>
          <w:sz w:val="22"/>
          <w:szCs w:val="22"/>
        </w:rPr>
        <w:t xml:space="preserve"> </w:t>
      </w:r>
      <w:r w:rsidR="004919E6">
        <w:rPr>
          <w:rFonts w:asciiTheme="minorHAnsi" w:hAnsiTheme="minorHAnsi"/>
          <w:sz w:val="22"/>
          <w:szCs w:val="22"/>
        </w:rPr>
        <w:t xml:space="preserve">developing </w:t>
      </w:r>
      <w:r w:rsidR="00E37DFA">
        <w:rPr>
          <w:rFonts w:asciiTheme="minorHAnsi" w:hAnsiTheme="minorHAnsi"/>
          <w:sz w:val="22"/>
          <w:szCs w:val="22"/>
        </w:rPr>
        <w:t xml:space="preserve">resilient and affordable </w:t>
      </w:r>
      <w:r w:rsidR="004919E6">
        <w:rPr>
          <w:rFonts w:asciiTheme="minorHAnsi" w:hAnsiTheme="minorHAnsi"/>
          <w:sz w:val="22"/>
          <w:szCs w:val="22"/>
        </w:rPr>
        <w:t xml:space="preserve">digital </w:t>
      </w:r>
      <w:r w:rsidR="00E37DFA">
        <w:rPr>
          <w:rFonts w:asciiTheme="minorHAnsi" w:hAnsiTheme="minorHAnsi"/>
          <w:sz w:val="22"/>
          <w:szCs w:val="22"/>
        </w:rPr>
        <w:t>conne</w:t>
      </w:r>
      <w:r w:rsidR="004919E6">
        <w:rPr>
          <w:rFonts w:asciiTheme="minorHAnsi" w:hAnsiTheme="minorHAnsi"/>
          <w:sz w:val="22"/>
          <w:szCs w:val="22"/>
        </w:rPr>
        <w:t>ctivity is a big challenge for LLDCs</w:t>
      </w:r>
      <w:r w:rsidRPr="00F64417">
        <w:rPr>
          <w:rFonts w:asciiTheme="minorHAnsi" w:hAnsiTheme="minorHAnsi"/>
          <w:sz w:val="22"/>
          <w:szCs w:val="22"/>
        </w:rPr>
        <w:t>.</w:t>
      </w:r>
      <w:r w:rsidR="00FE08C9">
        <w:rPr>
          <w:rFonts w:asciiTheme="minorHAnsi" w:hAnsiTheme="minorHAnsi"/>
          <w:sz w:val="22"/>
          <w:szCs w:val="22"/>
        </w:rPr>
        <w:t xml:space="preserve"> </w:t>
      </w:r>
      <w:r w:rsidR="001A5C7C">
        <w:rPr>
          <w:rFonts w:asciiTheme="minorHAnsi" w:hAnsiTheme="minorHAnsi"/>
          <w:sz w:val="22"/>
          <w:szCs w:val="22"/>
        </w:rPr>
        <w:t>Consequently,</w:t>
      </w:r>
      <w:r w:rsidR="00FE08C9">
        <w:rPr>
          <w:rFonts w:asciiTheme="minorHAnsi" w:hAnsiTheme="minorHAnsi"/>
          <w:sz w:val="22"/>
          <w:szCs w:val="22"/>
        </w:rPr>
        <w:t xml:space="preserve"> </w:t>
      </w:r>
      <w:r w:rsidR="00FE08C9" w:rsidRPr="00F64417">
        <w:rPr>
          <w:rFonts w:asciiTheme="minorHAnsi" w:hAnsiTheme="minorHAnsi"/>
          <w:sz w:val="22"/>
          <w:szCs w:val="22"/>
        </w:rPr>
        <w:t>the</w:t>
      </w:r>
      <w:r w:rsidRPr="00F64417">
        <w:rPr>
          <w:rFonts w:asciiTheme="minorHAnsi" w:hAnsiTheme="minorHAnsi"/>
          <w:sz w:val="22"/>
          <w:szCs w:val="22"/>
        </w:rPr>
        <w:t xml:space="preserve"> importance of satellite technologies for LLDCs</w:t>
      </w:r>
      <w:r w:rsidR="00FE08C9">
        <w:rPr>
          <w:rFonts w:asciiTheme="minorHAnsi" w:hAnsiTheme="minorHAnsi"/>
          <w:sz w:val="22"/>
          <w:szCs w:val="22"/>
        </w:rPr>
        <w:t xml:space="preserve"> become more profound and invited </w:t>
      </w:r>
      <w:r w:rsidRPr="00F64417">
        <w:rPr>
          <w:rFonts w:asciiTheme="minorHAnsi" w:hAnsiTheme="minorHAnsi"/>
          <w:sz w:val="22"/>
          <w:szCs w:val="22"/>
        </w:rPr>
        <w:t xml:space="preserve">the participants to explore the potential of satellite systems in digital inclusion of inhabitants in the geographically remote areas. </w:t>
      </w:r>
      <w:r w:rsidR="00F840A7">
        <w:rPr>
          <w:rFonts w:asciiTheme="minorHAnsi" w:hAnsiTheme="minorHAnsi"/>
          <w:sz w:val="22"/>
          <w:szCs w:val="22"/>
        </w:rPr>
        <w:t>He encouraged development and adoption of enabling</w:t>
      </w:r>
      <w:r w:rsidRPr="00F64417">
        <w:rPr>
          <w:rFonts w:asciiTheme="minorHAnsi" w:hAnsiTheme="minorHAnsi"/>
          <w:sz w:val="22"/>
          <w:szCs w:val="22"/>
        </w:rPr>
        <w:t xml:space="preserve"> regulation</w:t>
      </w:r>
      <w:r w:rsidR="00F840A7">
        <w:rPr>
          <w:rFonts w:asciiTheme="minorHAnsi" w:hAnsiTheme="minorHAnsi"/>
          <w:sz w:val="22"/>
          <w:szCs w:val="22"/>
        </w:rPr>
        <w:t>s</w:t>
      </w:r>
      <w:r w:rsidRPr="00F64417">
        <w:rPr>
          <w:rFonts w:asciiTheme="minorHAnsi" w:hAnsiTheme="minorHAnsi"/>
          <w:sz w:val="22"/>
          <w:szCs w:val="22"/>
        </w:rPr>
        <w:t xml:space="preserve"> </w:t>
      </w:r>
      <w:r w:rsidR="00F840A7">
        <w:rPr>
          <w:rFonts w:asciiTheme="minorHAnsi" w:hAnsiTheme="minorHAnsi"/>
          <w:sz w:val="22"/>
          <w:szCs w:val="22"/>
        </w:rPr>
        <w:t xml:space="preserve">to harness the benefits of </w:t>
      </w:r>
      <w:r w:rsidRPr="00F64417">
        <w:rPr>
          <w:rFonts w:asciiTheme="minorHAnsi" w:hAnsiTheme="minorHAnsi"/>
          <w:sz w:val="22"/>
          <w:szCs w:val="22"/>
        </w:rPr>
        <w:t>low-orbit satellite constellations and</w:t>
      </w:r>
      <w:r w:rsidR="001A5C7C">
        <w:rPr>
          <w:rFonts w:asciiTheme="minorHAnsi" w:hAnsiTheme="minorHAnsi"/>
          <w:sz w:val="22"/>
          <w:szCs w:val="22"/>
        </w:rPr>
        <w:t xml:space="preserve"> BB connectivity </w:t>
      </w:r>
      <w:r w:rsidR="001A5C7C" w:rsidRPr="00F64417">
        <w:rPr>
          <w:rFonts w:asciiTheme="minorHAnsi" w:hAnsiTheme="minorHAnsi"/>
          <w:sz w:val="22"/>
          <w:szCs w:val="22"/>
        </w:rPr>
        <w:t>services</w:t>
      </w:r>
      <w:r w:rsidRPr="00F64417">
        <w:rPr>
          <w:rFonts w:asciiTheme="minorHAnsi" w:hAnsiTheme="minorHAnsi"/>
          <w:sz w:val="22"/>
          <w:szCs w:val="22"/>
        </w:rPr>
        <w:t xml:space="preserve"> </w:t>
      </w:r>
      <w:r w:rsidR="001A5C7C">
        <w:rPr>
          <w:rFonts w:asciiTheme="minorHAnsi" w:hAnsiTheme="minorHAnsi"/>
          <w:sz w:val="22"/>
          <w:szCs w:val="22"/>
        </w:rPr>
        <w:t>thereby offered</w:t>
      </w:r>
    </w:p>
    <w:p w14:paraId="46E70E9C" w14:textId="290F8F62" w:rsidR="073E1006" w:rsidRPr="001237D4" w:rsidRDefault="00ED6DEB" w:rsidP="001237D4">
      <w:pPr>
        <w:spacing w:before="240"/>
        <w:jc w:val="both"/>
        <w:rPr>
          <w:rFonts w:asciiTheme="minorHAnsi" w:hAnsiTheme="minorHAnsi"/>
          <w:b/>
          <w:bCs/>
          <w:sz w:val="22"/>
          <w:szCs w:val="22"/>
        </w:rPr>
      </w:pPr>
      <w:r w:rsidRPr="001237D4">
        <w:rPr>
          <w:rFonts w:asciiTheme="minorHAnsi" w:hAnsiTheme="minorHAnsi"/>
          <w:sz w:val="22"/>
          <w:szCs w:val="22"/>
        </w:rPr>
        <w:t xml:space="preserve">On behalf of the Communications Regulatory Commission (CRC) of Mongolia </w:t>
      </w:r>
      <w:r w:rsidRPr="00ED6DEB">
        <w:rPr>
          <w:rFonts w:asciiTheme="minorHAnsi" w:hAnsiTheme="minorHAnsi"/>
          <w:b/>
          <w:bCs/>
          <w:sz w:val="22"/>
          <w:szCs w:val="22"/>
        </w:rPr>
        <w:t>Dr. Tsendsuren</w:t>
      </w:r>
      <w:r w:rsidR="009652B7">
        <w:rPr>
          <w:rFonts w:asciiTheme="minorHAnsi" w:hAnsiTheme="minorHAnsi"/>
          <w:b/>
          <w:bCs/>
          <w:sz w:val="22"/>
          <w:szCs w:val="22"/>
        </w:rPr>
        <w:t xml:space="preserve"> Chuluunbaat</w:t>
      </w:r>
      <w:r w:rsidRPr="00ED6DEB">
        <w:rPr>
          <w:rFonts w:asciiTheme="minorHAnsi" w:hAnsiTheme="minorHAnsi"/>
          <w:b/>
          <w:bCs/>
          <w:sz w:val="22"/>
          <w:szCs w:val="22"/>
        </w:rPr>
        <w:t>, Director General, Radio Frequency Regulation and Monitoring Department</w:t>
      </w:r>
      <w:r w:rsidRPr="001237D4">
        <w:rPr>
          <w:rFonts w:asciiTheme="minorHAnsi" w:hAnsiTheme="minorHAnsi"/>
          <w:sz w:val="22"/>
          <w:szCs w:val="22"/>
        </w:rPr>
        <w:t xml:space="preserve">, – welcomed the participants of the seminar in Mongolia. </w:t>
      </w:r>
      <w:r w:rsidR="00B91439">
        <w:rPr>
          <w:rFonts w:asciiTheme="minorHAnsi" w:hAnsiTheme="minorHAnsi"/>
          <w:sz w:val="22"/>
          <w:szCs w:val="22"/>
        </w:rPr>
        <w:t xml:space="preserve"> He </w:t>
      </w:r>
      <w:r w:rsidRPr="001237D4">
        <w:rPr>
          <w:rFonts w:asciiTheme="minorHAnsi" w:hAnsiTheme="minorHAnsi"/>
          <w:sz w:val="22"/>
          <w:szCs w:val="22"/>
        </w:rPr>
        <w:t xml:space="preserve">emphasised that for the time being LLDCs were facing challenges in providing affordable connectivity especially in the countries with the extended landmass and low density of population. </w:t>
      </w:r>
      <w:r w:rsidR="009652B7">
        <w:rPr>
          <w:rFonts w:asciiTheme="minorHAnsi" w:hAnsiTheme="minorHAnsi"/>
          <w:sz w:val="22"/>
          <w:szCs w:val="22"/>
        </w:rPr>
        <w:t xml:space="preserve">Mr </w:t>
      </w:r>
      <w:r w:rsidR="00D47188">
        <w:rPr>
          <w:rFonts w:asciiTheme="minorHAnsi" w:hAnsiTheme="minorHAnsi"/>
          <w:sz w:val="22"/>
          <w:szCs w:val="22"/>
        </w:rPr>
        <w:t>Chuluunbat</w:t>
      </w:r>
      <w:r w:rsidR="009652B7">
        <w:rPr>
          <w:rFonts w:asciiTheme="minorHAnsi" w:hAnsiTheme="minorHAnsi"/>
          <w:sz w:val="22"/>
          <w:szCs w:val="22"/>
        </w:rPr>
        <w:t xml:space="preserve"> </w:t>
      </w:r>
      <w:r w:rsidRPr="001237D4">
        <w:rPr>
          <w:rFonts w:asciiTheme="minorHAnsi" w:hAnsiTheme="minorHAnsi"/>
          <w:sz w:val="22"/>
          <w:szCs w:val="22"/>
        </w:rPr>
        <w:t xml:space="preserve">noted that the seminar was the valuable event in sharing knowledge on how new regulatory methods </w:t>
      </w:r>
      <w:r w:rsidR="009652B7">
        <w:rPr>
          <w:rFonts w:asciiTheme="minorHAnsi" w:hAnsiTheme="minorHAnsi"/>
          <w:sz w:val="22"/>
          <w:szCs w:val="22"/>
        </w:rPr>
        <w:t xml:space="preserve">that </w:t>
      </w:r>
      <w:r w:rsidRPr="001237D4">
        <w:rPr>
          <w:rFonts w:asciiTheme="minorHAnsi" w:hAnsiTheme="minorHAnsi"/>
          <w:sz w:val="22"/>
          <w:szCs w:val="22"/>
        </w:rPr>
        <w:t>could be introduced and wished the participants to have the fruitful discussion on these and other relevant matters. </w:t>
      </w:r>
    </w:p>
    <w:p w14:paraId="0AB86874" w14:textId="2E458DF5" w:rsidR="00243886" w:rsidRPr="00DF2F95" w:rsidRDefault="1200A577" w:rsidP="001237D4">
      <w:pPr>
        <w:pStyle w:val="Title"/>
        <w:numPr>
          <w:ilvl w:val="0"/>
          <w:numId w:val="14"/>
        </w:numPr>
        <w:spacing w:before="240"/>
        <w:ind w:left="284" w:hanging="284"/>
        <w:contextualSpacing w:val="0"/>
        <w:rPr>
          <w:rFonts w:asciiTheme="minorHAnsi" w:hAnsiTheme="minorHAnsi"/>
          <w:b/>
          <w:bCs/>
          <w:color w:val="0070C0"/>
        </w:rPr>
      </w:pPr>
      <w:r w:rsidRPr="001237D4">
        <w:rPr>
          <w:rFonts w:asciiTheme="minorHAnsi" w:hAnsiTheme="minorHAnsi"/>
          <w:b/>
          <w:bCs/>
          <w:color w:val="0070C0"/>
          <w:sz w:val="24"/>
          <w:szCs w:val="24"/>
        </w:rPr>
        <w:t>Sessions</w:t>
      </w:r>
    </w:p>
    <w:p w14:paraId="56165AC4" w14:textId="7B53463E" w:rsidR="00243886" w:rsidRPr="001237D4" w:rsidRDefault="00352A93" w:rsidP="001237D4">
      <w:pPr>
        <w:spacing w:before="240"/>
        <w:rPr>
          <w:rFonts w:asciiTheme="minorHAnsi" w:hAnsiTheme="minorHAnsi"/>
          <w:b/>
          <w:bCs/>
          <w:color w:val="00B0F0"/>
        </w:rPr>
      </w:pPr>
      <w:r w:rsidRPr="001237D4">
        <w:rPr>
          <w:rFonts w:asciiTheme="minorHAnsi" w:hAnsiTheme="minorHAnsi"/>
          <w:b/>
          <w:bCs/>
          <w:color w:val="00B0F0"/>
          <w:sz w:val="22"/>
          <w:szCs w:val="22"/>
        </w:rPr>
        <w:t xml:space="preserve">Session 1: </w:t>
      </w:r>
      <w:r w:rsidR="1200A577" w:rsidRPr="001237D4">
        <w:rPr>
          <w:rFonts w:asciiTheme="minorHAnsi" w:hAnsiTheme="minorHAnsi"/>
          <w:b/>
          <w:bCs/>
          <w:color w:val="00B0F0"/>
          <w:sz w:val="22"/>
          <w:szCs w:val="22"/>
        </w:rPr>
        <w:t>Developing a national satellite program: considerations and case studies</w:t>
      </w:r>
    </w:p>
    <w:p w14:paraId="180567D6" w14:textId="40544C33" w:rsidR="00243886" w:rsidRPr="005C7E51" w:rsidRDefault="1200A577" w:rsidP="001237D4">
      <w:pPr>
        <w:spacing w:before="240"/>
        <w:jc w:val="both"/>
        <w:rPr>
          <w:rFonts w:asciiTheme="minorHAnsi" w:hAnsiTheme="minorHAnsi"/>
          <w:sz w:val="22"/>
          <w:szCs w:val="22"/>
        </w:rPr>
      </w:pPr>
      <w:r w:rsidRPr="013E7707">
        <w:rPr>
          <w:rFonts w:asciiTheme="minorHAnsi" w:hAnsiTheme="minorHAnsi"/>
          <w:sz w:val="22"/>
          <w:szCs w:val="22"/>
        </w:rPr>
        <w:t xml:space="preserve">Moderated by </w:t>
      </w:r>
      <w:r w:rsidRPr="013E7707">
        <w:rPr>
          <w:rFonts w:asciiTheme="minorHAnsi" w:hAnsiTheme="minorHAnsi"/>
          <w:b/>
          <w:bCs/>
          <w:sz w:val="22"/>
          <w:szCs w:val="22"/>
        </w:rPr>
        <w:t>Mr. Farid Nakhli, Programme Coordinator at ITU</w:t>
      </w:r>
      <w:r w:rsidRPr="013E7707">
        <w:rPr>
          <w:rFonts w:asciiTheme="minorHAnsi" w:hAnsiTheme="minorHAnsi"/>
          <w:sz w:val="22"/>
          <w:szCs w:val="22"/>
        </w:rPr>
        <w:t xml:space="preserve">, the session </w:t>
      </w:r>
      <w:r w:rsidR="6D10C88B" w:rsidRPr="013E7707">
        <w:rPr>
          <w:rFonts w:asciiTheme="minorHAnsi" w:hAnsiTheme="minorHAnsi"/>
          <w:sz w:val="22"/>
          <w:szCs w:val="22"/>
        </w:rPr>
        <w:t>covered important aspects involved in developing a national satellite programme such as the technical and infrastructure requirements, funding and bu</w:t>
      </w:r>
      <w:r w:rsidR="61CF12D9" w:rsidRPr="013E7707">
        <w:rPr>
          <w:rFonts w:asciiTheme="minorHAnsi" w:hAnsiTheme="minorHAnsi"/>
          <w:sz w:val="22"/>
          <w:szCs w:val="22"/>
        </w:rPr>
        <w:t xml:space="preserve">dgetary aspects, capacity building, operations and maintenance and challenges as well as mitigation strategies among others. </w:t>
      </w:r>
    </w:p>
    <w:p w14:paraId="56AB092E" w14:textId="5935E2D1" w:rsidR="00C93188" w:rsidRPr="001237D4" w:rsidRDefault="00C93188" w:rsidP="001237D4">
      <w:pPr>
        <w:spacing w:before="240"/>
        <w:jc w:val="both"/>
        <w:rPr>
          <w:rFonts w:asciiTheme="minorHAnsi" w:hAnsiTheme="minorHAnsi"/>
          <w:sz w:val="22"/>
          <w:szCs w:val="22"/>
        </w:rPr>
      </w:pPr>
      <w:r w:rsidRPr="00C93188">
        <w:rPr>
          <w:rFonts w:asciiTheme="minorHAnsi" w:hAnsiTheme="minorHAnsi"/>
          <w:b/>
          <w:bCs/>
          <w:sz w:val="22"/>
          <w:szCs w:val="22"/>
        </w:rPr>
        <w:t>Mr. Aamir Riaz</w:t>
      </w:r>
      <w:r w:rsidRPr="001237D4">
        <w:rPr>
          <w:rFonts w:asciiTheme="minorHAnsi" w:hAnsiTheme="minorHAnsi"/>
          <w:sz w:val="22"/>
          <w:szCs w:val="22"/>
        </w:rPr>
        <w:t xml:space="preserve"> of the ITU framed the session by charting the explosive growth and transformation of satellite connectivity, projecting a surge in capacity driven by NGSO systems and new technologies. He outlined a future of hybrid networks and direct-to-device services, stressing that harmonized international regulation and sustainable practices are essential to manage this expansion, bridge the digital divide, and support a global space economy poised to reach $1.8 trillion by 2035</w:t>
      </w:r>
      <w:r w:rsidR="002E53FD">
        <w:rPr>
          <w:rFonts w:asciiTheme="minorHAnsi" w:hAnsiTheme="minorHAnsi"/>
          <w:sz w:val="22"/>
          <w:szCs w:val="22"/>
        </w:rPr>
        <w:t xml:space="preserve"> as estimated by World Economic Forum.</w:t>
      </w:r>
    </w:p>
    <w:p w14:paraId="5438BFDC" w14:textId="582BAA09" w:rsidR="000C0E4E" w:rsidRDefault="000C0E4E">
      <w:pPr>
        <w:spacing w:before="240"/>
        <w:jc w:val="both"/>
        <w:rPr>
          <w:rFonts w:asciiTheme="minorHAnsi" w:eastAsiaTheme="minorEastAsia" w:hAnsiTheme="minorHAnsi" w:cstheme="minorBidi"/>
          <w:sz w:val="22"/>
          <w:szCs w:val="22"/>
        </w:rPr>
      </w:pPr>
      <w:r w:rsidRPr="013E7707">
        <w:rPr>
          <w:rFonts w:ascii="Aptos" w:hAnsi="Aptos"/>
          <w:b/>
          <w:bCs/>
          <w:sz w:val="22"/>
          <w:szCs w:val="22"/>
        </w:rPr>
        <w:t xml:space="preserve">Ms. Marion Emma, DLA Piper LLC </w:t>
      </w:r>
      <w:r w:rsidRPr="000C0E4E">
        <w:rPr>
          <w:rFonts w:asciiTheme="minorHAnsi" w:eastAsiaTheme="minorEastAsia" w:hAnsiTheme="minorHAnsi" w:cstheme="minorBidi"/>
          <w:sz w:val="22"/>
          <w:szCs w:val="22"/>
        </w:rPr>
        <w:t>outlined the complex U.S. satellite regulatory framework, explaining how a suite of agencies—from the FCC to NOAA—orchestrate licensing, safety, and sustainability efforts. She emphasized that as new technologies emerge, this interagency collaboration and proactive policy development are crucial for fostering innovation while ensuring safe and compliant operations in space.</w:t>
      </w:r>
      <w:r w:rsidRPr="000C0E4E">
        <w:rPr>
          <w:noProof/>
        </w:rPr>
        <w:t xml:space="preserve"> </w:t>
      </w:r>
    </w:p>
    <w:p w14:paraId="7512B072" w14:textId="2E73593A" w:rsidR="005943F2" w:rsidRPr="001237D4" w:rsidRDefault="7DAC9575" w:rsidP="001237D4">
      <w:pPr>
        <w:spacing w:before="240" w:after="240"/>
        <w:jc w:val="both"/>
        <w:rPr>
          <w:rFonts w:ascii="Aptos" w:eastAsia="Aptos" w:hAnsi="Aptos" w:cs="Aptos"/>
          <w:sz w:val="22"/>
          <w:szCs w:val="22"/>
        </w:rPr>
      </w:pPr>
      <w:r w:rsidRPr="001237D4">
        <w:rPr>
          <w:rFonts w:ascii="Aptos" w:eastAsia="Aptos" w:hAnsi="Aptos" w:cs="Aptos"/>
          <w:b/>
          <w:bCs/>
          <w:sz w:val="22"/>
          <w:szCs w:val="22"/>
        </w:rPr>
        <w:t xml:space="preserve">Mr. Ilkin Aliyev, Radiofrequency Coordination Engineer, </w:t>
      </w:r>
      <w:proofErr w:type="spellStart"/>
      <w:r w:rsidRPr="001237D4">
        <w:rPr>
          <w:rFonts w:ascii="Aptos" w:eastAsia="Aptos" w:hAnsi="Aptos" w:cs="Aptos"/>
          <w:b/>
          <w:bCs/>
          <w:sz w:val="22"/>
          <w:szCs w:val="22"/>
        </w:rPr>
        <w:t>Azercosmos</w:t>
      </w:r>
      <w:proofErr w:type="spellEnd"/>
      <w:r w:rsidRPr="001237D4">
        <w:rPr>
          <w:rFonts w:ascii="Aptos" w:eastAsia="Aptos" w:hAnsi="Aptos" w:cs="Aptos"/>
          <w:b/>
          <w:bCs/>
          <w:sz w:val="22"/>
          <w:szCs w:val="22"/>
        </w:rPr>
        <w:t>, Azerbaijan</w:t>
      </w:r>
      <w:r w:rsidR="00D51398" w:rsidRPr="001237D4">
        <w:rPr>
          <w:rFonts w:ascii="Aptos" w:eastAsia="Aptos" w:hAnsi="Aptos" w:cs="Aptos"/>
          <w:sz w:val="22"/>
          <w:szCs w:val="22"/>
        </w:rPr>
        <w:t xml:space="preserve"> </w:t>
      </w:r>
      <w:r w:rsidR="00D51398">
        <w:rPr>
          <w:rFonts w:ascii="Aptos" w:eastAsia="Aptos" w:hAnsi="Aptos" w:cs="Aptos"/>
          <w:sz w:val="22"/>
          <w:szCs w:val="22"/>
        </w:rPr>
        <w:t xml:space="preserve">presented the </w:t>
      </w:r>
      <w:r w:rsidR="001743D7">
        <w:rPr>
          <w:rFonts w:ascii="Aptos" w:eastAsia="Aptos" w:hAnsi="Aptos" w:cs="Aptos"/>
          <w:sz w:val="22"/>
          <w:szCs w:val="22"/>
        </w:rPr>
        <w:t xml:space="preserve">role of </w:t>
      </w:r>
      <w:proofErr w:type="spellStart"/>
      <w:r w:rsidR="00D51398" w:rsidRPr="001237D4">
        <w:rPr>
          <w:rFonts w:ascii="Aptos" w:eastAsia="Aptos" w:hAnsi="Aptos" w:cs="Aptos"/>
          <w:sz w:val="22"/>
          <w:szCs w:val="22"/>
        </w:rPr>
        <w:t>Azercosmos</w:t>
      </w:r>
      <w:proofErr w:type="spellEnd"/>
      <w:r w:rsidR="001743D7">
        <w:rPr>
          <w:rFonts w:ascii="Aptos" w:eastAsia="Aptos" w:hAnsi="Aptos" w:cs="Aptos"/>
          <w:sz w:val="22"/>
          <w:szCs w:val="22"/>
        </w:rPr>
        <w:t>,</w:t>
      </w:r>
      <w:r w:rsidR="00D51398" w:rsidRPr="001237D4">
        <w:rPr>
          <w:rFonts w:ascii="Aptos" w:eastAsia="Aptos" w:hAnsi="Aptos" w:cs="Aptos"/>
          <w:sz w:val="22"/>
          <w:szCs w:val="22"/>
        </w:rPr>
        <w:t xml:space="preserve"> </w:t>
      </w:r>
      <w:r w:rsidR="001743D7">
        <w:rPr>
          <w:rFonts w:ascii="Aptos" w:eastAsia="Aptos" w:hAnsi="Aptos" w:cs="Aptos"/>
          <w:sz w:val="22"/>
          <w:szCs w:val="22"/>
        </w:rPr>
        <w:t>as national space agency,</w:t>
      </w:r>
      <w:r w:rsidR="00D51398" w:rsidRPr="001237D4">
        <w:rPr>
          <w:rFonts w:ascii="Aptos" w:eastAsia="Aptos" w:hAnsi="Aptos" w:cs="Aptos"/>
          <w:sz w:val="22"/>
          <w:szCs w:val="22"/>
        </w:rPr>
        <w:t xml:space="preserve"> in leveraging satellite technology to enhance digital connectivity and bridge the digital divide in Azerbaijan and other Landlocked Developing Countries (LLDCs). It highlight</w:t>
      </w:r>
      <w:r w:rsidR="001743D7">
        <w:rPr>
          <w:rFonts w:ascii="Aptos" w:eastAsia="Aptos" w:hAnsi="Aptos" w:cs="Aptos"/>
          <w:sz w:val="22"/>
          <w:szCs w:val="22"/>
        </w:rPr>
        <w:t>ed</w:t>
      </w:r>
      <w:r w:rsidR="00D51398" w:rsidRPr="001237D4">
        <w:rPr>
          <w:rFonts w:ascii="Aptos" w:eastAsia="Aptos" w:hAnsi="Aptos" w:cs="Aptos"/>
          <w:sz w:val="22"/>
          <w:szCs w:val="22"/>
        </w:rPr>
        <w:t xml:space="preserve"> key services, including telecommunications, Earth observation, and satellite internet, which are crucial for </w:t>
      </w:r>
      <w:r w:rsidR="00D51398" w:rsidRPr="001237D4">
        <w:rPr>
          <w:rFonts w:ascii="Aptos" w:eastAsia="Aptos" w:hAnsi="Aptos" w:cs="Aptos"/>
          <w:sz w:val="22"/>
          <w:szCs w:val="22"/>
        </w:rPr>
        <w:lastRenderedPageBreak/>
        <w:t>supporting socio-economic development, improving government services, and fostering regional cooperation. The overarching goal is to position space technology as a vital infrastructure for achieving digital transformation and meeting the sustainable development goals in LLDCs.</w:t>
      </w:r>
      <w:r w:rsidR="005943F2">
        <w:rPr>
          <w:rFonts w:ascii="Aptos" w:eastAsia="Aptos" w:hAnsi="Aptos" w:cs="Aptos"/>
          <w:sz w:val="22"/>
          <w:szCs w:val="22"/>
        </w:rPr>
        <w:t xml:space="preserve"> </w:t>
      </w:r>
    </w:p>
    <w:p w14:paraId="19F28686" w14:textId="7BFA91F0" w:rsidR="004E7F32" w:rsidRPr="001237D4" w:rsidRDefault="004E7F32" w:rsidP="001237D4">
      <w:pPr>
        <w:spacing w:before="240"/>
        <w:jc w:val="both"/>
        <w:rPr>
          <w:rFonts w:ascii="Aptos" w:hAnsi="Aptos"/>
          <w:sz w:val="22"/>
          <w:szCs w:val="22"/>
        </w:rPr>
      </w:pPr>
      <w:r w:rsidRPr="001237D4">
        <w:rPr>
          <w:rFonts w:ascii="Aptos" w:hAnsi="Aptos"/>
          <w:sz w:val="22"/>
          <w:szCs w:val="22"/>
        </w:rPr>
        <w:t>The subsequent Q&amp;A session addressed key regulatory challenges. A delegate from Cambodia inquired about licensing for US operators filing abroad, receiving a confirmation that it is not required. On balancing national security with innovation, Marion emphasized the US focus on establishing agile policies to rapidly deploy technology. Regarding D2D regulations, she advised that while terrestrial spectrum reuse works in large countries like the US, a space-based regulatory approach is better suited for regions with border and interference concerns.</w:t>
      </w:r>
    </w:p>
    <w:p w14:paraId="58A5EECA" w14:textId="340CB1A6" w:rsidR="76FC4A52" w:rsidRPr="001237D4" w:rsidRDefault="76FC4A52" w:rsidP="001237D4">
      <w:pPr>
        <w:spacing w:before="240"/>
        <w:rPr>
          <w:rFonts w:asciiTheme="minorHAnsi" w:hAnsiTheme="minorHAnsi"/>
          <w:b/>
          <w:bCs/>
          <w:color w:val="00B0F0"/>
          <w:sz w:val="22"/>
          <w:szCs w:val="22"/>
        </w:rPr>
      </w:pPr>
      <w:r w:rsidRPr="001237D4">
        <w:rPr>
          <w:rFonts w:asciiTheme="minorHAnsi" w:hAnsiTheme="minorHAnsi"/>
          <w:b/>
          <w:bCs/>
          <w:color w:val="00B0F0"/>
          <w:sz w:val="22"/>
          <w:szCs w:val="22"/>
        </w:rPr>
        <w:t xml:space="preserve">Special Presentation, Mr. </w:t>
      </w:r>
      <w:proofErr w:type="spellStart"/>
      <w:r w:rsidRPr="001237D4">
        <w:rPr>
          <w:rFonts w:asciiTheme="minorHAnsi" w:hAnsiTheme="minorHAnsi"/>
          <w:b/>
          <w:bCs/>
          <w:color w:val="00B0F0"/>
          <w:sz w:val="22"/>
          <w:szCs w:val="22"/>
        </w:rPr>
        <w:t>Tulga</w:t>
      </w:r>
      <w:proofErr w:type="spellEnd"/>
      <w:r w:rsidRPr="001237D4">
        <w:rPr>
          <w:rFonts w:asciiTheme="minorHAnsi" w:hAnsiTheme="minorHAnsi"/>
          <w:b/>
          <w:bCs/>
          <w:color w:val="00B0F0"/>
          <w:sz w:val="22"/>
          <w:szCs w:val="22"/>
        </w:rPr>
        <w:t xml:space="preserve"> </w:t>
      </w:r>
      <w:proofErr w:type="spellStart"/>
      <w:r w:rsidRPr="001237D4">
        <w:rPr>
          <w:rFonts w:asciiTheme="minorHAnsi" w:hAnsiTheme="minorHAnsi"/>
          <w:b/>
          <w:bCs/>
          <w:color w:val="00B0F0"/>
          <w:sz w:val="22"/>
          <w:szCs w:val="22"/>
        </w:rPr>
        <w:t>Sukhdorj</w:t>
      </w:r>
      <w:proofErr w:type="spellEnd"/>
      <w:r w:rsidRPr="001237D4">
        <w:rPr>
          <w:rFonts w:asciiTheme="minorHAnsi" w:hAnsiTheme="minorHAnsi"/>
          <w:b/>
          <w:bCs/>
          <w:color w:val="00B0F0"/>
          <w:sz w:val="22"/>
          <w:szCs w:val="22"/>
        </w:rPr>
        <w:t>, Digital Transformation, E-Mongolia Best Practice</w:t>
      </w:r>
    </w:p>
    <w:p w14:paraId="23B62975" w14:textId="3DECC46B" w:rsidR="0084450D" w:rsidRPr="001237D4" w:rsidRDefault="0084450D" w:rsidP="001237D4">
      <w:pPr>
        <w:spacing w:before="240"/>
        <w:jc w:val="both"/>
        <w:rPr>
          <w:rFonts w:ascii="Aptos" w:eastAsia="Aptos" w:hAnsi="Aptos" w:cs="Aptos"/>
          <w:sz w:val="22"/>
          <w:szCs w:val="22"/>
        </w:rPr>
      </w:pPr>
      <w:r w:rsidRPr="001237D4">
        <w:rPr>
          <w:rFonts w:ascii="Aptos" w:eastAsia="Aptos" w:hAnsi="Aptos" w:cs="Aptos"/>
          <w:b/>
          <w:bCs/>
          <w:sz w:val="22"/>
          <w:szCs w:val="22"/>
        </w:rPr>
        <w:t xml:space="preserve">Mr. </w:t>
      </w:r>
      <w:proofErr w:type="spellStart"/>
      <w:r w:rsidRPr="001237D4">
        <w:rPr>
          <w:rFonts w:ascii="Aptos" w:eastAsia="Aptos" w:hAnsi="Aptos" w:cs="Aptos"/>
          <w:b/>
          <w:bCs/>
          <w:sz w:val="22"/>
          <w:szCs w:val="22"/>
        </w:rPr>
        <w:t>Tulga</w:t>
      </w:r>
      <w:proofErr w:type="spellEnd"/>
      <w:r w:rsidRPr="001237D4">
        <w:rPr>
          <w:rFonts w:ascii="Aptos" w:eastAsia="Aptos" w:hAnsi="Aptos" w:cs="Aptos"/>
          <w:b/>
          <w:bCs/>
          <w:sz w:val="22"/>
          <w:szCs w:val="22"/>
        </w:rPr>
        <w:t xml:space="preserve"> </w:t>
      </w:r>
      <w:proofErr w:type="spellStart"/>
      <w:r w:rsidRPr="001237D4">
        <w:rPr>
          <w:rFonts w:ascii="Aptos" w:eastAsia="Aptos" w:hAnsi="Aptos" w:cs="Aptos"/>
          <w:b/>
          <w:bCs/>
          <w:sz w:val="22"/>
          <w:szCs w:val="22"/>
        </w:rPr>
        <w:t>Sukhdorj</w:t>
      </w:r>
      <w:proofErr w:type="spellEnd"/>
      <w:r w:rsidRPr="001237D4">
        <w:rPr>
          <w:rFonts w:ascii="Aptos" w:eastAsia="Aptos" w:hAnsi="Aptos" w:cs="Aptos"/>
          <w:sz w:val="22"/>
          <w:szCs w:val="22"/>
        </w:rPr>
        <w:t xml:space="preserve"> detailed Mongolia's remarkable digital transformation, where the state-led E-Mongolia platform has catapulted the nation to 46th in the global e-government rankings. By moving over 1,263 services online for its 2 million users, the initiative has saved an estimated $460 million in costs and drastically reduced paper consumption. </w:t>
      </w:r>
      <w:r w:rsidR="00636717" w:rsidRPr="00636717">
        <w:rPr>
          <w:rFonts w:ascii="Aptos" w:eastAsia="Aptos" w:hAnsi="Aptos" w:cs="Aptos"/>
          <w:sz w:val="22"/>
          <w:szCs w:val="22"/>
        </w:rPr>
        <w:t>Future</w:t>
      </w:r>
      <w:r w:rsidRPr="001237D4">
        <w:rPr>
          <w:rFonts w:ascii="Aptos" w:eastAsia="Aptos" w:hAnsi="Aptos" w:cs="Aptos"/>
          <w:sz w:val="22"/>
          <w:szCs w:val="22"/>
        </w:rPr>
        <w:t xml:space="preserve"> </w:t>
      </w:r>
      <w:proofErr w:type="gramStart"/>
      <w:r w:rsidRPr="001237D4">
        <w:rPr>
          <w:rFonts w:ascii="Aptos" w:eastAsia="Aptos" w:hAnsi="Aptos" w:cs="Aptos"/>
          <w:sz w:val="22"/>
          <w:szCs w:val="22"/>
        </w:rPr>
        <w:t>involve</w:t>
      </w:r>
      <w:proofErr w:type="gramEnd"/>
      <w:r w:rsidRPr="001237D4">
        <w:rPr>
          <w:rFonts w:ascii="Aptos" w:eastAsia="Aptos" w:hAnsi="Aptos" w:cs="Aptos"/>
          <w:sz w:val="22"/>
          <w:szCs w:val="22"/>
        </w:rPr>
        <w:t xml:space="preserve"> expanding into AI and digital payments, showcasing a strategic model for using technology to drive efficiency, inclusion, and sustainable governance. </w:t>
      </w:r>
    </w:p>
    <w:p w14:paraId="3FAB4806" w14:textId="1E8CACDC" w:rsidR="5F9B15A0" w:rsidRPr="001237D4" w:rsidRDefault="00EE61C7" w:rsidP="001237D4">
      <w:pPr>
        <w:spacing w:before="240"/>
        <w:rPr>
          <w:rFonts w:asciiTheme="minorHAnsi" w:hAnsiTheme="minorHAnsi"/>
          <w:b/>
          <w:bCs/>
          <w:color w:val="00B0F0"/>
          <w:sz w:val="22"/>
          <w:szCs w:val="22"/>
        </w:rPr>
      </w:pPr>
      <w:r>
        <w:rPr>
          <w:rFonts w:asciiTheme="minorHAnsi" w:hAnsiTheme="minorHAnsi"/>
          <w:b/>
          <w:bCs/>
          <w:color w:val="00B0F0"/>
          <w:sz w:val="22"/>
          <w:szCs w:val="22"/>
        </w:rPr>
        <w:t xml:space="preserve">Session 2: </w:t>
      </w:r>
      <w:r w:rsidR="4AB24988" w:rsidRPr="001237D4">
        <w:rPr>
          <w:rFonts w:asciiTheme="minorHAnsi" w:hAnsiTheme="minorHAnsi"/>
          <w:b/>
          <w:bCs/>
          <w:color w:val="00B0F0"/>
          <w:sz w:val="22"/>
          <w:szCs w:val="22"/>
        </w:rPr>
        <w:t>Leveraging Digital Networks for Early Warning Dissemination</w:t>
      </w:r>
    </w:p>
    <w:p w14:paraId="44CAE3ED" w14:textId="77777777" w:rsidR="007A42E6" w:rsidRPr="007A42E6" w:rsidRDefault="007A42E6" w:rsidP="001237D4">
      <w:pPr>
        <w:spacing w:before="240"/>
        <w:jc w:val="both"/>
        <w:rPr>
          <w:rFonts w:asciiTheme="minorHAnsi" w:eastAsiaTheme="minorEastAsia" w:hAnsiTheme="minorHAnsi" w:cstheme="minorBidi"/>
        </w:rPr>
      </w:pPr>
      <w:r w:rsidRPr="007A42E6">
        <w:rPr>
          <w:rFonts w:asciiTheme="minorHAnsi" w:eastAsiaTheme="minorEastAsia" w:hAnsiTheme="minorHAnsi" w:cstheme="minorBidi"/>
        </w:rPr>
        <w:t xml:space="preserve">Moderated by </w:t>
      </w:r>
      <w:r w:rsidRPr="001237D4">
        <w:rPr>
          <w:rFonts w:asciiTheme="minorHAnsi" w:eastAsiaTheme="minorEastAsia" w:hAnsiTheme="minorHAnsi" w:cstheme="minorBidi"/>
          <w:b/>
          <w:bCs/>
        </w:rPr>
        <w:t>Mr. Aamir Riaz</w:t>
      </w:r>
      <w:r w:rsidRPr="007A42E6">
        <w:rPr>
          <w:rFonts w:asciiTheme="minorHAnsi" w:eastAsiaTheme="minorEastAsia" w:hAnsiTheme="minorHAnsi" w:cstheme="minorBidi"/>
        </w:rPr>
        <w:t xml:space="preserve"> from the ITU, this session highlighted the critical role of digital advancements in early warning dissemination. The discussion promoted the adoption of Artificial Intelligence for predictive analytics and championed Cell Broadcast as a vital national solution for sending life-saving alerts to entire populations.</w:t>
      </w:r>
    </w:p>
    <w:p w14:paraId="539C0B0C" w14:textId="269A592E" w:rsidR="007A42E6" w:rsidRPr="007A42E6" w:rsidRDefault="007A42E6" w:rsidP="001237D4">
      <w:pPr>
        <w:spacing w:before="240"/>
        <w:jc w:val="both"/>
        <w:rPr>
          <w:rFonts w:asciiTheme="minorHAnsi" w:eastAsiaTheme="minorEastAsia" w:hAnsiTheme="minorHAnsi" w:cstheme="minorBidi"/>
        </w:rPr>
      </w:pPr>
      <w:r w:rsidRPr="001237D4">
        <w:rPr>
          <w:rFonts w:asciiTheme="minorHAnsi" w:eastAsiaTheme="minorEastAsia" w:hAnsiTheme="minorHAnsi" w:cstheme="minorBidi"/>
          <w:b/>
          <w:bCs/>
        </w:rPr>
        <w:t>Mr. Komil Sultanov</w:t>
      </w:r>
      <w:r w:rsidRPr="007A42E6">
        <w:rPr>
          <w:rFonts w:asciiTheme="minorHAnsi" w:eastAsiaTheme="minorEastAsia" w:hAnsiTheme="minorHAnsi" w:cstheme="minorBidi"/>
        </w:rPr>
        <w:t xml:space="preserve">, </w:t>
      </w:r>
      <w:r w:rsidR="00636717">
        <w:rPr>
          <w:rFonts w:asciiTheme="minorHAnsi" w:eastAsiaTheme="minorEastAsia" w:hAnsiTheme="minorHAnsi" w:cstheme="minorBidi"/>
        </w:rPr>
        <w:t xml:space="preserve">from </w:t>
      </w:r>
      <w:r w:rsidRPr="001237D4">
        <w:rPr>
          <w:rFonts w:asciiTheme="minorHAnsi" w:eastAsiaTheme="minorEastAsia" w:hAnsiTheme="minorHAnsi" w:cstheme="minorBidi"/>
          <w:b/>
          <w:bCs/>
        </w:rPr>
        <w:t>Tajikistan</w:t>
      </w:r>
      <w:r w:rsidRPr="007A42E6">
        <w:rPr>
          <w:rFonts w:asciiTheme="minorHAnsi" w:eastAsiaTheme="minorEastAsia" w:hAnsiTheme="minorHAnsi" w:cstheme="minorBidi"/>
        </w:rPr>
        <w:t>, emphasized the importance of digital networks for landlocked, disaster-prone nations. He noted that mobile networks cover over 95% of Tajikistan's population and highlighted the successful use of Cell Broadcast technology to deliver instant alerts without overloading networks. He underscored the potential of Non-Terrestrial Networks (NTN) and Direct-to-Device (D2D) solutions to reach remote, mountainous areas and called for updated regulatory frameworks to establish Cell Broadcast as a national standard and facilitate crucial data sharing among agencies.</w:t>
      </w:r>
    </w:p>
    <w:p w14:paraId="2D774721" w14:textId="0F89B65C" w:rsidR="007A42E6" w:rsidRPr="007A42E6" w:rsidRDefault="007A42E6" w:rsidP="001237D4">
      <w:pPr>
        <w:spacing w:before="240"/>
        <w:jc w:val="both"/>
        <w:rPr>
          <w:rFonts w:asciiTheme="minorHAnsi" w:eastAsiaTheme="minorEastAsia" w:hAnsiTheme="minorHAnsi" w:cstheme="minorBidi"/>
        </w:rPr>
      </w:pPr>
      <w:r w:rsidRPr="001237D4">
        <w:rPr>
          <w:rFonts w:asciiTheme="minorHAnsi" w:eastAsiaTheme="minorEastAsia" w:hAnsiTheme="minorHAnsi" w:cstheme="minorBidi"/>
          <w:b/>
          <w:bCs/>
        </w:rPr>
        <w:t>Mr. Huo from ZTE</w:t>
      </w:r>
      <w:r w:rsidRPr="007A42E6">
        <w:rPr>
          <w:rFonts w:asciiTheme="minorHAnsi" w:eastAsiaTheme="minorEastAsia" w:hAnsiTheme="minorHAnsi" w:cstheme="minorBidi"/>
        </w:rPr>
        <w:t xml:space="preserve"> then showcased the company's integrated Emergency Communication Solutions. His presentation detailed a multi-layered network using UAVs, tethered airships, emergency vehicles, and portable base stations designed to rapidly restore connectivity when terrestrial infrastructure is destroyed. He demonstrated how these platforms provide vital LTE coverage and satellite backhaul for rescue teams, supported by case studies from field tests that proved their effectiveness in maintaining communication under the most challenging conditions.</w:t>
      </w:r>
    </w:p>
    <w:p w14:paraId="4C16FFE2" w14:textId="739AA134" w:rsidR="007A42E6" w:rsidRPr="007A42E6" w:rsidRDefault="007A42E6" w:rsidP="001237D4">
      <w:pPr>
        <w:spacing w:before="240"/>
        <w:jc w:val="both"/>
        <w:rPr>
          <w:rFonts w:asciiTheme="minorHAnsi" w:eastAsiaTheme="minorEastAsia" w:hAnsiTheme="minorHAnsi" w:cstheme="minorBidi"/>
        </w:rPr>
      </w:pPr>
      <w:r w:rsidRPr="001237D4">
        <w:rPr>
          <w:rFonts w:asciiTheme="minorHAnsi" w:eastAsiaTheme="minorEastAsia" w:hAnsiTheme="minorHAnsi" w:cstheme="minorBidi"/>
          <w:b/>
          <w:bCs/>
        </w:rPr>
        <w:t>Mr. Pomaama Liu</w:t>
      </w:r>
      <w:r w:rsidR="00636717" w:rsidRPr="001237D4">
        <w:rPr>
          <w:rFonts w:asciiTheme="minorHAnsi" w:eastAsiaTheme="minorEastAsia" w:hAnsiTheme="minorHAnsi" w:cstheme="minorBidi"/>
          <w:b/>
          <w:bCs/>
        </w:rPr>
        <w:t xml:space="preserve"> </w:t>
      </w:r>
      <w:r w:rsidRPr="001237D4">
        <w:rPr>
          <w:rFonts w:asciiTheme="minorHAnsi" w:eastAsiaTheme="minorEastAsia" w:hAnsiTheme="minorHAnsi" w:cstheme="minorBidi"/>
          <w:b/>
          <w:bCs/>
        </w:rPr>
        <w:t>from Tonga’s Ministry of MEIDECC</w:t>
      </w:r>
      <w:r w:rsidRPr="007A42E6">
        <w:rPr>
          <w:rFonts w:asciiTheme="minorHAnsi" w:eastAsiaTheme="minorEastAsia" w:hAnsiTheme="minorHAnsi" w:cstheme="minorBidi"/>
        </w:rPr>
        <w:t xml:space="preserve"> outlined the unique challenges faced by remote island nations exposed to cyclones and tsunamis. He highlighted the critical need for robust early warning systems to protect their dispersed population, referencing the prolonged connectivity loss during the 2022 volcanic eruption. Liu recommended adopting cell broadcast alerts and expanding </w:t>
      </w:r>
      <w:r w:rsidRPr="007A42E6">
        <w:rPr>
          <w:rFonts w:asciiTheme="minorHAnsi" w:eastAsiaTheme="minorEastAsia" w:hAnsiTheme="minorHAnsi" w:cstheme="minorBidi"/>
        </w:rPr>
        <w:lastRenderedPageBreak/>
        <w:t>satellite-based NTN and D2D technologies to complement existing systems, calling for stronger regional partnerships and investment in resilient networks.</w:t>
      </w:r>
    </w:p>
    <w:p w14:paraId="5BFC8CC5" w14:textId="1F40B3F5" w:rsidR="007A42E6" w:rsidRDefault="007A42E6" w:rsidP="001237D4">
      <w:pPr>
        <w:spacing w:before="240"/>
        <w:jc w:val="both"/>
        <w:rPr>
          <w:rFonts w:ascii="Aptos" w:eastAsia="Aptos" w:hAnsi="Aptos" w:cs="Aptos"/>
        </w:rPr>
      </w:pPr>
      <w:r w:rsidRPr="007A42E6">
        <w:rPr>
          <w:rFonts w:asciiTheme="minorHAnsi" w:eastAsiaTheme="minorEastAsia" w:hAnsiTheme="minorHAnsi" w:cstheme="minorBidi"/>
        </w:rPr>
        <w:t>Finally, a remote presentation from Mr. Amila of the ITU stressed that Landlocked Developing Countries (LLDCs) require a multi-channel strategy for early warnings. He argued for a resilient digital safety net that integrates cell broadcast, SMS, OTT platforms, and traditional media. He concluded that the entire system's success depends on strong national coordination, clear regulation, and collaborative governance between all stakeholders to create a standardized and inclusive early warning system.</w:t>
      </w:r>
    </w:p>
    <w:p w14:paraId="6874FB49" w14:textId="3D274308" w:rsidR="6F518FD4" w:rsidRPr="001237D4" w:rsidRDefault="6F518FD4" w:rsidP="001237D4">
      <w:pPr>
        <w:spacing w:before="240"/>
        <w:rPr>
          <w:rFonts w:asciiTheme="minorHAnsi" w:hAnsiTheme="minorHAnsi"/>
          <w:b/>
          <w:bCs/>
          <w:color w:val="00B0F0"/>
          <w:sz w:val="22"/>
          <w:szCs w:val="22"/>
        </w:rPr>
      </w:pPr>
      <w:r w:rsidRPr="001237D4">
        <w:rPr>
          <w:rFonts w:asciiTheme="minorHAnsi" w:hAnsiTheme="minorHAnsi"/>
          <w:b/>
          <w:bCs/>
          <w:color w:val="00B0F0"/>
          <w:sz w:val="22"/>
          <w:szCs w:val="22"/>
        </w:rPr>
        <w:t>Innovation Cafe on role of innovation to enhance digital connectivity in LLDCs</w:t>
      </w:r>
    </w:p>
    <w:p w14:paraId="0B093F02" w14:textId="6EEBC3A8" w:rsidR="009560D9" w:rsidRDefault="009560D9" w:rsidP="009560D9">
      <w:pPr>
        <w:spacing w:before="240"/>
        <w:jc w:val="both"/>
        <w:rPr>
          <w:rFonts w:ascii="Aptos" w:eastAsia="Aptos" w:hAnsi="Aptos" w:cs="Aptos"/>
          <w:sz w:val="22"/>
          <w:szCs w:val="22"/>
        </w:rPr>
      </w:pPr>
      <w:r w:rsidRPr="001237D4">
        <w:rPr>
          <w:rFonts w:ascii="Aptos" w:eastAsia="Aptos" w:hAnsi="Aptos" w:cs="Aptos"/>
          <w:sz w:val="22"/>
          <w:szCs w:val="22"/>
        </w:rPr>
        <w:t xml:space="preserve">Facilitated by </w:t>
      </w:r>
      <w:r w:rsidRPr="009560D9">
        <w:rPr>
          <w:rFonts w:ascii="Aptos" w:eastAsia="Aptos" w:hAnsi="Aptos" w:cs="Aptos"/>
          <w:b/>
          <w:bCs/>
          <w:sz w:val="22"/>
          <w:szCs w:val="22"/>
        </w:rPr>
        <w:t>Ms. Akanksha Sharma of the ITU</w:t>
      </w:r>
      <w:r w:rsidRPr="001237D4">
        <w:rPr>
          <w:rFonts w:ascii="Aptos" w:eastAsia="Aptos" w:hAnsi="Aptos" w:cs="Aptos"/>
          <w:sz w:val="22"/>
          <w:szCs w:val="22"/>
        </w:rPr>
        <w:t>, the Innovation Café fostered an open exchange on leveraging innovation to overcome the unique digital connectivity challenges faced by Landlocked Developing Countries (LLDCs) like Mongolia. Using an interactive format, the session explored creative technological and policy solutions to improve affordability, resilience, and inclusivity.</w:t>
      </w:r>
      <w:r>
        <w:rPr>
          <w:rFonts w:ascii="Aptos" w:eastAsia="Aptos" w:hAnsi="Aptos" w:cs="Aptos"/>
          <w:sz w:val="22"/>
          <w:szCs w:val="22"/>
        </w:rPr>
        <w:t xml:space="preserve"> </w:t>
      </w:r>
      <w:r w:rsidRPr="53340F37">
        <w:rPr>
          <w:rFonts w:ascii="Aptos" w:eastAsia="Aptos" w:hAnsi="Aptos" w:cs="Aptos"/>
          <w:sz w:val="22"/>
          <w:szCs w:val="22"/>
        </w:rPr>
        <w:t>With the help of Menti meter, following guiding questions were asked in an interactive format:</w:t>
      </w:r>
    </w:p>
    <w:p w14:paraId="7CC2F209" w14:textId="77777777" w:rsidR="009560D9" w:rsidRPr="004B1361" w:rsidRDefault="009560D9" w:rsidP="009560D9">
      <w:pPr>
        <w:numPr>
          <w:ilvl w:val="0"/>
          <w:numId w:val="10"/>
        </w:numPr>
        <w:tabs>
          <w:tab w:val="clear" w:pos="720"/>
        </w:tabs>
        <w:spacing w:before="240"/>
        <w:ind w:left="284" w:hanging="284"/>
        <w:jc w:val="both"/>
        <w:rPr>
          <w:rFonts w:ascii="Aptos" w:eastAsia="Aptos" w:hAnsi="Aptos" w:cs="Aptos"/>
          <w:i/>
          <w:iCs/>
          <w:sz w:val="22"/>
          <w:szCs w:val="22"/>
          <w:lang w:val="en-GB"/>
        </w:rPr>
      </w:pPr>
      <w:r w:rsidRPr="004B1361">
        <w:rPr>
          <w:rFonts w:ascii="Aptos" w:eastAsia="Aptos" w:hAnsi="Aptos" w:cs="Aptos"/>
          <w:i/>
          <w:iCs/>
          <w:sz w:val="22"/>
          <w:szCs w:val="22"/>
          <w:lang w:val="en-GB"/>
        </w:rPr>
        <w:t>What are the most pressing connectivity challenges that LLDCs face today, where innovative approaches either technological or policy could be useful?</w:t>
      </w:r>
    </w:p>
    <w:p w14:paraId="5DCC39F4" w14:textId="77777777" w:rsidR="009560D9" w:rsidRPr="004B1361" w:rsidRDefault="009560D9" w:rsidP="009560D9">
      <w:pPr>
        <w:numPr>
          <w:ilvl w:val="0"/>
          <w:numId w:val="10"/>
        </w:numPr>
        <w:tabs>
          <w:tab w:val="clear" w:pos="720"/>
        </w:tabs>
        <w:spacing w:before="240"/>
        <w:ind w:left="284" w:hanging="284"/>
        <w:jc w:val="both"/>
        <w:rPr>
          <w:rFonts w:ascii="Aptos" w:eastAsia="Aptos" w:hAnsi="Aptos" w:cs="Aptos"/>
          <w:i/>
          <w:iCs/>
          <w:sz w:val="22"/>
          <w:szCs w:val="22"/>
          <w:lang w:val="en-GB"/>
        </w:rPr>
      </w:pPr>
      <w:r w:rsidRPr="004B1361">
        <w:rPr>
          <w:rFonts w:ascii="Aptos" w:eastAsia="Aptos" w:hAnsi="Aptos" w:cs="Aptos"/>
          <w:i/>
          <w:iCs/>
          <w:sz w:val="22"/>
          <w:szCs w:val="22"/>
          <w:lang w:val="en-GB"/>
        </w:rPr>
        <w:t>How could upcoming satellite technologies, such as Non-Terrestrial Networks (NTN) and Direct-to-Device (D2D) services, be creatively integrated with terrestrial networks to expand reach and resilience?</w:t>
      </w:r>
    </w:p>
    <w:p w14:paraId="7ED83B0D" w14:textId="77777777" w:rsidR="009560D9" w:rsidRPr="004B1361" w:rsidRDefault="009560D9" w:rsidP="009560D9">
      <w:pPr>
        <w:numPr>
          <w:ilvl w:val="0"/>
          <w:numId w:val="10"/>
        </w:numPr>
        <w:tabs>
          <w:tab w:val="clear" w:pos="720"/>
        </w:tabs>
        <w:spacing w:before="240"/>
        <w:ind w:left="284" w:hanging="284"/>
        <w:jc w:val="both"/>
        <w:rPr>
          <w:rFonts w:ascii="Aptos" w:eastAsia="Aptos" w:hAnsi="Aptos" w:cs="Aptos"/>
          <w:i/>
          <w:iCs/>
          <w:sz w:val="22"/>
          <w:szCs w:val="22"/>
          <w:lang w:val="en-GB"/>
        </w:rPr>
      </w:pPr>
      <w:r w:rsidRPr="004B1361">
        <w:rPr>
          <w:rFonts w:ascii="Aptos" w:eastAsia="Aptos" w:hAnsi="Aptos" w:cs="Aptos"/>
          <w:i/>
          <w:iCs/>
          <w:sz w:val="22"/>
          <w:szCs w:val="22"/>
          <w:lang w:val="en-GB"/>
        </w:rPr>
        <w:t>How do you think the increasing competition in satellite-based connectivity offering will impact affordability of terrestrial international connectivity?</w:t>
      </w:r>
    </w:p>
    <w:p w14:paraId="485E53C3" w14:textId="77777777" w:rsidR="009560D9" w:rsidRPr="004B1361" w:rsidRDefault="009560D9" w:rsidP="009560D9">
      <w:pPr>
        <w:numPr>
          <w:ilvl w:val="0"/>
          <w:numId w:val="10"/>
        </w:numPr>
        <w:tabs>
          <w:tab w:val="clear" w:pos="720"/>
        </w:tabs>
        <w:spacing w:before="240"/>
        <w:ind w:left="284" w:hanging="284"/>
        <w:jc w:val="both"/>
        <w:rPr>
          <w:rFonts w:ascii="Aptos" w:eastAsia="Aptos" w:hAnsi="Aptos" w:cs="Aptos"/>
          <w:i/>
          <w:iCs/>
          <w:sz w:val="22"/>
          <w:szCs w:val="22"/>
          <w:lang w:val="en-GB"/>
        </w:rPr>
      </w:pPr>
      <w:r w:rsidRPr="004B1361">
        <w:rPr>
          <w:rFonts w:ascii="Aptos" w:eastAsia="Aptos" w:hAnsi="Aptos" w:cs="Aptos"/>
          <w:i/>
          <w:iCs/>
          <w:sz w:val="22"/>
          <w:szCs w:val="22"/>
          <w:lang w:val="en-GB"/>
        </w:rPr>
        <w:t>What innovative strategies could LLDCs adopt to ensure their digital infrastructure is resilient to unavailability while remaining adaptable to future technologies?</w:t>
      </w:r>
    </w:p>
    <w:p w14:paraId="12122769" w14:textId="77777777" w:rsidR="009560D9" w:rsidRPr="001237D4" w:rsidRDefault="009560D9" w:rsidP="001237D4">
      <w:pPr>
        <w:spacing w:before="240"/>
        <w:jc w:val="both"/>
        <w:rPr>
          <w:rFonts w:ascii="Aptos" w:eastAsia="Aptos" w:hAnsi="Aptos" w:cs="Aptos"/>
          <w:sz w:val="22"/>
          <w:szCs w:val="22"/>
          <w:lang w:val="en-GB"/>
        </w:rPr>
      </w:pPr>
    </w:p>
    <w:p w14:paraId="5D7E9AC5" w14:textId="77777777" w:rsidR="009560D9" w:rsidRPr="001237D4" w:rsidRDefault="009560D9" w:rsidP="001237D4">
      <w:pPr>
        <w:spacing w:before="240"/>
        <w:jc w:val="both"/>
        <w:rPr>
          <w:rFonts w:ascii="Aptos" w:eastAsia="Aptos" w:hAnsi="Aptos" w:cs="Aptos"/>
          <w:sz w:val="22"/>
          <w:szCs w:val="22"/>
        </w:rPr>
      </w:pPr>
      <w:r w:rsidRPr="009560D9">
        <w:rPr>
          <w:rFonts w:ascii="Aptos" w:eastAsia="Aptos" w:hAnsi="Aptos" w:cs="Aptos"/>
          <w:b/>
          <w:bCs/>
          <w:sz w:val="22"/>
          <w:szCs w:val="22"/>
        </w:rPr>
        <w:t>On pressing challenges</w:t>
      </w:r>
      <w:r w:rsidRPr="001237D4">
        <w:rPr>
          <w:rFonts w:ascii="Aptos" w:eastAsia="Aptos" w:hAnsi="Aptos" w:cs="Aptos"/>
          <w:sz w:val="22"/>
          <w:szCs w:val="22"/>
        </w:rPr>
        <w:t xml:space="preserve">, participants identified high costs, dependence on transit countries, difficult geography, energy constraints, lack of access to submarine cables, and a shortage of skilled workers as major barriers. The group unanimously advocated for stronger regional cooperation, suggesting that LLDCs negotiate as a bloc and leverage forums like the Asia-Pacific </w:t>
      </w:r>
      <w:proofErr w:type="spellStart"/>
      <w:r w:rsidRPr="001237D4">
        <w:rPr>
          <w:rFonts w:ascii="Aptos" w:eastAsia="Aptos" w:hAnsi="Aptos" w:cs="Aptos"/>
          <w:sz w:val="22"/>
          <w:szCs w:val="22"/>
        </w:rPr>
        <w:t>Telecommunity</w:t>
      </w:r>
      <w:proofErr w:type="spellEnd"/>
      <w:r w:rsidRPr="001237D4">
        <w:rPr>
          <w:rFonts w:ascii="Aptos" w:eastAsia="Aptos" w:hAnsi="Aptos" w:cs="Aptos"/>
          <w:sz w:val="22"/>
          <w:szCs w:val="22"/>
        </w:rPr>
        <w:t xml:space="preserve"> (APT) to increase their collective bargaining power.</w:t>
      </w:r>
    </w:p>
    <w:p w14:paraId="0A912A80" w14:textId="77777777" w:rsidR="009560D9" w:rsidRPr="001237D4" w:rsidRDefault="009560D9" w:rsidP="001237D4">
      <w:pPr>
        <w:spacing w:before="240"/>
        <w:jc w:val="both"/>
        <w:rPr>
          <w:rFonts w:ascii="Aptos" w:eastAsia="Aptos" w:hAnsi="Aptos" w:cs="Aptos"/>
          <w:sz w:val="22"/>
          <w:szCs w:val="22"/>
        </w:rPr>
      </w:pPr>
      <w:r w:rsidRPr="009560D9">
        <w:rPr>
          <w:rFonts w:ascii="Aptos" w:eastAsia="Aptos" w:hAnsi="Aptos" w:cs="Aptos"/>
          <w:b/>
          <w:bCs/>
          <w:sz w:val="22"/>
          <w:szCs w:val="22"/>
        </w:rPr>
        <w:t>Regarding the integration of new satellite technologies</w:t>
      </w:r>
      <w:r w:rsidRPr="001237D4">
        <w:rPr>
          <w:rFonts w:ascii="Aptos" w:eastAsia="Aptos" w:hAnsi="Aptos" w:cs="Aptos"/>
          <w:sz w:val="22"/>
          <w:szCs w:val="22"/>
        </w:rPr>
        <w:t>, there was a clear need for access to best practices in policy and regulation to help build national plans. A key suggestion was to use Non-Terrestrial Networks (NTNs) as a backup during emergencies for vital services. Member states proposed working through regional organizations to develop joint recommendations, with Mongolia specifically highlighting the necessity for clear regulatory frameworks.</w:t>
      </w:r>
    </w:p>
    <w:p w14:paraId="7D88323E" w14:textId="77777777" w:rsidR="009560D9" w:rsidRPr="001237D4" w:rsidRDefault="009560D9" w:rsidP="001237D4">
      <w:pPr>
        <w:spacing w:before="240"/>
        <w:jc w:val="both"/>
        <w:rPr>
          <w:rFonts w:ascii="Aptos" w:eastAsia="Aptos" w:hAnsi="Aptos" w:cs="Aptos"/>
          <w:sz w:val="22"/>
          <w:szCs w:val="22"/>
        </w:rPr>
      </w:pPr>
      <w:r w:rsidRPr="009560D9">
        <w:rPr>
          <w:rFonts w:ascii="Aptos" w:eastAsia="Aptos" w:hAnsi="Aptos" w:cs="Aptos"/>
          <w:b/>
          <w:bCs/>
          <w:sz w:val="22"/>
          <w:szCs w:val="22"/>
        </w:rPr>
        <w:t>On the impact of satellite competition</w:t>
      </w:r>
      <w:r w:rsidRPr="001237D4">
        <w:rPr>
          <w:rFonts w:ascii="Aptos" w:eastAsia="Aptos" w:hAnsi="Aptos" w:cs="Aptos"/>
          <w:sz w:val="22"/>
          <w:szCs w:val="22"/>
        </w:rPr>
        <w:t>, participants expressed a desire for studies to map future scenarios. The consensus was that satellite-based connectivity would not replace terrestrial networks but would instead discipline prices, improve resilience, and expand choices, ultimately leading to more affordable and inclusive international connectivity. Cybersecurity was also raised as a paramount concern accompanying these advancements.</w:t>
      </w:r>
    </w:p>
    <w:p w14:paraId="2E3FA232" w14:textId="2998B207" w:rsidR="0F7C7DF9" w:rsidRPr="001237D4" w:rsidRDefault="009560D9" w:rsidP="001237D4">
      <w:pPr>
        <w:spacing w:before="240"/>
        <w:jc w:val="both"/>
        <w:rPr>
          <w:rFonts w:ascii="Aptos" w:eastAsia="Aptos" w:hAnsi="Aptos" w:cs="Aptos"/>
          <w:sz w:val="22"/>
          <w:szCs w:val="22"/>
        </w:rPr>
      </w:pPr>
      <w:r w:rsidRPr="009560D9">
        <w:rPr>
          <w:rFonts w:ascii="Aptos" w:eastAsia="Aptos" w:hAnsi="Aptos" w:cs="Aptos"/>
          <w:b/>
          <w:bCs/>
          <w:sz w:val="22"/>
          <w:szCs w:val="22"/>
        </w:rPr>
        <w:lastRenderedPageBreak/>
        <w:t>For building resilient and adaptable infrastructure</w:t>
      </w:r>
      <w:r w:rsidRPr="001237D4">
        <w:rPr>
          <w:rFonts w:ascii="Aptos" w:eastAsia="Aptos" w:hAnsi="Aptos" w:cs="Aptos"/>
          <w:sz w:val="22"/>
          <w:szCs w:val="22"/>
        </w:rPr>
        <w:t xml:space="preserve">, several innovative strategies were proposed. These included establishing local or regional Internet Exchange Points (IXPs) and data </w:t>
      </w:r>
      <w:proofErr w:type="spellStart"/>
      <w:r w:rsidRPr="001237D4">
        <w:rPr>
          <w:rFonts w:ascii="Aptos" w:eastAsia="Aptos" w:hAnsi="Aptos" w:cs="Aptos"/>
          <w:sz w:val="22"/>
          <w:szCs w:val="22"/>
        </w:rPr>
        <w:t>centers</w:t>
      </w:r>
      <w:proofErr w:type="spellEnd"/>
      <w:r w:rsidRPr="001237D4">
        <w:rPr>
          <w:rFonts w:ascii="Aptos" w:eastAsia="Aptos" w:hAnsi="Aptos" w:cs="Aptos"/>
          <w:sz w:val="22"/>
          <w:szCs w:val="22"/>
        </w:rPr>
        <w:t xml:space="preserve"> to host local content, as suggested by Pakistan. Participants advocated for a hybrid, flexible ecosystem supported by adaptive policies and a major focus on training and capacity-building programs to develop the local workforce needed for the future.</w:t>
      </w:r>
    </w:p>
    <w:p w14:paraId="7FEE61A6" w14:textId="3C04CA20" w:rsidR="51FA8CA4" w:rsidRDefault="51FA8CA4" w:rsidP="001237D4">
      <w:pPr>
        <w:spacing w:before="240"/>
        <w:jc w:val="both"/>
        <w:rPr>
          <w:rFonts w:asciiTheme="minorHAnsi" w:eastAsiaTheme="minorEastAsia" w:hAnsiTheme="minorHAnsi" w:cstheme="minorBidi"/>
          <w:sz w:val="22"/>
          <w:szCs w:val="22"/>
        </w:rPr>
      </w:pPr>
      <w:r w:rsidRPr="53340F37">
        <w:rPr>
          <w:rFonts w:asciiTheme="minorHAnsi" w:eastAsiaTheme="minorEastAsia" w:hAnsiTheme="minorHAnsi" w:cstheme="minorBidi"/>
          <w:sz w:val="22"/>
          <w:szCs w:val="22"/>
        </w:rPr>
        <w:t>The innovation cafe session brought us to the end of Day 1.</w:t>
      </w:r>
    </w:p>
    <w:p w14:paraId="240D5A9C" w14:textId="5F1A8A09" w:rsidR="51FA8CA4" w:rsidRPr="001237D4" w:rsidRDefault="008A0017" w:rsidP="001237D4">
      <w:pPr>
        <w:spacing w:before="240"/>
        <w:rPr>
          <w:rFonts w:asciiTheme="minorHAnsi" w:hAnsiTheme="minorHAnsi"/>
          <w:b/>
          <w:bCs/>
          <w:color w:val="00B0F0"/>
          <w:sz w:val="22"/>
          <w:szCs w:val="22"/>
        </w:rPr>
      </w:pPr>
      <w:r>
        <w:rPr>
          <w:rFonts w:asciiTheme="minorHAnsi" w:hAnsiTheme="minorHAnsi"/>
          <w:b/>
          <w:bCs/>
          <w:color w:val="00B0F0"/>
          <w:sz w:val="22"/>
          <w:szCs w:val="22"/>
        </w:rPr>
        <w:t xml:space="preserve">Session 3: </w:t>
      </w:r>
      <w:r w:rsidR="51FA8CA4" w:rsidRPr="001237D4">
        <w:rPr>
          <w:rFonts w:asciiTheme="minorHAnsi" w:hAnsiTheme="minorHAnsi"/>
          <w:color w:val="00B0F0"/>
          <w:sz w:val="22"/>
          <w:szCs w:val="22"/>
        </w:rPr>
        <w:t>Cross border RF interference mitigation</w:t>
      </w:r>
    </w:p>
    <w:p w14:paraId="62672F7D" w14:textId="77777777" w:rsidR="007A70B5" w:rsidRPr="007A70B5" w:rsidRDefault="007A70B5" w:rsidP="001237D4">
      <w:pPr>
        <w:spacing w:before="240"/>
        <w:jc w:val="both"/>
        <w:rPr>
          <w:rFonts w:asciiTheme="minorHAnsi" w:eastAsiaTheme="minorEastAsia" w:hAnsiTheme="minorHAnsi" w:cstheme="minorBidi"/>
        </w:rPr>
      </w:pPr>
      <w:r w:rsidRPr="007A70B5">
        <w:rPr>
          <w:rFonts w:asciiTheme="minorHAnsi" w:eastAsiaTheme="minorEastAsia" w:hAnsiTheme="minorHAnsi" w:cstheme="minorBidi"/>
        </w:rPr>
        <w:t>Day 2 opened with a session addressing the growing challenge of cross-border radio frequency (RF) interference in the Asia-Pacific region, a problem exacerbated by diverse geography, dense border populations, and varying levels of ICT development.</w:t>
      </w:r>
    </w:p>
    <w:p w14:paraId="287584A3" w14:textId="77777777" w:rsidR="007A70B5" w:rsidRPr="007A70B5" w:rsidRDefault="007A70B5" w:rsidP="001237D4">
      <w:pPr>
        <w:spacing w:before="240"/>
        <w:jc w:val="both"/>
        <w:rPr>
          <w:rFonts w:asciiTheme="minorHAnsi" w:eastAsiaTheme="minorEastAsia" w:hAnsiTheme="minorHAnsi" w:cstheme="minorBidi"/>
        </w:rPr>
      </w:pPr>
      <w:r w:rsidRPr="001237D4">
        <w:rPr>
          <w:rFonts w:asciiTheme="minorHAnsi" w:eastAsiaTheme="minorEastAsia" w:hAnsiTheme="minorHAnsi" w:cstheme="minorBidi"/>
          <w:b/>
          <w:bCs/>
        </w:rPr>
        <w:t>Mr. Aamir Riaz (ITU)</w:t>
      </w:r>
      <w:r w:rsidRPr="007A70B5">
        <w:rPr>
          <w:rFonts w:asciiTheme="minorHAnsi" w:eastAsiaTheme="minorEastAsia" w:hAnsiTheme="minorHAnsi" w:cstheme="minorBidi"/>
        </w:rPr>
        <w:t xml:space="preserve"> set the foundation by defining types of interference under ITU regulations and highlighting their risks to safety and economic activity. He outlined a multi-layered approach to mitigation, from global ITU frameworks to tailored bilateral agreements, arguing that regional solutions are often most practical. He concluded with a strong call for proactive, harmonized spectrum coordination to prevent issues before they arise, emphasizing the ITU's role in facilitating this cooperation.</w:t>
      </w:r>
    </w:p>
    <w:p w14:paraId="019D481E" w14:textId="77777777" w:rsidR="007A70B5" w:rsidRPr="007A70B5" w:rsidRDefault="007A70B5" w:rsidP="001237D4">
      <w:pPr>
        <w:spacing w:before="240"/>
        <w:jc w:val="both"/>
        <w:rPr>
          <w:rFonts w:asciiTheme="minorHAnsi" w:eastAsiaTheme="minorEastAsia" w:hAnsiTheme="minorHAnsi" w:cstheme="minorBidi"/>
        </w:rPr>
      </w:pPr>
      <w:r w:rsidRPr="001237D4">
        <w:rPr>
          <w:rFonts w:asciiTheme="minorHAnsi" w:eastAsiaTheme="minorEastAsia" w:hAnsiTheme="minorHAnsi" w:cstheme="minorBidi"/>
          <w:b/>
          <w:bCs/>
        </w:rPr>
        <w:t>Ms. Jedtavong THEPVONGSA (Lao PDR)</w:t>
      </w:r>
      <w:r w:rsidRPr="007A70B5">
        <w:rPr>
          <w:rFonts w:asciiTheme="minorHAnsi" w:eastAsiaTheme="minorEastAsia" w:hAnsiTheme="minorHAnsi" w:cstheme="minorBidi"/>
        </w:rPr>
        <w:t xml:space="preserve"> reinforced the regional perspective, echoing the definitions and risks of harmful interference. Her presentation detailed the same multi-pronged mitigation strategies, from global frameworks to local agreements, </w:t>
      </w:r>
      <w:proofErr w:type="gramStart"/>
      <w:r w:rsidRPr="007A70B5">
        <w:rPr>
          <w:rFonts w:asciiTheme="minorHAnsi" w:eastAsiaTheme="minorEastAsia" w:hAnsiTheme="minorHAnsi" w:cstheme="minorBidi"/>
        </w:rPr>
        <w:t>and also</w:t>
      </w:r>
      <w:proofErr w:type="gramEnd"/>
      <w:r w:rsidRPr="007A70B5">
        <w:rPr>
          <w:rFonts w:asciiTheme="minorHAnsi" w:eastAsiaTheme="minorEastAsia" w:hAnsiTheme="minorHAnsi" w:cstheme="minorBidi"/>
        </w:rPr>
        <w:t xml:space="preserve"> emphasized the practicality of regional solutions. She joined the call for proactive prevention through harmonized frameworks and highlighted the essential support role of the ITU.</w:t>
      </w:r>
    </w:p>
    <w:p w14:paraId="17EA8C5F" w14:textId="2E6AFAA9" w:rsidR="007A70B5" w:rsidRPr="007A70B5" w:rsidRDefault="007A70B5" w:rsidP="001237D4">
      <w:pPr>
        <w:spacing w:before="240"/>
        <w:jc w:val="both"/>
        <w:rPr>
          <w:rFonts w:asciiTheme="minorHAnsi" w:eastAsiaTheme="minorEastAsia" w:hAnsiTheme="minorHAnsi" w:cstheme="minorBidi"/>
        </w:rPr>
      </w:pPr>
      <w:r w:rsidRPr="001237D4">
        <w:rPr>
          <w:rFonts w:asciiTheme="minorHAnsi" w:eastAsiaTheme="minorEastAsia" w:hAnsiTheme="minorHAnsi" w:cstheme="minorBidi"/>
          <w:b/>
          <w:bCs/>
        </w:rPr>
        <w:t xml:space="preserve">Ms. </w:t>
      </w:r>
      <w:proofErr w:type="spellStart"/>
      <w:r w:rsidRPr="001237D4">
        <w:rPr>
          <w:rFonts w:asciiTheme="minorHAnsi" w:eastAsiaTheme="minorEastAsia" w:hAnsiTheme="minorHAnsi" w:cstheme="minorBidi"/>
          <w:b/>
          <w:bCs/>
        </w:rPr>
        <w:t>Chotmony</w:t>
      </w:r>
      <w:proofErr w:type="spellEnd"/>
      <w:r w:rsidRPr="001237D4">
        <w:rPr>
          <w:rFonts w:asciiTheme="minorHAnsi" w:eastAsiaTheme="minorEastAsia" w:hAnsiTheme="minorHAnsi" w:cstheme="minorBidi"/>
          <w:b/>
          <w:bCs/>
        </w:rPr>
        <w:t xml:space="preserve"> Som (Cambodia)</w:t>
      </w:r>
      <w:r w:rsidRPr="007A70B5">
        <w:rPr>
          <w:rFonts w:asciiTheme="minorHAnsi" w:eastAsiaTheme="minorEastAsia" w:hAnsiTheme="minorHAnsi" w:cstheme="minorBidi"/>
        </w:rPr>
        <w:t xml:space="preserve"> provided a concrete national example, explaining her country's two-tiered regulatory structure. She highlighted the critical role of the Joint Technical Committee (JTC), which holds annual meetings with neighbouring countries to resolve interference, harmonize band plans, and coordinate on services like IMT and digital television. Cambodia’s strategy relies on structured bilateral cooperation and rapid response teams for on-site monitoring, showcasing a successful model of proactive regulation.</w:t>
      </w:r>
    </w:p>
    <w:p w14:paraId="58AD227F" w14:textId="77777777" w:rsidR="007A70B5" w:rsidRPr="007A70B5" w:rsidRDefault="007A70B5" w:rsidP="001237D4">
      <w:pPr>
        <w:spacing w:before="240"/>
        <w:jc w:val="both"/>
        <w:rPr>
          <w:rFonts w:asciiTheme="minorHAnsi" w:eastAsiaTheme="minorEastAsia" w:hAnsiTheme="minorHAnsi" w:cstheme="minorBidi"/>
        </w:rPr>
      </w:pPr>
      <w:r w:rsidRPr="001237D4">
        <w:rPr>
          <w:rFonts w:asciiTheme="minorHAnsi" w:eastAsiaTheme="minorEastAsia" w:hAnsiTheme="minorHAnsi" w:cstheme="minorBidi"/>
          <w:b/>
          <w:bCs/>
        </w:rPr>
        <w:t>Mr. Farid Nakhli (ITU)</w:t>
      </w:r>
      <w:r w:rsidRPr="007A70B5">
        <w:rPr>
          <w:rFonts w:asciiTheme="minorHAnsi" w:eastAsiaTheme="minorEastAsia" w:hAnsiTheme="minorHAnsi" w:cstheme="minorBidi"/>
        </w:rPr>
        <w:t xml:space="preserve"> provided an overview from the CIS region, explaining the supportive role the ITU's regional office plays in assisting countries with cross-border RF interference mitigation.</w:t>
      </w:r>
    </w:p>
    <w:p w14:paraId="49E0E881" w14:textId="0C9CD982" w:rsidR="007A70B5" w:rsidRDefault="007A70B5" w:rsidP="001237D4">
      <w:pPr>
        <w:spacing w:before="240"/>
        <w:jc w:val="both"/>
        <w:rPr>
          <w:rFonts w:asciiTheme="minorHAnsi" w:eastAsiaTheme="minorEastAsia" w:hAnsiTheme="minorHAnsi" w:cstheme="minorBidi"/>
          <w:sz w:val="22"/>
          <w:szCs w:val="22"/>
        </w:rPr>
      </w:pPr>
      <w:r w:rsidRPr="001237D4">
        <w:rPr>
          <w:rFonts w:asciiTheme="minorHAnsi" w:eastAsiaTheme="minorEastAsia" w:hAnsiTheme="minorHAnsi" w:cstheme="minorBidi"/>
          <w:b/>
          <w:bCs/>
        </w:rPr>
        <w:t>Mr. Anuar Magzumov (Kazakhstan)</w:t>
      </w:r>
      <w:r w:rsidRPr="007A70B5">
        <w:rPr>
          <w:rFonts w:asciiTheme="minorHAnsi" w:eastAsiaTheme="minorEastAsia" w:hAnsiTheme="minorHAnsi" w:cstheme="minorBidi"/>
        </w:rPr>
        <w:t xml:space="preserve"> presented his country's comprehensive regulatory framework, which is built on strict alignment with ITU standards. He detailed extensive bilateral coordination with all neighbouring countries and active participation in regional bodies. Kazakhstan's ambitious national plans include deploying 5G in 20 cities by 2025, achieving 99% IMT coverage in rural settlements, and modernizing its spectrum plan in line with future ITU decisions, demonstrating a forward-looking approach to spectrum management.</w:t>
      </w:r>
    </w:p>
    <w:p w14:paraId="0F5CA98E" w14:textId="38F74F18" w:rsidR="53340F37" w:rsidRPr="001237D4" w:rsidRDefault="6ED3A6AA" w:rsidP="001237D4">
      <w:pPr>
        <w:spacing w:before="240"/>
        <w:rPr>
          <w:rFonts w:asciiTheme="minorHAnsi" w:hAnsiTheme="minorHAnsi"/>
          <w:b/>
          <w:bCs/>
          <w:color w:val="00B0F0"/>
          <w:sz w:val="22"/>
          <w:szCs w:val="22"/>
        </w:rPr>
      </w:pPr>
      <w:r w:rsidRPr="001237D4">
        <w:rPr>
          <w:rFonts w:asciiTheme="minorHAnsi" w:hAnsiTheme="minorHAnsi"/>
          <w:b/>
          <w:bCs/>
          <w:color w:val="00B0F0"/>
          <w:sz w:val="22"/>
          <w:szCs w:val="22"/>
        </w:rPr>
        <w:t xml:space="preserve">Panel Discussion on </w:t>
      </w:r>
      <w:r w:rsidR="70E774CB" w:rsidRPr="001237D4">
        <w:rPr>
          <w:rFonts w:asciiTheme="minorHAnsi" w:hAnsiTheme="minorHAnsi"/>
          <w:b/>
          <w:bCs/>
          <w:color w:val="00B0F0"/>
          <w:sz w:val="22"/>
          <w:szCs w:val="22"/>
        </w:rPr>
        <w:t>International Digital Connectivity for LLDC's</w:t>
      </w:r>
    </w:p>
    <w:p w14:paraId="3F8F6CD7" w14:textId="77777777" w:rsidR="00E15FF6" w:rsidRPr="001237D4" w:rsidRDefault="00E15FF6" w:rsidP="001237D4">
      <w:pPr>
        <w:spacing w:before="240"/>
        <w:jc w:val="both"/>
        <w:rPr>
          <w:rFonts w:asciiTheme="minorHAnsi" w:eastAsiaTheme="minorEastAsia" w:hAnsiTheme="minorHAnsi" w:cstheme="minorBidi"/>
        </w:rPr>
      </w:pPr>
      <w:r w:rsidRPr="001237D4">
        <w:rPr>
          <w:rFonts w:asciiTheme="minorHAnsi" w:eastAsiaTheme="minorEastAsia" w:hAnsiTheme="minorHAnsi" w:cstheme="minorBidi"/>
        </w:rPr>
        <w:lastRenderedPageBreak/>
        <w:t>The seminar concluded with a panel discussion moderated by Mr. Dulguun Damdin-Od, focusing on the unique international connectivity challenges faced by Landlocked Developing Countries (LLDCs). The session highlighted geographical, financial, and technical barriers and explored potential solutions.</w:t>
      </w:r>
    </w:p>
    <w:p w14:paraId="085A1B01" w14:textId="08A1E40F" w:rsidR="00E15FF6" w:rsidRPr="001237D4" w:rsidRDefault="00E15FF6" w:rsidP="001237D4">
      <w:pPr>
        <w:spacing w:before="240"/>
        <w:jc w:val="both"/>
        <w:rPr>
          <w:rFonts w:asciiTheme="minorHAnsi" w:eastAsiaTheme="minorEastAsia" w:hAnsiTheme="minorHAnsi" w:cstheme="minorBidi"/>
        </w:rPr>
      </w:pPr>
      <w:r w:rsidRPr="001237D4">
        <w:rPr>
          <w:rFonts w:asciiTheme="minorHAnsi" w:eastAsiaTheme="minorEastAsia" w:hAnsiTheme="minorHAnsi" w:cstheme="minorBidi"/>
          <w:b/>
          <w:bCs/>
        </w:rPr>
        <w:t xml:space="preserve">Mr Shehryar </w:t>
      </w:r>
      <w:r w:rsidRPr="001237D4">
        <w:rPr>
          <w:rFonts w:asciiTheme="minorHAnsi" w:eastAsiaTheme="minorEastAsia" w:hAnsiTheme="minorHAnsi" w:cstheme="minorBidi"/>
        </w:rPr>
        <w:t xml:space="preserve">presented on how </w:t>
      </w:r>
      <w:r w:rsidR="00865A99" w:rsidRPr="00320E34">
        <w:rPr>
          <w:rFonts w:asciiTheme="minorHAnsi" w:eastAsiaTheme="minorEastAsia" w:hAnsiTheme="minorHAnsi" w:cstheme="minorBidi"/>
          <w:b/>
          <w:bCs/>
        </w:rPr>
        <w:t>Pakistan</w:t>
      </w:r>
      <w:r>
        <w:rPr>
          <w:rFonts w:asciiTheme="minorHAnsi" w:eastAsiaTheme="minorEastAsia" w:hAnsiTheme="minorHAnsi" w:cstheme="minorBidi"/>
        </w:rPr>
        <w:t>, a</w:t>
      </w:r>
      <w:r w:rsidR="00865A99">
        <w:rPr>
          <w:rFonts w:asciiTheme="minorHAnsi" w:eastAsiaTheme="minorEastAsia" w:hAnsiTheme="minorHAnsi" w:cstheme="minorBidi"/>
        </w:rPr>
        <w:t xml:space="preserve">s a transit country, </w:t>
      </w:r>
      <w:r w:rsidRPr="001237D4">
        <w:rPr>
          <w:rFonts w:asciiTheme="minorHAnsi" w:eastAsiaTheme="minorEastAsia" w:hAnsiTheme="minorHAnsi" w:cstheme="minorBidi"/>
        </w:rPr>
        <w:t>could serve as a strategic gateway. He proposed supporting low-latency submarine connectivity for CIS nations and Mongolia by facilitating access through partnerships with China, offering a potential solution to bypass traditional and often costly routes.</w:t>
      </w:r>
    </w:p>
    <w:p w14:paraId="127C7D9B" w14:textId="4BBEE18D" w:rsidR="00E15FF6" w:rsidRPr="001237D4" w:rsidRDefault="00166F02" w:rsidP="001237D4">
      <w:pPr>
        <w:spacing w:before="240"/>
        <w:jc w:val="both"/>
        <w:rPr>
          <w:rFonts w:asciiTheme="minorHAnsi" w:eastAsiaTheme="minorEastAsia" w:hAnsiTheme="minorHAnsi" w:cstheme="minorBidi"/>
        </w:rPr>
      </w:pPr>
      <w:r w:rsidRPr="001237D4">
        <w:rPr>
          <w:rFonts w:asciiTheme="minorHAnsi" w:eastAsiaTheme="minorEastAsia" w:hAnsiTheme="minorHAnsi" w:cstheme="minorBidi"/>
          <w:b/>
          <w:bCs/>
        </w:rPr>
        <w:t xml:space="preserve">Dr </w:t>
      </w:r>
      <w:proofErr w:type="spellStart"/>
      <w:r w:rsidRPr="001237D4">
        <w:rPr>
          <w:rFonts w:asciiTheme="minorHAnsi" w:eastAsiaTheme="minorEastAsia" w:hAnsiTheme="minorHAnsi" w:cstheme="minorBidi"/>
          <w:b/>
          <w:bCs/>
        </w:rPr>
        <w:t>Otgonchimeg</w:t>
      </w:r>
      <w:proofErr w:type="spellEnd"/>
      <w:r w:rsidRPr="001237D4">
        <w:rPr>
          <w:rFonts w:asciiTheme="minorHAnsi" w:eastAsiaTheme="minorEastAsia" w:hAnsiTheme="minorHAnsi" w:cstheme="minorBidi"/>
          <w:b/>
          <w:bCs/>
        </w:rPr>
        <w:t xml:space="preserve"> </w:t>
      </w:r>
      <w:r w:rsidR="00E15FF6" w:rsidRPr="001237D4">
        <w:rPr>
          <w:rFonts w:asciiTheme="minorHAnsi" w:eastAsiaTheme="minorEastAsia" w:hAnsiTheme="minorHAnsi" w:cstheme="minorBidi"/>
        </w:rPr>
        <w:t>from</w:t>
      </w:r>
      <w:r w:rsidR="00E15FF6" w:rsidRPr="001237D4">
        <w:rPr>
          <w:rFonts w:asciiTheme="minorHAnsi" w:eastAsiaTheme="minorEastAsia" w:hAnsiTheme="minorHAnsi" w:cstheme="minorBidi"/>
          <w:b/>
          <w:bCs/>
        </w:rPr>
        <w:t xml:space="preserve"> </w:t>
      </w:r>
      <w:proofErr w:type="spellStart"/>
      <w:r w:rsidR="00E15FF6" w:rsidRPr="001237D4">
        <w:rPr>
          <w:rFonts w:asciiTheme="minorHAnsi" w:eastAsiaTheme="minorEastAsia" w:hAnsiTheme="minorHAnsi" w:cstheme="minorBidi"/>
          <w:b/>
          <w:bCs/>
        </w:rPr>
        <w:t>Mobicom</w:t>
      </w:r>
      <w:proofErr w:type="spellEnd"/>
      <w:r w:rsidR="00E15FF6" w:rsidRPr="001237D4">
        <w:rPr>
          <w:rFonts w:asciiTheme="minorHAnsi" w:eastAsiaTheme="minorEastAsia" w:hAnsiTheme="minorHAnsi" w:cstheme="minorBidi"/>
        </w:rPr>
        <w:t xml:space="preserve"> </w:t>
      </w:r>
      <w:r w:rsidR="00E15FF6" w:rsidRPr="001237D4">
        <w:rPr>
          <w:rFonts w:asciiTheme="minorHAnsi" w:eastAsiaTheme="minorEastAsia" w:hAnsiTheme="minorHAnsi" w:cstheme="minorBidi"/>
          <w:b/>
          <w:bCs/>
        </w:rPr>
        <w:t>Mongolia</w:t>
      </w:r>
      <w:r w:rsidR="00E15FF6" w:rsidRPr="001237D4">
        <w:rPr>
          <w:rFonts w:asciiTheme="minorHAnsi" w:eastAsiaTheme="minorEastAsia" w:hAnsiTheme="minorHAnsi" w:cstheme="minorBidi"/>
        </w:rPr>
        <w:t xml:space="preserve"> provided the private sector perspective, detailing their network's redundancy through multiple international hubs. Their primary challenge, however, is affordability and attracting content. They explained that major OTT platforms and LEO satellite providers are reluctant to localize servers or earth stations in Mongolia due to the country's traffic volumes falling below their minimum economic thresholds.</w:t>
      </w:r>
    </w:p>
    <w:p w14:paraId="7CC05F6D" w14:textId="0E6D54C9" w:rsidR="00E15FF6" w:rsidRPr="001237D4" w:rsidRDefault="00932A54" w:rsidP="001237D4">
      <w:pPr>
        <w:spacing w:before="240"/>
        <w:jc w:val="both"/>
        <w:rPr>
          <w:rFonts w:asciiTheme="minorHAnsi" w:eastAsiaTheme="minorEastAsia" w:hAnsiTheme="minorHAnsi" w:cstheme="minorBidi"/>
        </w:rPr>
      </w:pPr>
      <w:r w:rsidRPr="001237D4">
        <w:rPr>
          <w:rFonts w:asciiTheme="minorHAnsi" w:eastAsiaTheme="minorEastAsia" w:hAnsiTheme="minorHAnsi" w:cstheme="minorBidi"/>
          <w:b/>
          <w:bCs/>
        </w:rPr>
        <w:t>Mr CHANDRA Pankaj</w:t>
      </w:r>
      <w:r w:rsidRPr="00932A54">
        <w:rPr>
          <w:rFonts w:asciiTheme="minorHAnsi" w:eastAsiaTheme="minorEastAsia" w:hAnsiTheme="minorHAnsi" w:cstheme="minorBidi"/>
        </w:rPr>
        <w:t xml:space="preserve"> </w:t>
      </w:r>
      <w:r w:rsidR="00E15FF6" w:rsidRPr="001237D4">
        <w:rPr>
          <w:rFonts w:asciiTheme="minorHAnsi" w:eastAsiaTheme="minorEastAsia" w:hAnsiTheme="minorHAnsi" w:cstheme="minorBidi"/>
        </w:rPr>
        <w:t xml:space="preserve">from </w:t>
      </w:r>
      <w:r w:rsidR="00E15FF6" w:rsidRPr="001237D4">
        <w:rPr>
          <w:rFonts w:asciiTheme="minorHAnsi" w:eastAsiaTheme="minorEastAsia" w:hAnsiTheme="minorHAnsi" w:cstheme="minorBidi"/>
          <w:b/>
          <w:bCs/>
        </w:rPr>
        <w:t>Nepal</w:t>
      </w:r>
      <w:r w:rsidR="00E15FF6" w:rsidRPr="001237D4">
        <w:rPr>
          <w:rFonts w:asciiTheme="minorHAnsi" w:eastAsiaTheme="minorEastAsia" w:hAnsiTheme="minorHAnsi" w:cstheme="minorBidi"/>
        </w:rPr>
        <w:t xml:space="preserve"> shared their national strategy to overcome dependence on a single transit </w:t>
      </w:r>
      <w:r w:rsidRPr="00932A54">
        <w:rPr>
          <w:rFonts w:asciiTheme="minorHAnsi" w:eastAsiaTheme="minorEastAsia" w:hAnsiTheme="minorHAnsi" w:cstheme="minorBidi"/>
        </w:rPr>
        <w:t>neighbour</w:t>
      </w:r>
      <w:r w:rsidR="00E15FF6" w:rsidRPr="001237D4">
        <w:rPr>
          <w:rFonts w:asciiTheme="minorHAnsi" w:eastAsiaTheme="minorEastAsia" w:hAnsiTheme="minorHAnsi" w:cstheme="minorBidi"/>
        </w:rPr>
        <w:t xml:space="preserve">. While the southern route remains the cheapest, Nepal has established a new link through its northern </w:t>
      </w:r>
      <w:r w:rsidRPr="00932A54">
        <w:rPr>
          <w:rFonts w:asciiTheme="minorHAnsi" w:eastAsiaTheme="minorEastAsia" w:hAnsiTheme="minorHAnsi" w:cstheme="minorBidi"/>
        </w:rPr>
        <w:t>neighbour</w:t>
      </w:r>
      <w:r w:rsidR="00E15FF6" w:rsidRPr="001237D4">
        <w:rPr>
          <w:rFonts w:asciiTheme="minorHAnsi" w:eastAsiaTheme="minorEastAsia" w:hAnsiTheme="minorHAnsi" w:cstheme="minorBidi"/>
        </w:rPr>
        <w:t xml:space="preserve"> to achieve critical redundancy and resilience. For last-mile connectivity in its mountainous terrain, satellite remains an indispensable technology.</w:t>
      </w:r>
    </w:p>
    <w:p w14:paraId="2B6AED87" w14:textId="6CC4DFC9" w:rsidR="00E15FF6" w:rsidRPr="001237D4" w:rsidRDefault="006C4C3A" w:rsidP="001237D4">
      <w:pPr>
        <w:spacing w:before="240"/>
        <w:jc w:val="both"/>
        <w:rPr>
          <w:rFonts w:asciiTheme="minorHAnsi" w:eastAsiaTheme="minorEastAsia" w:hAnsiTheme="minorHAnsi" w:cstheme="minorBidi"/>
        </w:rPr>
      </w:pPr>
      <w:r w:rsidRPr="001237D4">
        <w:rPr>
          <w:rFonts w:asciiTheme="minorHAnsi" w:eastAsiaTheme="minorEastAsia" w:hAnsiTheme="minorHAnsi" w:cstheme="minorBidi"/>
          <w:b/>
          <w:bCs/>
        </w:rPr>
        <w:t>Mr. Vahan Hovsepyan</w:t>
      </w:r>
      <w:r w:rsidRPr="006C4C3A">
        <w:rPr>
          <w:rFonts w:asciiTheme="minorHAnsi" w:eastAsiaTheme="minorEastAsia" w:hAnsiTheme="minorHAnsi" w:cstheme="minorBidi"/>
        </w:rPr>
        <w:t xml:space="preserve"> </w:t>
      </w:r>
      <w:r w:rsidR="00E15FF6" w:rsidRPr="001237D4">
        <w:rPr>
          <w:rFonts w:asciiTheme="minorHAnsi" w:eastAsiaTheme="minorEastAsia" w:hAnsiTheme="minorHAnsi" w:cstheme="minorBidi"/>
        </w:rPr>
        <w:t xml:space="preserve">from </w:t>
      </w:r>
      <w:r w:rsidR="00E15FF6" w:rsidRPr="001237D4">
        <w:rPr>
          <w:rFonts w:asciiTheme="minorHAnsi" w:eastAsiaTheme="minorEastAsia" w:hAnsiTheme="minorHAnsi" w:cstheme="minorBidi"/>
          <w:b/>
          <w:bCs/>
        </w:rPr>
        <w:t>RIPE NCC</w:t>
      </w:r>
      <w:r w:rsidR="00E15FF6" w:rsidRPr="001237D4">
        <w:rPr>
          <w:rFonts w:asciiTheme="minorHAnsi" w:eastAsiaTheme="minorEastAsia" w:hAnsiTheme="minorHAnsi" w:cstheme="minorBidi"/>
        </w:rPr>
        <w:t xml:space="preserve"> outlined the support their organization can provide. They emphasized assisting countries in better measuring connectivity and performing broadband traffic analytics. Based on successful interventions elsewhere, they offered to provide the necessary equipment and expertise to enable data-oriented decision-making for network development.</w:t>
      </w:r>
    </w:p>
    <w:p w14:paraId="1EFBF1B3" w14:textId="648DDC0E" w:rsidR="1156A29F" w:rsidRPr="001237D4" w:rsidRDefault="00E15FF6" w:rsidP="001237D4">
      <w:pPr>
        <w:spacing w:before="240"/>
        <w:jc w:val="both"/>
        <w:rPr>
          <w:rFonts w:asciiTheme="minorHAnsi" w:eastAsiaTheme="minorEastAsia" w:hAnsiTheme="minorHAnsi" w:cstheme="minorBidi"/>
        </w:rPr>
      </w:pPr>
      <w:r w:rsidRPr="001237D4">
        <w:rPr>
          <w:rFonts w:asciiTheme="minorHAnsi" w:eastAsiaTheme="minorEastAsia" w:hAnsiTheme="minorHAnsi" w:cstheme="minorBidi"/>
          <w:b/>
          <w:bCs/>
        </w:rPr>
        <w:t>Mr. Talant Sultanov</w:t>
      </w:r>
      <w:r w:rsidRPr="001237D4">
        <w:rPr>
          <w:rFonts w:asciiTheme="minorHAnsi" w:eastAsiaTheme="minorEastAsia" w:hAnsiTheme="minorHAnsi" w:cstheme="minorBidi"/>
        </w:rPr>
        <w:t>, participating remotely, emphasized that the path forward requires a multi-faceted approach. He advocated for making ICT services more affordable through innovation, localizing content to keep traffic within regions, and strengthening international cooperation. He specifically called on transit countries to support the digital development of LLDCs by providing cost-effective and redundant links to international submarine cables.</w:t>
      </w:r>
    </w:p>
    <w:p w14:paraId="10ADBF44" w14:textId="723F23B6" w:rsidR="559C70CE" w:rsidRDefault="559C70CE" w:rsidP="006C4C3A">
      <w:pPr>
        <w:spacing w:before="240" w:after="240"/>
        <w:jc w:val="both"/>
        <w:rPr>
          <w:rFonts w:ascii="Aptos" w:eastAsia="Aptos" w:hAnsi="Aptos" w:cs="Aptos"/>
          <w:b/>
          <w:bCs/>
          <w:color w:val="0070C0"/>
          <w:sz w:val="22"/>
          <w:szCs w:val="22"/>
        </w:rPr>
      </w:pPr>
      <w:r w:rsidRPr="001237D4">
        <w:rPr>
          <w:rFonts w:ascii="Aptos" w:eastAsia="Aptos" w:hAnsi="Aptos" w:cs="Aptos"/>
          <w:b/>
          <w:bCs/>
          <w:color w:val="0070C0"/>
          <w:sz w:val="22"/>
          <w:szCs w:val="22"/>
        </w:rPr>
        <w:t>Key Takeaways</w:t>
      </w:r>
    </w:p>
    <w:p w14:paraId="23FD8C6D" w14:textId="14B4A36F" w:rsidR="006C4C3A" w:rsidRPr="001237D4" w:rsidRDefault="006C4C3A" w:rsidP="001237D4">
      <w:pPr>
        <w:spacing w:before="240" w:after="240"/>
        <w:jc w:val="both"/>
        <w:rPr>
          <w:rFonts w:asciiTheme="minorHAnsi" w:eastAsiaTheme="minorEastAsia" w:hAnsiTheme="minorHAnsi" w:cstheme="minorBidi"/>
        </w:rPr>
      </w:pPr>
      <w:r w:rsidRPr="001237D4">
        <w:rPr>
          <w:rFonts w:asciiTheme="minorHAnsi" w:eastAsiaTheme="minorEastAsia" w:hAnsiTheme="minorHAnsi" w:cstheme="minorBidi"/>
        </w:rPr>
        <w:t xml:space="preserve">Following were key </w:t>
      </w:r>
      <w:r w:rsidR="006E0995" w:rsidRPr="001237D4">
        <w:rPr>
          <w:rFonts w:asciiTheme="minorHAnsi" w:eastAsiaTheme="minorEastAsia" w:hAnsiTheme="minorHAnsi" w:cstheme="minorBidi"/>
        </w:rPr>
        <w:t>conclusions of the sessions</w:t>
      </w:r>
    </w:p>
    <w:p w14:paraId="372D3D38" w14:textId="77777777" w:rsidR="00627930" w:rsidRPr="001237D4" w:rsidRDefault="00627930" w:rsidP="001237D4">
      <w:pPr>
        <w:pStyle w:val="ListParagraph"/>
        <w:numPr>
          <w:ilvl w:val="0"/>
          <w:numId w:val="1"/>
        </w:numPr>
        <w:spacing w:before="240"/>
        <w:ind w:left="426" w:hanging="426"/>
        <w:contextualSpacing w:val="0"/>
        <w:jc w:val="both"/>
        <w:rPr>
          <w:rFonts w:asciiTheme="minorHAnsi" w:eastAsiaTheme="minorEastAsia" w:hAnsiTheme="minorHAnsi" w:cstheme="minorBidi"/>
          <w:sz w:val="22"/>
          <w:szCs w:val="22"/>
        </w:rPr>
      </w:pPr>
      <w:r w:rsidRPr="001237D4">
        <w:rPr>
          <w:rFonts w:asciiTheme="minorHAnsi" w:eastAsiaTheme="minorEastAsia" w:hAnsiTheme="minorHAnsi" w:cstheme="minorBidi"/>
          <w:b/>
          <w:bCs/>
          <w:sz w:val="22"/>
          <w:szCs w:val="22"/>
        </w:rPr>
        <w:t>Satellite Technology is a Critical, Immediate Solution for LLDCs</w:t>
      </w:r>
      <w:r w:rsidRPr="001237D4">
        <w:rPr>
          <w:rFonts w:asciiTheme="minorHAnsi" w:eastAsiaTheme="minorEastAsia" w:hAnsiTheme="minorHAnsi" w:cstheme="minorBidi"/>
          <w:sz w:val="22"/>
          <w:szCs w:val="22"/>
        </w:rPr>
        <w:t>. There is a strong consensus that Non-Terrestrial Networks (NTNs), including Low Earth Orbit (LEO) constellations and Direct-to-Device (D2D) services, are no longer just a future option but a necessary tool to overcome the geographical isolation of LLDCs. They provide a viable path to deliver affordable connectivity, vital e-services, and early warnings to remote populations, effectively ensuring that being landlocked does not mean being "opportunity locked."</w:t>
      </w:r>
    </w:p>
    <w:p w14:paraId="5D925174" w14:textId="77777777" w:rsidR="00627930" w:rsidRPr="001237D4" w:rsidRDefault="00627930" w:rsidP="001237D4">
      <w:pPr>
        <w:pStyle w:val="ListParagraph"/>
        <w:numPr>
          <w:ilvl w:val="0"/>
          <w:numId w:val="1"/>
        </w:numPr>
        <w:spacing w:before="240"/>
        <w:ind w:left="426" w:hanging="426"/>
        <w:contextualSpacing w:val="0"/>
        <w:jc w:val="both"/>
        <w:rPr>
          <w:rFonts w:asciiTheme="minorHAnsi" w:eastAsiaTheme="minorEastAsia" w:hAnsiTheme="minorHAnsi" w:cstheme="minorBidi"/>
          <w:sz w:val="22"/>
          <w:szCs w:val="22"/>
        </w:rPr>
      </w:pPr>
      <w:r w:rsidRPr="001237D4">
        <w:rPr>
          <w:rFonts w:asciiTheme="minorHAnsi" w:eastAsiaTheme="minorEastAsia" w:hAnsiTheme="minorHAnsi" w:cstheme="minorBidi"/>
          <w:b/>
          <w:bCs/>
          <w:sz w:val="22"/>
          <w:szCs w:val="22"/>
        </w:rPr>
        <w:t>Proactive and Harmonized Regulatory Frameworks are Essential</w:t>
      </w:r>
      <w:r w:rsidRPr="001237D4">
        <w:rPr>
          <w:rFonts w:asciiTheme="minorHAnsi" w:eastAsiaTheme="minorEastAsia" w:hAnsiTheme="minorHAnsi" w:cstheme="minorBidi"/>
          <w:sz w:val="22"/>
          <w:szCs w:val="22"/>
        </w:rPr>
        <w:t xml:space="preserve">. A recurring theme was the urgent need for LLDCs to develop modern, enabling regulations that can keep pace with technological innovation like NGSO satellites. This includes creating clear licensing processes, updating spectrum management policies to prevent cross-border interference, and establishing standards (like mandating Cell Broadcast for national </w:t>
      </w:r>
      <w:r w:rsidRPr="001237D4">
        <w:rPr>
          <w:rFonts w:asciiTheme="minorHAnsi" w:eastAsiaTheme="minorEastAsia" w:hAnsiTheme="minorHAnsi" w:cstheme="minorBidi"/>
          <w:sz w:val="22"/>
          <w:szCs w:val="22"/>
        </w:rPr>
        <w:lastRenderedPageBreak/>
        <w:t>alert systems) to foster a competitive environment that balances innovation, security, and fair competition.</w:t>
      </w:r>
    </w:p>
    <w:p w14:paraId="514BAD40" w14:textId="77777777" w:rsidR="00627930" w:rsidRPr="001237D4" w:rsidRDefault="00627930" w:rsidP="001237D4">
      <w:pPr>
        <w:pStyle w:val="ListParagraph"/>
        <w:numPr>
          <w:ilvl w:val="0"/>
          <w:numId w:val="1"/>
        </w:numPr>
        <w:spacing w:before="240"/>
        <w:ind w:left="426" w:hanging="426"/>
        <w:contextualSpacing w:val="0"/>
        <w:jc w:val="both"/>
        <w:rPr>
          <w:rFonts w:asciiTheme="minorHAnsi" w:eastAsiaTheme="minorEastAsia" w:hAnsiTheme="minorHAnsi" w:cstheme="minorBidi"/>
          <w:sz w:val="22"/>
          <w:szCs w:val="22"/>
        </w:rPr>
      </w:pPr>
      <w:r w:rsidRPr="001237D4">
        <w:rPr>
          <w:rFonts w:asciiTheme="minorHAnsi" w:eastAsiaTheme="minorEastAsia" w:hAnsiTheme="minorHAnsi" w:cstheme="minorBidi"/>
          <w:b/>
          <w:bCs/>
          <w:sz w:val="22"/>
          <w:szCs w:val="22"/>
        </w:rPr>
        <w:t>Resilience Requires a Multi-Layered, Hybrid Approach to Connectivity</w:t>
      </w:r>
      <w:r w:rsidRPr="001237D4">
        <w:rPr>
          <w:rFonts w:asciiTheme="minorHAnsi" w:eastAsiaTheme="minorEastAsia" w:hAnsiTheme="minorHAnsi" w:cstheme="minorBidi"/>
          <w:sz w:val="22"/>
          <w:szCs w:val="22"/>
        </w:rPr>
        <w:t xml:space="preserve">. LLDCs cannot rely on a single technology. The workshop concluded that resilience is best achieved through integrated hybrid networks that combine terrestrial </w:t>
      </w:r>
      <w:proofErr w:type="spellStart"/>
      <w:r w:rsidRPr="001237D4">
        <w:rPr>
          <w:rFonts w:asciiTheme="minorHAnsi" w:eastAsiaTheme="minorEastAsia" w:hAnsiTheme="minorHAnsi" w:cstheme="minorBidi"/>
          <w:sz w:val="22"/>
          <w:szCs w:val="22"/>
        </w:rPr>
        <w:t>fiber</w:t>
      </w:r>
      <w:proofErr w:type="spellEnd"/>
      <w:r w:rsidRPr="001237D4">
        <w:rPr>
          <w:rFonts w:asciiTheme="minorHAnsi" w:eastAsiaTheme="minorEastAsia" w:hAnsiTheme="minorHAnsi" w:cstheme="minorBidi"/>
          <w:sz w:val="22"/>
          <w:szCs w:val="22"/>
        </w:rPr>
        <w:t>, mobile networks, and diverse satellite solutions. This approach ensures redundancy if one system fails (e.g., during a disaster) and helps discipline prices for international bandwidth, making connectivity more affordable and stable.</w:t>
      </w:r>
    </w:p>
    <w:p w14:paraId="5F424F7B" w14:textId="76084EE3" w:rsidR="00627930" w:rsidRPr="001237D4" w:rsidRDefault="00627930" w:rsidP="001237D4">
      <w:pPr>
        <w:pStyle w:val="ListParagraph"/>
        <w:numPr>
          <w:ilvl w:val="0"/>
          <w:numId w:val="1"/>
        </w:numPr>
        <w:spacing w:before="240"/>
        <w:ind w:left="426" w:hanging="426"/>
        <w:contextualSpacing w:val="0"/>
        <w:jc w:val="both"/>
        <w:rPr>
          <w:rFonts w:asciiTheme="minorHAnsi" w:eastAsiaTheme="minorEastAsia" w:hAnsiTheme="minorHAnsi" w:cstheme="minorBidi"/>
          <w:sz w:val="22"/>
          <w:szCs w:val="22"/>
        </w:rPr>
      </w:pPr>
      <w:r w:rsidRPr="001237D4">
        <w:rPr>
          <w:rFonts w:asciiTheme="minorHAnsi" w:eastAsiaTheme="minorEastAsia" w:hAnsiTheme="minorHAnsi" w:cstheme="minorBidi"/>
          <w:b/>
          <w:bCs/>
          <w:sz w:val="22"/>
          <w:szCs w:val="22"/>
        </w:rPr>
        <w:t xml:space="preserve">Regional </w:t>
      </w:r>
      <w:r w:rsidR="00A6358D" w:rsidRPr="001237D4">
        <w:rPr>
          <w:rFonts w:asciiTheme="minorHAnsi" w:eastAsiaTheme="minorEastAsia" w:hAnsiTheme="minorHAnsi" w:cstheme="minorBidi"/>
          <w:b/>
          <w:bCs/>
          <w:sz w:val="22"/>
          <w:szCs w:val="22"/>
        </w:rPr>
        <w:t xml:space="preserve">and international </w:t>
      </w:r>
      <w:r w:rsidRPr="001237D4">
        <w:rPr>
          <w:rFonts w:asciiTheme="minorHAnsi" w:eastAsiaTheme="minorEastAsia" w:hAnsiTheme="minorHAnsi" w:cstheme="minorBidi"/>
          <w:b/>
          <w:bCs/>
          <w:sz w:val="22"/>
          <w:szCs w:val="22"/>
        </w:rPr>
        <w:t>Cooperation</w:t>
      </w:r>
      <w:r w:rsidR="00A6358D" w:rsidRPr="001237D4">
        <w:rPr>
          <w:rFonts w:asciiTheme="minorHAnsi" w:eastAsiaTheme="minorEastAsia" w:hAnsiTheme="minorHAnsi" w:cstheme="minorBidi"/>
          <w:b/>
          <w:bCs/>
          <w:sz w:val="22"/>
          <w:szCs w:val="22"/>
        </w:rPr>
        <w:t>.</w:t>
      </w:r>
      <w:r w:rsidR="00A6358D">
        <w:rPr>
          <w:rFonts w:asciiTheme="minorHAnsi" w:eastAsiaTheme="minorEastAsia" w:hAnsiTheme="minorHAnsi" w:cstheme="minorBidi"/>
          <w:sz w:val="22"/>
          <w:szCs w:val="22"/>
        </w:rPr>
        <w:t xml:space="preserve"> T</w:t>
      </w:r>
      <w:r w:rsidRPr="001237D4">
        <w:rPr>
          <w:rFonts w:asciiTheme="minorHAnsi" w:eastAsiaTheme="minorEastAsia" w:hAnsiTheme="minorHAnsi" w:cstheme="minorBidi"/>
          <w:sz w:val="22"/>
          <w:szCs w:val="22"/>
        </w:rPr>
        <w:t xml:space="preserve">o mitigate their disadvantage of relying on transit </w:t>
      </w:r>
      <w:r w:rsidR="00A6358D" w:rsidRPr="00A6358D">
        <w:rPr>
          <w:rFonts w:asciiTheme="minorHAnsi" w:eastAsiaTheme="minorEastAsia" w:hAnsiTheme="minorHAnsi" w:cstheme="minorBidi"/>
          <w:sz w:val="22"/>
          <w:szCs w:val="22"/>
        </w:rPr>
        <w:t>neighbours</w:t>
      </w:r>
      <w:r w:rsidRPr="001237D4">
        <w:rPr>
          <w:rFonts w:asciiTheme="minorHAnsi" w:eastAsiaTheme="minorEastAsia" w:hAnsiTheme="minorHAnsi" w:cstheme="minorBidi"/>
          <w:sz w:val="22"/>
          <w:szCs w:val="22"/>
        </w:rPr>
        <w:t xml:space="preserve">, LLDCs must act collectively. The workshop highlighted the power of negotiating as a bloc through regional organizations (like the Asia-Pacific </w:t>
      </w:r>
      <w:proofErr w:type="spellStart"/>
      <w:r w:rsidRPr="001237D4">
        <w:rPr>
          <w:rFonts w:asciiTheme="minorHAnsi" w:eastAsiaTheme="minorEastAsia" w:hAnsiTheme="minorHAnsi" w:cstheme="minorBidi"/>
          <w:sz w:val="22"/>
          <w:szCs w:val="22"/>
        </w:rPr>
        <w:t>Telecommunity</w:t>
      </w:r>
      <w:proofErr w:type="spellEnd"/>
      <w:r w:rsidRPr="001237D4">
        <w:rPr>
          <w:rFonts w:asciiTheme="minorHAnsi" w:eastAsiaTheme="minorEastAsia" w:hAnsiTheme="minorHAnsi" w:cstheme="minorBidi"/>
          <w:sz w:val="22"/>
          <w:szCs w:val="22"/>
        </w:rPr>
        <w:t>) to secure better terms for transit, harmonize regulations, share best practices, and develop joint infrastructure projects like regional Internet Exchange Points (IXPs) to localize content and reduce costs.</w:t>
      </w:r>
    </w:p>
    <w:p w14:paraId="0DF01CB8" w14:textId="77777777" w:rsidR="00627930" w:rsidRPr="001237D4" w:rsidRDefault="00627930" w:rsidP="001237D4">
      <w:pPr>
        <w:pStyle w:val="ListParagraph"/>
        <w:numPr>
          <w:ilvl w:val="0"/>
          <w:numId w:val="1"/>
        </w:numPr>
        <w:spacing w:before="240"/>
        <w:ind w:left="426" w:hanging="426"/>
        <w:contextualSpacing w:val="0"/>
        <w:jc w:val="both"/>
        <w:rPr>
          <w:rFonts w:asciiTheme="minorHAnsi" w:eastAsiaTheme="minorEastAsia" w:hAnsiTheme="minorHAnsi" w:cstheme="minorBidi"/>
          <w:sz w:val="22"/>
          <w:szCs w:val="22"/>
        </w:rPr>
      </w:pPr>
      <w:r w:rsidRPr="001237D4">
        <w:rPr>
          <w:rFonts w:asciiTheme="minorHAnsi" w:eastAsiaTheme="minorEastAsia" w:hAnsiTheme="minorHAnsi" w:cstheme="minorBidi"/>
          <w:b/>
          <w:bCs/>
          <w:sz w:val="22"/>
          <w:szCs w:val="22"/>
        </w:rPr>
        <w:t>Building Local Capacity and Localizing Content is Fundamental for Sustainable Development</w:t>
      </w:r>
      <w:r w:rsidRPr="001237D4">
        <w:rPr>
          <w:rFonts w:asciiTheme="minorHAnsi" w:eastAsiaTheme="minorEastAsia" w:hAnsiTheme="minorHAnsi" w:cstheme="minorBidi"/>
          <w:sz w:val="22"/>
          <w:szCs w:val="22"/>
        </w:rPr>
        <w:t>. Beyond infrastructure, long-term digital inclusion depends on developing local skills and creating a reason to be online. This involves investing in capacity-building programs to create a skilled workforce and implementing strategies to host local content and data within the country or region. This reduces dependency on expensive international bandwidth for foreign content and makes digital ecosystems more relevant and sustainable for local populations.</w:t>
      </w:r>
    </w:p>
    <w:p w14:paraId="027C366C" w14:textId="77777777" w:rsidR="00627930" w:rsidRDefault="00627930" w:rsidP="00627930">
      <w:pPr>
        <w:rPr>
          <w:rFonts w:asciiTheme="minorHAnsi" w:eastAsiaTheme="minorEastAsia" w:hAnsiTheme="minorHAnsi" w:cstheme="minorBidi"/>
          <w:b/>
          <w:bCs/>
          <w:color w:val="0070C0"/>
          <w:sz w:val="22"/>
          <w:szCs w:val="22"/>
        </w:rPr>
      </w:pPr>
    </w:p>
    <w:p w14:paraId="13A33EB8" w14:textId="4CC59419" w:rsidR="00E829D2" w:rsidRPr="001237D4" w:rsidRDefault="00CC71E6" w:rsidP="001237D4">
      <w:pPr>
        <w:spacing w:before="240" w:after="240"/>
        <w:jc w:val="both"/>
        <w:rPr>
          <w:rFonts w:ascii="Aptos" w:eastAsia="Aptos" w:hAnsi="Aptos" w:cs="Aptos"/>
          <w:b/>
          <w:bCs/>
          <w:color w:val="0070C0"/>
          <w:sz w:val="22"/>
          <w:szCs w:val="22"/>
        </w:rPr>
      </w:pPr>
      <w:r w:rsidRPr="001237D4">
        <w:rPr>
          <w:rFonts w:ascii="Aptos" w:eastAsia="Aptos" w:hAnsi="Aptos" w:cs="Aptos"/>
          <w:b/>
          <w:bCs/>
          <w:color w:val="0070C0"/>
          <w:sz w:val="22"/>
          <w:szCs w:val="22"/>
        </w:rPr>
        <w:t>Event feedback</w:t>
      </w:r>
    </w:p>
    <w:p w14:paraId="392D1BA7" w14:textId="77777777" w:rsidR="00E829D2" w:rsidRPr="001237D4" w:rsidRDefault="00E829D2" w:rsidP="001237D4">
      <w:pPr>
        <w:spacing w:before="240"/>
        <w:jc w:val="both"/>
        <w:rPr>
          <w:rFonts w:asciiTheme="minorHAnsi" w:eastAsiaTheme="minorEastAsia" w:hAnsiTheme="minorHAnsi" w:cstheme="minorBidi"/>
          <w:sz w:val="22"/>
          <w:szCs w:val="22"/>
        </w:rPr>
      </w:pPr>
      <w:r w:rsidRPr="001237D4">
        <w:rPr>
          <w:rFonts w:asciiTheme="minorHAnsi" w:eastAsiaTheme="minorEastAsia" w:hAnsiTheme="minorHAnsi" w:cstheme="minorBidi"/>
          <w:sz w:val="22"/>
          <w:szCs w:val="22"/>
        </w:rPr>
        <w:t>An online feedback form was developed to collect participants’ evaluations of the workshop. The responses were overwhelmingly positive, with more than 90</w:t>
      </w:r>
      <w:r w:rsidRPr="001237D4">
        <w:rPr>
          <w:rFonts w:ascii="Arial" w:eastAsiaTheme="minorEastAsia" w:hAnsi="Arial" w:cs="Arial"/>
          <w:sz w:val="22"/>
          <w:szCs w:val="22"/>
        </w:rPr>
        <w:t> </w:t>
      </w:r>
      <w:r w:rsidRPr="001237D4">
        <w:rPr>
          <w:rFonts w:asciiTheme="minorHAnsi" w:eastAsiaTheme="minorEastAsia" w:hAnsiTheme="minorHAnsi" w:cstheme="minorBidi"/>
          <w:sz w:val="22"/>
          <w:szCs w:val="22"/>
        </w:rPr>
        <w:t>percent indicating that they were satisfied with the content and delivery, and that the workshop met its stated objectives. This evaluation provides essential insights for future improvements, refining planning, enhancing content, and defining the scope of future similar events.</w:t>
      </w:r>
    </w:p>
    <w:tbl>
      <w:tblPr>
        <w:tblStyle w:val="TableGrid"/>
        <w:tblW w:w="0" w:type="auto"/>
        <w:tblLook w:val="04A0" w:firstRow="1" w:lastRow="0" w:firstColumn="1" w:lastColumn="0" w:noHBand="0" w:noVBand="1"/>
      </w:tblPr>
      <w:tblGrid>
        <w:gridCol w:w="8550"/>
      </w:tblGrid>
      <w:tr w:rsidR="00E829D2" w:rsidRPr="00214A14" w14:paraId="6AF51CFF" w14:textId="77777777" w:rsidTr="004B1361">
        <w:tc>
          <w:tcPr>
            <w:tcW w:w="9016" w:type="dxa"/>
          </w:tcPr>
          <w:p w14:paraId="128A9EA7" w14:textId="10E617AC" w:rsidR="00E829D2" w:rsidRPr="00214A14" w:rsidRDefault="0042125A" w:rsidP="004B1361">
            <w:pPr>
              <w:spacing w:before="100" w:beforeAutospacing="1" w:after="100" w:afterAutospacing="1"/>
              <w:jc w:val="center"/>
              <w:rPr>
                <w:rFonts w:ascii="Calibri" w:eastAsia="Calibri" w:hAnsi="Calibri" w:cs="Calibri"/>
              </w:rPr>
            </w:pPr>
            <w:r w:rsidRPr="0042125A">
              <w:rPr>
                <w:rFonts w:ascii="Calibri" w:eastAsia="Calibri" w:hAnsi="Calibri" w:cs="Calibri"/>
                <w:noProof/>
              </w:rPr>
              <w:drawing>
                <wp:inline distT="0" distB="0" distL="0" distR="0" wp14:anchorId="6626E777" wp14:editId="7D8AB318">
                  <wp:extent cx="5435600" cy="1881505"/>
                  <wp:effectExtent l="0" t="0" r="0" b="4445"/>
                  <wp:docPr id="1758783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783303" name=""/>
                          <pic:cNvPicPr/>
                        </pic:nvPicPr>
                        <pic:blipFill>
                          <a:blip r:embed="rId13"/>
                          <a:stretch>
                            <a:fillRect/>
                          </a:stretch>
                        </pic:blipFill>
                        <pic:spPr>
                          <a:xfrm>
                            <a:off x="0" y="0"/>
                            <a:ext cx="5435600" cy="1881505"/>
                          </a:xfrm>
                          <a:prstGeom prst="rect">
                            <a:avLst/>
                          </a:prstGeom>
                        </pic:spPr>
                      </pic:pic>
                    </a:graphicData>
                  </a:graphic>
                </wp:inline>
              </w:drawing>
            </w:r>
          </w:p>
        </w:tc>
      </w:tr>
      <w:tr w:rsidR="00E829D2" w:rsidRPr="00214A14" w14:paraId="6613BB84" w14:textId="77777777" w:rsidTr="004B1361">
        <w:tc>
          <w:tcPr>
            <w:tcW w:w="9016" w:type="dxa"/>
          </w:tcPr>
          <w:p w14:paraId="5866428B" w14:textId="16E395D0" w:rsidR="00E829D2" w:rsidRPr="00214A14" w:rsidRDefault="002262EA" w:rsidP="004B1361">
            <w:pPr>
              <w:spacing w:before="100" w:beforeAutospacing="1" w:after="100" w:afterAutospacing="1"/>
              <w:jc w:val="center"/>
            </w:pPr>
            <w:r w:rsidRPr="002262EA">
              <w:rPr>
                <w:noProof/>
              </w:rPr>
              <w:drawing>
                <wp:inline distT="0" distB="0" distL="0" distR="0" wp14:anchorId="33F7164B" wp14:editId="291F0AE6">
                  <wp:extent cx="5435600" cy="1796415"/>
                  <wp:effectExtent l="0" t="0" r="0" b="0"/>
                  <wp:docPr id="1244058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58642" name=""/>
                          <pic:cNvPicPr/>
                        </pic:nvPicPr>
                        <pic:blipFill>
                          <a:blip r:embed="rId14"/>
                          <a:stretch>
                            <a:fillRect/>
                          </a:stretch>
                        </pic:blipFill>
                        <pic:spPr>
                          <a:xfrm>
                            <a:off x="0" y="0"/>
                            <a:ext cx="5435600" cy="1796415"/>
                          </a:xfrm>
                          <a:prstGeom prst="rect">
                            <a:avLst/>
                          </a:prstGeom>
                        </pic:spPr>
                      </pic:pic>
                    </a:graphicData>
                  </a:graphic>
                </wp:inline>
              </w:drawing>
            </w:r>
          </w:p>
        </w:tc>
      </w:tr>
      <w:tr w:rsidR="00E829D2" w:rsidRPr="00214A14" w14:paraId="0B1F1A69" w14:textId="77777777" w:rsidTr="004B1361">
        <w:tc>
          <w:tcPr>
            <w:tcW w:w="9016" w:type="dxa"/>
          </w:tcPr>
          <w:p w14:paraId="1E0D9BCF" w14:textId="62F6F34E" w:rsidR="00E829D2" w:rsidRPr="00214A14" w:rsidRDefault="002262EA" w:rsidP="004B1361">
            <w:pPr>
              <w:spacing w:before="100" w:beforeAutospacing="1" w:after="100" w:afterAutospacing="1"/>
              <w:jc w:val="both"/>
            </w:pPr>
            <w:r w:rsidRPr="002262EA">
              <w:rPr>
                <w:noProof/>
              </w:rPr>
              <w:lastRenderedPageBreak/>
              <w:drawing>
                <wp:inline distT="0" distB="0" distL="0" distR="0" wp14:anchorId="36E0DFF0" wp14:editId="6BFBC38A">
                  <wp:extent cx="5435600" cy="1685290"/>
                  <wp:effectExtent l="0" t="0" r="0" b="0"/>
                  <wp:docPr id="1591985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985209" name=""/>
                          <pic:cNvPicPr/>
                        </pic:nvPicPr>
                        <pic:blipFill>
                          <a:blip r:embed="rId15"/>
                          <a:stretch>
                            <a:fillRect/>
                          </a:stretch>
                        </pic:blipFill>
                        <pic:spPr>
                          <a:xfrm>
                            <a:off x="0" y="0"/>
                            <a:ext cx="5435600" cy="1685290"/>
                          </a:xfrm>
                          <a:prstGeom prst="rect">
                            <a:avLst/>
                          </a:prstGeom>
                        </pic:spPr>
                      </pic:pic>
                    </a:graphicData>
                  </a:graphic>
                </wp:inline>
              </w:drawing>
            </w:r>
          </w:p>
        </w:tc>
      </w:tr>
      <w:tr w:rsidR="00E829D2" w:rsidRPr="00214A14" w14:paraId="45B2B55F" w14:textId="77777777" w:rsidTr="004B1361">
        <w:tc>
          <w:tcPr>
            <w:tcW w:w="9016" w:type="dxa"/>
          </w:tcPr>
          <w:p w14:paraId="4344E930" w14:textId="1088C978" w:rsidR="00E829D2" w:rsidRPr="00214A14" w:rsidRDefault="002262EA" w:rsidP="004B1361">
            <w:pPr>
              <w:spacing w:before="100" w:beforeAutospacing="1" w:after="100" w:afterAutospacing="1"/>
              <w:jc w:val="both"/>
            </w:pPr>
            <w:r w:rsidRPr="002262EA">
              <w:rPr>
                <w:noProof/>
              </w:rPr>
              <w:drawing>
                <wp:inline distT="0" distB="0" distL="0" distR="0" wp14:anchorId="6AA5B8F0" wp14:editId="72B4BFCD">
                  <wp:extent cx="5435600" cy="3094990"/>
                  <wp:effectExtent l="0" t="0" r="0" b="0"/>
                  <wp:docPr id="1488500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00647" name=""/>
                          <pic:cNvPicPr/>
                        </pic:nvPicPr>
                        <pic:blipFill>
                          <a:blip r:embed="rId16"/>
                          <a:stretch>
                            <a:fillRect/>
                          </a:stretch>
                        </pic:blipFill>
                        <pic:spPr>
                          <a:xfrm>
                            <a:off x="0" y="0"/>
                            <a:ext cx="5435600" cy="3094990"/>
                          </a:xfrm>
                          <a:prstGeom prst="rect">
                            <a:avLst/>
                          </a:prstGeom>
                        </pic:spPr>
                      </pic:pic>
                    </a:graphicData>
                  </a:graphic>
                </wp:inline>
              </w:drawing>
            </w:r>
          </w:p>
        </w:tc>
      </w:tr>
      <w:tr w:rsidR="00E829D2" w:rsidRPr="00214A14" w14:paraId="2DF28030" w14:textId="77777777" w:rsidTr="004B1361">
        <w:tc>
          <w:tcPr>
            <w:tcW w:w="9016" w:type="dxa"/>
          </w:tcPr>
          <w:p w14:paraId="73E4DCAB" w14:textId="7CE63DE5" w:rsidR="00E829D2" w:rsidRPr="00214A14" w:rsidRDefault="00AA0744" w:rsidP="004B1361">
            <w:pPr>
              <w:spacing w:before="100" w:beforeAutospacing="1" w:after="100" w:afterAutospacing="1"/>
              <w:jc w:val="both"/>
            </w:pPr>
            <w:r w:rsidRPr="00AA0744">
              <w:rPr>
                <w:noProof/>
              </w:rPr>
              <w:drawing>
                <wp:inline distT="0" distB="0" distL="0" distR="0" wp14:anchorId="27E16E8F" wp14:editId="0E5B1AE0">
                  <wp:extent cx="5435600" cy="1449070"/>
                  <wp:effectExtent l="0" t="0" r="0" b="0"/>
                  <wp:docPr id="1012729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29223" name=""/>
                          <pic:cNvPicPr/>
                        </pic:nvPicPr>
                        <pic:blipFill>
                          <a:blip r:embed="rId17"/>
                          <a:stretch>
                            <a:fillRect/>
                          </a:stretch>
                        </pic:blipFill>
                        <pic:spPr>
                          <a:xfrm>
                            <a:off x="0" y="0"/>
                            <a:ext cx="5435600" cy="1449070"/>
                          </a:xfrm>
                          <a:prstGeom prst="rect">
                            <a:avLst/>
                          </a:prstGeom>
                        </pic:spPr>
                      </pic:pic>
                    </a:graphicData>
                  </a:graphic>
                </wp:inline>
              </w:drawing>
            </w:r>
          </w:p>
        </w:tc>
      </w:tr>
      <w:tr w:rsidR="00E829D2" w:rsidRPr="00214A14" w14:paraId="033EDEA1" w14:textId="77777777" w:rsidTr="004B1361">
        <w:tc>
          <w:tcPr>
            <w:tcW w:w="9016" w:type="dxa"/>
          </w:tcPr>
          <w:p w14:paraId="4B2C72D9" w14:textId="427C8037" w:rsidR="00E829D2" w:rsidRPr="00214A14" w:rsidRDefault="00E829D2" w:rsidP="004B1361">
            <w:pPr>
              <w:spacing w:before="100" w:beforeAutospacing="1" w:after="100" w:afterAutospacing="1"/>
              <w:jc w:val="both"/>
            </w:pPr>
          </w:p>
        </w:tc>
      </w:tr>
      <w:tr w:rsidR="00AA0744" w:rsidRPr="00214A14" w14:paraId="740D1CBA" w14:textId="77777777" w:rsidTr="004B1361">
        <w:tc>
          <w:tcPr>
            <w:tcW w:w="9016" w:type="dxa"/>
          </w:tcPr>
          <w:p w14:paraId="63E5702B" w14:textId="2D4ADB46" w:rsidR="00AA0744" w:rsidRPr="00214A14" w:rsidRDefault="00164C07" w:rsidP="004B1361">
            <w:pPr>
              <w:spacing w:before="100" w:beforeAutospacing="1" w:after="100" w:afterAutospacing="1"/>
              <w:jc w:val="both"/>
            </w:pPr>
            <w:r w:rsidRPr="00164C07">
              <w:rPr>
                <w:noProof/>
              </w:rPr>
              <w:drawing>
                <wp:inline distT="0" distB="0" distL="0" distR="0" wp14:anchorId="2BCACA79" wp14:editId="1DC646B8">
                  <wp:extent cx="5435600" cy="1449070"/>
                  <wp:effectExtent l="0" t="0" r="0" b="0"/>
                  <wp:docPr id="1566142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142608" name=""/>
                          <pic:cNvPicPr/>
                        </pic:nvPicPr>
                        <pic:blipFill>
                          <a:blip r:embed="rId18"/>
                          <a:stretch>
                            <a:fillRect/>
                          </a:stretch>
                        </pic:blipFill>
                        <pic:spPr>
                          <a:xfrm>
                            <a:off x="0" y="0"/>
                            <a:ext cx="5435600" cy="1449070"/>
                          </a:xfrm>
                          <a:prstGeom prst="rect">
                            <a:avLst/>
                          </a:prstGeom>
                        </pic:spPr>
                      </pic:pic>
                    </a:graphicData>
                  </a:graphic>
                </wp:inline>
              </w:drawing>
            </w:r>
          </w:p>
        </w:tc>
      </w:tr>
      <w:tr w:rsidR="004523F0" w:rsidRPr="00214A14" w14:paraId="4373A513" w14:textId="77777777" w:rsidTr="004B1361">
        <w:tc>
          <w:tcPr>
            <w:tcW w:w="9016" w:type="dxa"/>
          </w:tcPr>
          <w:p w14:paraId="430F77CC" w14:textId="18168B9D" w:rsidR="004523F0" w:rsidRPr="00164C07" w:rsidRDefault="004523F0" w:rsidP="004B1361">
            <w:pPr>
              <w:spacing w:before="100" w:beforeAutospacing="1" w:after="100" w:afterAutospacing="1"/>
              <w:jc w:val="both"/>
            </w:pPr>
            <w:r w:rsidRPr="004523F0">
              <w:rPr>
                <w:noProof/>
              </w:rPr>
              <w:lastRenderedPageBreak/>
              <w:drawing>
                <wp:inline distT="0" distB="0" distL="0" distR="0" wp14:anchorId="33F6B22B" wp14:editId="46BD3FF3">
                  <wp:extent cx="5168181" cy="1901239"/>
                  <wp:effectExtent l="0" t="0" r="0" b="3810"/>
                  <wp:docPr id="1264914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914692" name=""/>
                          <pic:cNvPicPr/>
                        </pic:nvPicPr>
                        <pic:blipFill>
                          <a:blip r:embed="rId19"/>
                          <a:stretch>
                            <a:fillRect/>
                          </a:stretch>
                        </pic:blipFill>
                        <pic:spPr>
                          <a:xfrm>
                            <a:off x="0" y="0"/>
                            <a:ext cx="5172927" cy="1902985"/>
                          </a:xfrm>
                          <a:prstGeom prst="rect">
                            <a:avLst/>
                          </a:prstGeom>
                        </pic:spPr>
                      </pic:pic>
                    </a:graphicData>
                  </a:graphic>
                </wp:inline>
              </w:drawing>
            </w:r>
          </w:p>
        </w:tc>
      </w:tr>
    </w:tbl>
    <w:p w14:paraId="1DEF7A44" w14:textId="77777777" w:rsidR="00E829D2" w:rsidRDefault="00E829D2" w:rsidP="00E829D2"/>
    <w:p w14:paraId="45E62B5E" w14:textId="77777777" w:rsidR="00E829D2" w:rsidRDefault="00E829D2" w:rsidP="00E829D2"/>
    <w:tbl>
      <w:tblPr>
        <w:tblStyle w:val="ListTable3-Accent1"/>
        <w:tblW w:w="9450" w:type="dxa"/>
        <w:tblLook w:val="04A0" w:firstRow="1" w:lastRow="0" w:firstColumn="1" w:lastColumn="0" w:noHBand="0" w:noVBand="1"/>
      </w:tblPr>
      <w:tblGrid>
        <w:gridCol w:w="9450"/>
      </w:tblGrid>
      <w:tr w:rsidR="00E829D2" w:rsidRPr="007C5887" w14:paraId="57F7D110" w14:textId="77777777" w:rsidTr="001237D4">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dxa"/>
            <w:noWrap/>
            <w:hideMark/>
          </w:tcPr>
          <w:p w14:paraId="2A1A8F4A" w14:textId="77777777" w:rsidR="00E829D2" w:rsidRPr="007C5887" w:rsidRDefault="00E829D2" w:rsidP="004B1361">
            <w:pPr>
              <w:rPr>
                <w:rFonts w:ascii="Calibri" w:hAnsi="Calibri" w:cs="Calibri"/>
                <w:b w:val="0"/>
                <w:bCs w:val="0"/>
                <w:color w:val="FFFFFF"/>
              </w:rPr>
            </w:pPr>
            <w:r w:rsidRPr="007C5887">
              <w:rPr>
                <w:rFonts w:ascii="Calibri" w:hAnsi="Calibri" w:cs="Calibri"/>
                <w:color w:val="FFFFFF"/>
              </w:rPr>
              <w:t xml:space="preserve">What other topics should be considered in future </w:t>
            </w:r>
            <w:r>
              <w:rPr>
                <w:rFonts w:ascii="Calibri" w:hAnsi="Calibri" w:cs="Calibri"/>
                <w:color w:val="FFFFFF"/>
              </w:rPr>
              <w:t>events</w:t>
            </w:r>
            <w:r w:rsidRPr="007C5887">
              <w:rPr>
                <w:rFonts w:ascii="Calibri" w:hAnsi="Calibri" w:cs="Calibri"/>
                <w:color w:val="FFFFFF"/>
              </w:rPr>
              <w:t>?</w:t>
            </w:r>
          </w:p>
        </w:tc>
      </w:tr>
      <w:tr w:rsidR="004523F0" w:rsidRPr="007C5887" w14:paraId="2C1FEF5B" w14:textId="77777777" w:rsidTr="001237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91C4214" w14:textId="669FD4A9" w:rsidR="004523F0" w:rsidRPr="001237D4" w:rsidRDefault="004523F0" w:rsidP="001237D4">
            <w:pPr>
              <w:jc w:val="both"/>
              <w:rPr>
                <w:rFonts w:asciiTheme="minorHAnsi" w:eastAsiaTheme="minorEastAsia" w:hAnsiTheme="minorHAnsi" w:cstheme="minorBidi"/>
                <w:b w:val="0"/>
                <w:bCs w:val="0"/>
                <w:sz w:val="22"/>
                <w:szCs w:val="22"/>
              </w:rPr>
            </w:pPr>
            <w:r w:rsidRPr="001237D4">
              <w:rPr>
                <w:rFonts w:asciiTheme="minorHAnsi" w:eastAsiaTheme="minorEastAsia" w:hAnsiTheme="minorHAnsi" w:cstheme="minorBidi"/>
                <w:sz w:val="22"/>
                <w:szCs w:val="22"/>
              </w:rPr>
              <w:t xml:space="preserve"> More about space connectivity and Public private partnership in space sector</w:t>
            </w:r>
          </w:p>
        </w:tc>
      </w:tr>
      <w:tr w:rsidR="004523F0" w:rsidRPr="007C5887" w14:paraId="67832CDA" w14:textId="77777777" w:rsidTr="001237D4">
        <w:trPr>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602E33B9" w14:textId="340C197B" w:rsidR="004523F0" w:rsidRPr="001237D4" w:rsidRDefault="004523F0" w:rsidP="001237D4">
            <w:pPr>
              <w:jc w:val="both"/>
              <w:rPr>
                <w:rFonts w:asciiTheme="minorHAnsi" w:eastAsiaTheme="minorEastAsia" w:hAnsiTheme="minorHAnsi" w:cstheme="minorBidi"/>
                <w:b w:val="0"/>
                <w:bCs w:val="0"/>
                <w:sz w:val="22"/>
                <w:szCs w:val="22"/>
              </w:rPr>
            </w:pPr>
            <w:r w:rsidRPr="001237D4">
              <w:rPr>
                <w:rFonts w:asciiTheme="minorHAnsi" w:eastAsiaTheme="minorEastAsia" w:hAnsiTheme="minorHAnsi" w:cstheme="minorBidi"/>
                <w:sz w:val="22"/>
                <w:szCs w:val="22"/>
              </w:rPr>
              <w:t>Focus on WRC standards</w:t>
            </w:r>
          </w:p>
        </w:tc>
      </w:tr>
      <w:tr w:rsidR="004523F0" w:rsidRPr="007C5887" w14:paraId="2FFCAEDA" w14:textId="77777777" w:rsidTr="001237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E5C8F92" w14:textId="1C5ECD42" w:rsidR="004523F0" w:rsidRPr="001237D4" w:rsidRDefault="004523F0" w:rsidP="001237D4">
            <w:pPr>
              <w:jc w:val="both"/>
              <w:rPr>
                <w:rFonts w:asciiTheme="minorHAnsi" w:eastAsiaTheme="minorEastAsia" w:hAnsiTheme="minorHAnsi" w:cstheme="minorBidi"/>
                <w:b w:val="0"/>
                <w:bCs w:val="0"/>
                <w:sz w:val="22"/>
                <w:szCs w:val="22"/>
              </w:rPr>
            </w:pPr>
            <w:r w:rsidRPr="001237D4">
              <w:rPr>
                <w:rFonts w:asciiTheme="minorHAnsi" w:eastAsiaTheme="minorEastAsia" w:hAnsiTheme="minorHAnsi" w:cstheme="minorBidi"/>
                <w:sz w:val="22"/>
                <w:szCs w:val="22"/>
              </w:rPr>
              <w:t>All technologies used for every warning system.</w:t>
            </w:r>
          </w:p>
        </w:tc>
      </w:tr>
      <w:tr w:rsidR="004523F0" w:rsidRPr="007C5887" w14:paraId="490A901D" w14:textId="77777777" w:rsidTr="001237D4">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BCCC0BB" w14:textId="01F7F08A" w:rsidR="004523F0" w:rsidRPr="001237D4" w:rsidRDefault="004523F0" w:rsidP="001237D4">
            <w:pPr>
              <w:jc w:val="both"/>
              <w:rPr>
                <w:rFonts w:asciiTheme="minorHAnsi" w:eastAsiaTheme="minorEastAsia" w:hAnsiTheme="minorHAnsi" w:cstheme="minorBidi"/>
                <w:b w:val="0"/>
                <w:bCs w:val="0"/>
                <w:sz w:val="22"/>
                <w:szCs w:val="22"/>
              </w:rPr>
            </w:pPr>
            <w:r w:rsidRPr="001237D4">
              <w:rPr>
                <w:rFonts w:asciiTheme="minorHAnsi" w:eastAsiaTheme="minorEastAsia" w:hAnsiTheme="minorHAnsi" w:cstheme="minorBidi"/>
                <w:sz w:val="22"/>
                <w:szCs w:val="22"/>
              </w:rPr>
              <w:t>Spectrum Pricing/Auction</w:t>
            </w:r>
          </w:p>
        </w:tc>
      </w:tr>
      <w:tr w:rsidR="004523F0" w:rsidRPr="007C5887" w14:paraId="125EBA30" w14:textId="77777777" w:rsidTr="001237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5477BA2" w14:textId="082AC1A1" w:rsidR="004523F0" w:rsidRPr="001237D4" w:rsidRDefault="004523F0" w:rsidP="001237D4">
            <w:pPr>
              <w:jc w:val="both"/>
              <w:rPr>
                <w:rFonts w:asciiTheme="minorHAnsi" w:eastAsiaTheme="minorEastAsia" w:hAnsiTheme="minorHAnsi" w:cstheme="minorBidi"/>
                <w:b w:val="0"/>
                <w:bCs w:val="0"/>
                <w:sz w:val="22"/>
                <w:szCs w:val="22"/>
              </w:rPr>
            </w:pPr>
            <w:r w:rsidRPr="001237D4">
              <w:rPr>
                <w:rFonts w:asciiTheme="minorHAnsi" w:eastAsiaTheme="minorEastAsia" w:hAnsiTheme="minorHAnsi" w:cstheme="minorBidi"/>
                <w:sz w:val="22"/>
                <w:szCs w:val="22"/>
              </w:rPr>
              <w:t xml:space="preserve">Use of satellite in early warning system </w:t>
            </w:r>
          </w:p>
        </w:tc>
      </w:tr>
      <w:tr w:rsidR="004523F0" w:rsidRPr="007C5887" w14:paraId="0AB9953B" w14:textId="77777777" w:rsidTr="001237D4">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7199017" w14:textId="2297E701" w:rsidR="004523F0" w:rsidRPr="001237D4" w:rsidRDefault="004523F0" w:rsidP="001237D4">
            <w:pPr>
              <w:jc w:val="both"/>
              <w:rPr>
                <w:rFonts w:asciiTheme="minorHAnsi" w:eastAsiaTheme="minorEastAsia" w:hAnsiTheme="minorHAnsi" w:cstheme="minorBidi"/>
                <w:b w:val="0"/>
                <w:bCs w:val="0"/>
                <w:sz w:val="22"/>
                <w:szCs w:val="22"/>
              </w:rPr>
            </w:pPr>
            <w:r w:rsidRPr="001237D4">
              <w:rPr>
                <w:rFonts w:asciiTheme="minorHAnsi" w:eastAsiaTheme="minorEastAsia" w:hAnsiTheme="minorHAnsi" w:cstheme="minorBidi"/>
                <w:sz w:val="22"/>
                <w:szCs w:val="22"/>
              </w:rPr>
              <w:t>Sustainability of RF resource, NTN</w:t>
            </w:r>
          </w:p>
        </w:tc>
      </w:tr>
      <w:tr w:rsidR="004523F0" w:rsidRPr="007C5887" w14:paraId="3D9AA24D" w14:textId="77777777" w:rsidTr="001237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C9EA7DE" w14:textId="0E636F90" w:rsidR="004523F0" w:rsidRPr="001237D4" w:rsidRDefault="004523F0" w:rsidP="001237D4">
            <w:pPr>
              <w:jc w:val="both"/>
              <w:rPr>
                <w:rFonts w:asciiTheme="minorHAnsi" w:eastAsiaTheme="minorEastAsia" w:hAnsiTheme="minorHAnsi" w:cstheme="minorBidi"/>
                <w:b w:val="0"/>
                <w:bCs w:val="0"/>
                <w:sz w:val="22"/>
                <w:szCs w:val="22"/>
              </w:rPr>
            </w:pPr>
            <w:r w:rsidRPr="001237D4">
              <w:rPr>
                <w:rFonts w:asciiTheme="minorHAnsi" w:eastAsiaTheme="minorEastAsia" w:hAnsiTheme="minorHAnsi" w:cstheme="minorBidi"/>
                <w:sz w:val="22"/>
                <w:szCs w:val="22"/>
              </w:rPr>
              <w:t>Satellite Frequency coordination, Integration of TN and NTN</w:t>
            </w:r>
          </w:p>
        </w:tc>
      </w:tr>
      <w:tr w:rsidR="004523F0" w:rsidRPr="007C5887" w14:paraId="4E51DA94" w14:textId="77777777" w:rsidTr="001237D4">
        <w:trPr>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28BBF925" w14:textId="39D0568A" w:rsidR="004523F0" w:rsidRPr="001237D4" w:rsidRDefault="004523F0" w:rsidP="001237D4">
            <w:pPr>
              <w:jc w:val="both"/>
              <w:rPr>
                <w:rFonts w:asciiTheme="minorHAnsi" w:eastAsiaTheme="minorEastAsia" w:hAnsiTheme="minorHAnsi" w:cstheme="minorBidi"/>
                <w:b w:val="0"/>
                <w:bCs w:val="0"/>
                <w:sz w:val="22"/>
                <w:szCs w:val="22"/>
              </w:rPr>
            </w:pPr>
            <w:r w:rsidRPr="001237D4">
              <w:rPr>
                <w:rFonts w:asciiTheme="minorHAnsi" w:eastAsiaTheme="minorEastAsia" w:hAnsiTheme="minorHAnsi" w:cstheme="minorBidi"/>
                <w:sz w:val="22"/>
                <w:szCs w:val="22"/>
              </w:rPr>
              <w:t>How to regulate future trends technology such as 5G/6G, IoT and IXP, MIX etc.</w:t>
            </w:r>
          </w:p>
        </w:tc>
      </w:tr>
      <w:tr w:rsidR="004523F0" w:rsidRPr="007C5887" w14:paraId="3F11BEF8" w14:textId="77777777" w:rsidTr="001237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53B4D50" w14:textId="19879773" w:rsidR="004523F0" w:rsidRPr="001237D4" w:rsidRDefault="004523F0" w:rsidP="001237D4">
            <w:pPr>
              <w:jc w:val="both"/>
              <w:rPr>
                <w:rFonts w:asciiTheme="minorHAnsi" w:eastAsiaTheme="minorEastAsia" w:hAnsiTheme="minorHAnsi" w:cstheme="minorBidi"/>
                <w:b w:val="0"/>
                <w:bCs w:val="0"/>
                <w:sz w:val="22"/>
                <w:szCs w:val="22"/>
              </w:rPr>
            </w:pPr>
            <w:r w:rsidRPr="001237D4">
              <w:rPr>
                <w:rFonts w:asciiTheme="minorHAnsi" w:eastAsiaTheme="minorEastAsia" w:hAnsiTheme="minorHAnsi" w:cstheme="minorBidi"/>
                <w:sz w:val="22"/>
                <w:szCs w:val="22"/>
              </w:rPr>
              <w:t>Regulatory framework best practices for new technology particularly for satellite services</w:t>
            </w:r>
          </w:p>
        </w:tc>
      </w:tr>
      <w:tr w:rsidR="004523F0" w:rsidRPr="007C5887" w14:paraId="477DD8F4" w14:textId="77777777" w:rsidTr="001237D4">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6D7FFD2" w14:textId="34F69612" w:rsidR="004523F0" w:rsidRPr="001237D4" w:rsidRDefault="004523F0" w:rsidP="001237D4">
            <w:pPr>
              <w:jc w:val="both"/>
              <w:rPr>
                <w:rFonts w:asciiTheme="minorHAnsi" w:eastAsiaTheme="minorEastAsia" w:hAnsiTheme="minorHAnsi" w:cstheme="minorBidi"/>
                <w:b w:val="0"/>
                <w:bCs w:val="0"/>
                <w:sz w:val="22"/>
                <w:szCs w:val="22"/>
              </w:rPr>
            </w:pPr>
            <w:r w:rsidRPr="001237D4">
              <w:rPr>
                <w:rFonts w:asciiTheme="minorHAnsi" w:eastAsiaTheme="minorEastAsia" w:hAnsiTheme="minorHAnsi" w:cstheme="minorBidi"/>
                <w:sz w:val="22"/>
                <w:szCs w:val="22"/>
              </w:rPr>
              <w:t>Regional digital infrastructure development such as IXP, DC etc</w:t>
            </w:r>
          </w:p>
        </w:tc>
      </w:tr>
      <w:tr w:rsidR="004523F0" w:rsidRPr="007C5887" w14:paraId="06E6D9E6" w14:textId="77777777" w:rsidTr="001237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1F8F549" w14:textId="48558910" w:rsidR="004523F0" w:rsidRPr="001237D4" w:rsidRDefault="004523F0" w:rsidP="001237D4">
            <w:pPr>
              <w:jc w:val="both"/>
              <w:rPr>
                <w:rFonts w:asciiTheme="minorHAnsi" w:eastAsiaTheme="minorEastAsia" w:hAnsiTheme="minorHAnsi" w:cstheme="minorBidi"/>
                <w:b w:val="0"/>
                <w:bCs w:val="0"/>
                <w:sz w:val="22"/>
                <w:szCs w:val="22"/>
              </w:rPr>
            </w:pPr>
            <w:r w:rsidRPr="001237D4">
              <w:rPr>
                <w:rFonts w:asciiTheme="minorHAnsi" w:eastAsiaTheme="minorEastAsia" w:hAnsiTheme="minorHAnsi" w:cstheme="minorBidi"/>
                <w:sz w:val="22"/>
                <w:szCs w:val="22"/>
              </w:rPr>
              <w:t>DIGITAL INCLUSION</w:t>
            </w:r>
          </w:p>
        </w:tc>
      </w:tr>
      <w:tr w:rsidR="004523F0" w:rsidRPr="007C5887" w14:paraId="3C2D62E6" w14:textId="77777777" w:rsidTr="001237D4">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1420101" w14:textId="51FA1380" w:rsidR="004523F0" w:rsidRPr="001237D4" w:rsidRDefault="004523F0" w:rsidP="001237D4">
            <w:pPr>
              <w:jc w:val="both"/>
              <w:rPr>
                <w:rFonts w:asciiTheme="minorHAnsi" w:eastAsiaTheme="minorEastAsia" w:hAnsiTheme="minorHAnsi" w:cstheme="minorBidi"/>
                <w:b w:val="0"/>
                <w:bCs w:val="0"/>
                <w:sz w:val="22"/>
                <w:szCs w:val="22"/>
              </w:rPr>
            </w:pPr>
            <w:r w:rsidRPr="001237D4">
              <w:rPr>
                <w:rFonts w:asciiTheme="minorHAnsi" w:eastAsiaTheme="minorEastAsia" w:hAnsiTheme="minorHAnsi" w:cstheme="minorBidi"/>
                <w:sz w:val="22"/>
                <w:szCs w:val="22"/>
              </w:rPr>
              <w:t>Amateurs service</w:t>
            </w:r>
          </w:p>
        </w:tc>
      </w:tr>
      <w:tr w:rsidR="004523F0" w:rsidRPr="007C5887" w14:paraId="1A1D4232" w14:textId="77777777" w:rsidTr="001237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0647D07" w14:textId="4DA39F3E" w:rsidR="004523F0" w:rsidRPr="001237D4" w:rsidRDefault="004523F0" w:rsidP="001237D4">
            <w:pPr>
              <w:jc w:val="both"/>
              <w:rPr>
                <w:rFonts w:asciiTheme="minorHAnsi" w:eastAsiaTheme="minorEastAsia" w:hAnsiTheme="minorHAnsi" w:cstheme="minorBidi"/>
                <w:b w:val="0"/>
                <w:bCs w:val="0"/>
                <w:sz w:val="22"/>
                <w:szCs w:val="22"/>
              </w:rPr>
            </w:pPr>
            <w:r w:rsidRPr="001237D4">
              <w:rPr>
                <w:rFonts w:asciiTheme="minorHAnsi" w:eastAsiaTheme="minorEastAsia" w:hAnsiTheme="minorHAnsi" w:cstheme="minorBidi"/>
                <w:sz w:val="22"/>
                <w:szCs w:val="22"/>
              </w:rPr>
              <w:t>Spectrum Harmonization &amp; RF Planning for Neighbouring Countries.</w:t>
            </w:r>
          </w:p>
        </w:tc>
      </w:tr>
      <w:tr w:rsidR="004523F0" w:rsidRPr="007C5887" w14:paraId="4E286E10" w14:textId="77777777" w:rsidTr="001237D4">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F814B08" w14:textId="72D826FB" w:rsidR="004523F0" w:rsidRPr="001237D4" w:rsidRDefault="004523F0" w:rsidP="001237D4">
            <w:pPr>
              <w:jc w:val="both"/>
              <w:rPr>
                <w:rFonts w:asciiTheme="minorHAnsi" w:eastAsiaTheme="minorEastAsia" w:hAnsiTheme="minorHAnsi" w:cstheme="minorBidi"/>
                <w:b w:val="0"/>
                <w:bCs w:val="0"/>
                <w:sz w:val="22"/>
                <w:szCs w:val="22"/>
              </w:rPr>
            </w:pPr>
            <w:r w:rsidRPr="001237D4">
              <w:rPr>
                <w:rFonts w:asciiTheme="minorHAnsi" w:eastAsiaTheme="minorEastAsia" w:hAnsiTheme="minorHAnsi" w:cstheme="minorBidi"/>
                <w:sz w:val="22"/>
                <w:szCs w:val="22"/>
              </w:rPr>
              <w:t xml:space="preserve"> CYBER SECURITY AND SUSTAINABLE ICT</w:t>
            </w:r>
          </w:p>
        </w:tc>
      </w:tr>
    </w:tbl>
    <w:p w14:paraId="57BBA631" w14:textId="77777777" w:rsidR="00E829D2" w:rsidRDefault="00E829D2" w:rsidP="00E829D2"/>
    <w:p w14:paraId="54E398E4" w14:textId="77777777" w:rsidR="00E829D2" w:rsidRPr="001237D4" w:rsidRDefault="00E829D2" w:rsidP="001237D4">
      <w:pPr>
        <w:spacing w:before="240" w:after="240"/>
        <w:jc w:val="both"/>
        <w:rPr>
          <w:rFonts w:ascii="Aptos" w:eastAsia="Aptos" w:hAnsi="Aptos" w:cs="Aptos"/>
          <w:b/>
          <w:bCs/>
          <w:color w:val="0070C0"/>
          <w:sz w:val="22"/>
          <w:szCs w:val="22"/>
        </w:rPr>
      </w:pPr>
      <w:r w:rsidRPr="001237D4">
        <w:rPr>
          <w:rFonts w:ascii="Aptos" w:eastAsia="Aptos" w:hAnsi="Aptos" w:cs="Aptos"/>
          <w:b/>
          <w:bCs/>
          <w:color w:val="0070C0"/>
          <w:sz w:val="22"/>
          <w:szCs w:val="22"/>
        </w:rPr>
        <w:t>Conclusion and Outcome</w:t>
      </w:r>
    </w:p>
    <w:p w14:paraId="207F01AB" w14:textId="0131E68B" w:rsidR="004570A3" w:rsidRPr="004570A3" w:rsidRDefault="00E829D2" w:rsidP="001237D4">
      <w:pPr>
        <w:jc w:val="both"/>
        <w:rPr>
          <w:rFonts w:asciiTheme="minorHAnsi" w:eastAsiaTheme="minorEastAsia" w:hAnsiTheme="minorHAnsi" w:cstheme="minorBidi"/>
          <w:sz w:val="22"/>
          <w:szCs w:val="22"/>
        </w:rPr>
      </w:pPr>
      <w:r w:rsidRPr="001237D4">
        <w:rPr>
          <w:rFonts w:asciiTheme="minorHAnsi" w:eastAsiaTheme="minorEastAsia" w:hAnsiTheme="minorHAnsi" w:cstheme="minorBidi"/>
          <w:sz w:val="22"/>
          <w:szCs w:val="22"/>
        </w:rPr>
        <w:t xml:space="preserve">The event </w:t>
      </w:r>
      <w:r w:rsidR="004570A3" w:rsidRPr="004570A3">
        <w:rPr>
          <w:rFonts w:asciiTheme="minorHAnsi" w:eastAsiaTheme="minorEastAsia" w:hAnsiTheme="minorHAnsi" w:cstheme="minorBidi"/>
          <w:sz w:val="22"/>
          <w:szCs w:val="22"/>
        </w:rPr>
        <w:t>reinforc</w:t>
      </w:r>
      <w:r w:rsidR="004570A3">
        <w:rPr>
          <w:rFonts w:asciiTheme="minorHAnsi" w:eastAsiaTheme="minorEastAsia" w:hAnsiTheme="minorHAnsi" w:cstheme="minorBidi"/>
          <w:sz w:val="22"/>
          <w:szCs w:val="22"/>
        </w:rPr>
        <w:t>ed</w:t>
      </w:r>
      <w:r w:rsidR="004570A3" w:rsidRPr="004570A3">
        <w:rPr>
          <w:rFonts w:asciiTheme="minorHAnsi" w:eastAsiaTheme="minorEastAsia" w:hAnsiTheme="minorHAnsi" w:cstheme="minorBidi"/>
          <w:sz w:val="22"/>
          <w:szCs w:val="22"/>
        </w:rPr>
        <w:t xml:space="preserve"> the critical role of </w:t>
      </w:r>
      <w:r w:rsidR="00823B66">
        <w:rPr>
          <w:rFonts w:asciiTheme="minorHAnsi" w:eastAsiaTheme="minorEastAsia" w:hAnsiTheme="minorHAnsi" w:cstheme="minorBidi"/>
          <w:sz w:val="22"/>
          <w:szCs w:val="22"/>
        </w:rPr>
        <w:t xml:space="preserve">adopting enabling environment to better </w:t>
      </w:r>
      <w:r w:rsidR="004B6EA3">
        <w:rPr>
          <w:rFonts w:asciiTheme="minorHAnsi" w:eastAsiaTheme="minorEastAsia" w:hAnsiTheme="minorHAnsi" w:cstheme="minorBidi"/>
          <w:sz w:val="22"/>
          <w:szCs w:val="22"/>
        </w:rPr>
        <w:t xml:space="preserve">leverage the emerging </w:t>
      </w:r>
      <w:r w:rsidR="004B6EA3" w:rsidRPr="004570A3">
        <w:rPr>
          <w:rFonts w:asciiTheme="minorHAnsi" w:eastAsiaTheme="minorEastAsia" w:hAnsiTheme="minorHAnsi" w:cstheme="minorBidi"/>
          <w:sz w:val="22"/>
          <w:szCs w:val="22"/>
        </w:rPr>
        <w:t>technolog</w:t>
      </w:r>
      <w:r w:rsidR="004B6EA3">
        <w:rPr>
          <w:rFonts w:asciiTheme="minorHAnsi" w:eastAsiaTheme="minorEastAsia" w:hAnsiTheme="minorHAnsi" w:cstheme="minorBidi"/>
          <w:sz w:val="22"/>
          <w:szCs w:val="22"/>
        </w:rPr>
        <w:t xml:space="preserve">ies </w:t>
      </w:r>
      <w:r w:rsidR="004B6EA3" w:rsidRPr="004570A3">
        <w:rPr>
          <w:rFonts w:asciiTheme="minorHAnsi" w:eastAsiaTheme="minorEastAsia" w:hAnsiTheme="minorHAnsi" w:cstheme="minorBidi"/>
          <w:sz w:val="22"/>
          <w:szCs w:val="22"/>
        </w:rPr>
        <w:t>and</w:t>
      </w:r>
      <w:r w:rsidR="004570A3" w:rsidRPr="004570A3">
        <w:rPr>
          <w:rFonts w:asciiTheme="minorHAnsi" w:eastAsiaTheme="minorEastAsia" w:hAnsiTheme="minorHAnsi" w:cstheme="minorBidi"/>
          <w:sz w:val="22"/>
          <w:szCs w:val="22"/>
        </w:rPr>
        <w:t xml:space="preserve"> </w:t>
      </w:r>
      <w:r w:rsidR="004B6EA3">
        <w:rPr>
          <w:rFonts w:asciiTheme="minorHAnsi" w:eastAsiaTheme="minorEastAsia" w:hAnsiTheme="minorHAnsi" w:cstheme="minorBidi"/>
          <w:sz w:val="22"/>
          <w:szCs w:val="22"/>
        </w:rPr>
        <w:t xml:space="preserve">enhance </w:t>
      </w:r>
      <w:r w:rsidR="004570A3" w:rsidRPr="004570A3">
        <w:rPr>
          <w:rFonts w:asciiTheme="minorHAnsi" w:eastAsiaTheme="minorEastAsia" w:hAnsiTheme="minorHAnsi" w:cstheme="minorBidi"/>
          <w:sz w:val="22"/>
          <w:szCs w:val="22"/>
        </w:rPr>
        <w:t>international cooperation in overcoming the unique digital development challenges faced by Landlocked Developing Countries (LLDCs). The event</w:t>
      </w:r>
      <w:r w:rsidR="003B7AD0" w:rsidRPr="001237D4">
        <w:rPr>
          <w:rFonts w:asciiTheme="minorHAnsi" w:eastAsiaTheme="minorEastAsia" w:hAnsiTheme="minorHAnsi" w:cstheme="minorBidi"/>
          <w:sz w:val="22"/>
          <w:szCs w:val="22"/>
        </w:rPr>
        <w:t xml:space="preserve"> brought together </w:t>
      </w:r>
      <w:r w:rsidR="003B7AD0" w:rsidRPr="001237D4">
        <w:rPr>
          <w:rFonts w:asciiTheme="minorHAnsi" w:eastAsiaTheme="minorEastAsia" w:hAnsiTheme="minorHAnsi" w:cstheme="minorBidi"/>
          <w:b/>
          <w:bCs/>
          <w:sz w:val="22"/>
          <w:szCs w:val="22"/>
        </w:rPr>
        <w:t>over 50 Participants from over 20 countries</w:t>
      </w:r>
      <w:r w:rsidR="003B7AD0" w:rsidRPr="003B7AD0">
        <w:rPr>
          <w:rFonts w:asciiTheme="minorHAnsi" w:eastAsiaTheme="minorEastAsia" w:hAnsiTheme="minorHAnsi" w:cstheme="minorBidi"/>
          <w:sz w:val="22"/>
          <w:szCs w:val="22"/>
        </w:rPr>
        <w:t xml:space="preserve"> </w:t>
      </w:r>
      <w:r w:rsidR="003B7AD0">
        <w:rPr>
          <w:rFonts w:asciiTheme="minorHAnsi" w:eastAsiaTheme="minorEastAsia" w:hAnsiTheme="minorHAnsi" w:cstheme="minorBidi"/>
          <w:sz w:val="22"/>
          <w:szCs w:val="22"/>
        </w:rPr>
        <w:t>and facilitated</w:t>
      </w:r>
      <w:r w:rsidR="004570A3" w:rsidRPr="004570A3">
        <w:rPr>
          <w:rFonts w:asciiTheme="minorHAnsi" w:eastAsiaTheme="minorEastAsia" w:hAnsiTheme="minorHAnsi" w:cstheme="minorBidi"/>
          <w:sz w:val="22"/>
          <w:szCs w:val="22"/>
        </w:rPr>
        <w:t xml:space="preserve"> as </w:t>
      </w:r>
      <w:proofErr w:type="spellStart"/>
      <w:proofErr w:type="gramStart"/>
      <w:r w:rsidR="004570A3" w:rsidRPr="004570A3">
        <w:rPr>
          <w:rFonts w:asciiTheme="minorHAnsi" w:eastAsiaTheme="minorEastAsia" w:hAnsiTheme="minorHAnsi" w:cstheme="minorBidi"/>
          <w:sz w:val="22"/>
          <w:szCs w:val="22"/>
        </w:rPr>
        <w:t>a</w:t>
      </w:r>
      <w:proofErr w:type="spellEnd"/>
      <w:proofErr w:type="gramEnd"/>
      <w:r w:rsidR="004570A3" w:rsidRPr="004570A3">
        <w:rPr>
          <w:rFonts w:asciiTheme="minorHAnsi" w:eastAsiaTheme="minorEastAsia" w:hAnsiTheme="minorHAnsi" w:cstheme="minorBidi"/>
          <w:sz w:val="22"/>
          <w:szCs w:val="22"/>
        </w:rPr>
        <w:t xml:space="preserve"> </w:t>
      </w:r>
      <w:r w:rsidR="003B7AD0">
        <w:rPr>
          <w:rFonts w:asciiTheme="minorHAnsi" w:eastAsiaTheme="minorEastAsia" w:hAnsiTheme="minorHAnsi" w:cstheme="minorBidi"/>
          <w:sz w:val="22"/>
          <w:szCs w:val="22"/>
        </w:rPr>
        <w:t>exchange</w:t>
      </w:r>
      <w:r w:rsidR="004570A3" w:rsidRPr="004570A3">
        <w:rPr>
          <w:rFonts w:asciiTheme="minorHAnsi" w:eastAsiaTheme="minorEastAsia" w:hAnsiTheme="minorHAnsi" w:cstheme="minorBidi"/>
          <w:sz w:val="22"/>
          <w:szCs w:val="22"/>
        </w:rPr>
        <w:t xml:space="preserve"> between, </w:t>
      </w:r>
      <w:r w:rsidR="004B6EA3">
        <w:rPr>
          <w:rFonts w:asciiTheme="minorHAnsi" w:eastAsiaTheme="minorEastAsia" w:hAnsiTheme="minorHAnsi" w:cstheme="minorBidi"/>
          <w:sz w:val="22"/>
          <w:szCs w:val="22"/>
        </w:rPr>
        <w:t>private sector, regulators, policy makers, international organizations</w:t>
      </w:r>
      <w:r w:rsidR="004570A3" w:rsidRPr="004570A3">
        <w:rPr>
          <w:rFonts w:asciiTheme="minorHAnsi" w:eastAsiaTheme="minorEastAsia" w:hAnsiTheme="minorHAnsi" w:cstheme="minorBidi"/>
          <w:sz w:val="22"/>
          <w:szCs w:val="22"/>
        </w:rPr>
        <w:t>, and development agencies.</w:t>
      </w:r>
    </w:p>
    <w:p w14:paraId="436FC773" w14:textId="77777777" w:rsidR="004570A3" w:rsidRPr="004570A3" w:rsidRDefault="004570A3" w:rsidP="001237D4">
      <w:pPr>
        <w:jc w:val="both"/>
        <w:rPr>
          <w:rFonts w:asciiTheme="minorHAnsi" w:eastAsiaTheme="minorEastAsia" w:hAnsiTheme="minorHAnsi" w:cstheme="minorBidi"/>
          <w:sz w:val="22"/>
          <w:szCs w:val="22"/>
        </w:rPr>
      </w:pPr>
    </w:p>
    <w:p w14:paraId="0522C59C" w14:textId="69E6C3B4" w:rsidR="00E829D2" w:rsidRDefault="004570A3" w:rsidP="003B7AD0">
      <w:pPr>
        <w:jc w:val="both"/>
        <w:rPr>
          <w:rFonts w:asciiTheme="minorHAnsi" w:eastAsiaTheme="minorEastAsia" w:hAnsiTheme="minorHAnsi" w:cstheme="minorBidi"/>
          <w:sz w:val="22"/>
          <w:szCs w:val="22"/>
        </w:rPr>
      </w:pPr>
      <w:r w:rsidRPr="004570A3">
        <w:rPr>
          <w:rFonts w:asciiTheme="minorHAnsi" w:eastAsiaTheme="minorEastAsia" w:hAnsiTheme="minorHAnsi" w:cstheme="minorBidi"/>
          <w:sz w:val="22"/>
          <w:szCs w:val="22"/>
        </w:rPr>
        <w:t xml:space="preserve">Key </w:t>
      </w:r>
      <w:r w:rsidR="00407E82">
        <w:rPr>
          <w:rFonts w:asciiTheme="minorHAnsi" w:eastAsiaTheme="minorEastAsia" w:hAnsiTheme="minorHAnsi" w:cstheme="minorBidi"/>
          <w:sz w:val="22"/>
          <w:szCs w:val="22"/>
        </w:rPr>
        <w:t>takeaways from sessions</w:t>
      </w:r>
      <w:r w:rsidRPr="004570A3">
        <w:rPr>
          <w:rFonts w:asciiTheme="minorHAnsi" w:eastAsiaTheme="minorEastAsia" w:hAnsiTheme="minorHAnsi" w:cstheme="minorBidi"/>
          <w:sz w:val="22"/>
          <w:szCs w:val="22"/>
        </w:rPr>
        <w:t xml:space="preserve"> focused on practical solutions, including strategies for improving digital infrastructure, adopting </w:t>
      </w:r>
      <w:r w:rsidR="00A455DA">
        <w:rPr>
          <w:rFonts w:asciiTheme="minorHAnsi" w:eastAsiaTheme="minorEastAsia" w:hAnsiTheme="minorHAnsi" w:cstheme="minorBidi"/>
          <w:sz w:val="22"/>
          <w:szCs w:val="22"/>
        </w:rPr>
        <w:t>hybrid connectivity models</w:t>
      </w:r>
      <w:r w:rsidRPr="004570A3">
        <w:rPr>
          <w:rFonts w:asciiTheme="minorHAnsi" w:eastAsiaTheme="minorEastAsia" w:hAnsiTheme="minorHAnsi" w:cstheme="minorBidi"/>
          <w:sz w:val="22"/>
          <w:szCs w:val="22"/>
        </w:rPr>
        <w:t>, and developing the necessary policy and regulatory frameworks.</w:t>
      </w:r>
    </w:p>
    <w:p w14:paraId="6F167F25" w14:textId="1CD81CDD" w:rsidR="006F7FC2" w:rsidRPr="001237D4" w:rsidRDefault="006F7FC2" w:rsidP="001237D4">
      <w:pPr>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XXXXX</w:t>
      </w:r>
    </w:p>
    <w:p w14:paraId="3CA2103E" w14:textId="77777777" w:rsidR="00407E82" w:rsidRDefault="00407E82">
      <w:pPr>
        <w:spacing w:after="160" w:line="259" w:lineRule="auto"/>
        <w:rPr>
          <w:rFonts w:asciiTheme="minorHAnsi" w:eastAsiaTheme="minorEastAsia" w:hAnsiTheme="minorHAnsi" w:cstheme="minorBidi"/>
          <w:sz w:val="22"/>
          <w:szCs w:val="22"/>
        </w:rPr>
      </w:pPr>
      <w:r>
        <w:rPr>
          <w:rFonts w:asciiTheme="minorHAnsi" w:eastAsiaTheme="minorEastAsia" w:hAnsiTheme="minorHAnsi" w:cstheme="minorBidi"/>
          <w:sz w:val="22"/>
          <w:szCs w:val="22"/>
        </w:rPr>
        <w:br w:type="page"/>
      </w:r>
    </w:p>
    <w:p w14:paraId="4219A58F" w14:textId="6FFC0397" w:rsidR="559C70CE" w:rsidRDefault="559C70CE" w:rsidP="001237D4">
      <w:pPr>
        <w:rPr>
          <w:rFonts w:ascii="Aptos" w:eastAsia="Aptos" w:hAnsi="Aptos" w:cs="Aptos"/>
          <w:b/>
          <w:bCs/>
          <w:color w:val="0070C0"/>
        </w:rPr>
      </w:pPr>
      <w:r w:rsidRPr="53340F37">
        <w:rPr>
          <w:rFonts w:ascii="Aptos" w:eastAsia="Aptos" w:hAnsi="Aptos" w:cs="Aptos"/>
          <w:b/>
          <w:bCs/>
          <w:color w:val="0070C0"/>
        </w:rPr>
        <w:lastRenderedPageBreak/>
        <w:t>Annexures</w:t>
      </w:r>
    </w:p>
    <w:p w14:paraId="200BE1FC" w14:textId="407B8717" w:rsidR="002D725A" w:rsidRPr="001237D4" w:rsidRDefault="00407E82" w:rsidP="00407E82">
      <w:pPr>
        <w:pStyle w:val="ListParagraph"/>
        <w:numPr>
          <w:ilvl w:val="0"/>
          <w:numId w:val="22"/>
        </w:numPr>
        <w:spacing w:before="240"/>
        <w:jc w:val="both"/>
        <w:rPr>
          <w:rFonts w:asciiTheme="minorHAnsi" w:eastAsiaTheme="minorEastAsia" w:hAnsiTheme="minorHAnsi" w:cstheme="minorBidi"/>
          <w:b/>
          <w:bCs/>
          <w:sz w:val="22"/>
          <w:szCs w:val="22"/>
        </w:rPr>
      </w:pPr>
      <w:r w:rsidRPr="001237D4">
        <w:rPr>
          <w:rFonts w:asciiTheme="minorHAnsi" w:eastAsiaTheme="minorEastAsia" w:hAnsiTheme="minorHAnsi" w:cstheme="minorBidi"/>
          <w:b/>
          <w:bCs/>
          <w:sz w:val="22"/>
          <w:szCs w:val="22"/>
        </w:rPr>
        <w:t>List of participants</w:t>
      </w:r>
    </w:p>
    <w:p w14:paraId="415CAA6B" w14:textId="09454826" w:rsidR="006F7FC2" w:rsidRDefault="001237D4" w:rsidP="001237D4">
      <w:pPr>
        <w:pStyle w:val="ListParagraph"/>
        <w:spacing w:before="240"/>
        <w:jc w:val="both"/>
        <w:rPr>
          <w:rFonts w:asciiTheme="minorHAnsi" w:eastAsiaTheme="minorEastAsia" w:hAnsiTheme="minorHAnsi" w:cstheme="minorBidi"/>
          <w:sz w:val="22"/>
          <w:szCs w:val="22"/>
        </w:rPr>
      </w:pPr>
      <w:r>
        <w:rPr>
          <w:rFonts w:asciiTheme="minorHAnsi" w:eastAsiaTheme="minorEastAsia" w:hAnsiTheme="minorHAnsi" w:cstheme="minorBidi"/>
          <w:sz w:val="22"/>
          <w:szCs w:val="22"/>
        </w:rPr>
        <w:object w:dxaOrig="1539" w:dyaOrig="997" w14:anchorId="41ED95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50.1pt" o:ole="">
            <v:imagedata r:id="rId20" o:title=""/>
          </v:shape>
          <o:OLEObject Type="Embed" ProgID="AcroExch.Document.7" ShapeID="_x0000_i1025" DrawAspect="Icon" ObjectID="_1819451425" r:id="rId21"/>
        </w:object>
      </w:r>
    </w:p>
    <w:p w14:paraId="064010EE" w14:textId="77777777" w:rsidR="001237D4" w:rsidRDefault="001237D4" w:rsidP="001237D4">
      <w:pPr>
        <w:pStyle w:val="ListParagraph"/>
        <w:spacing w:before="240"/>
        <w:jc w:val="both"/>
        <w:rPr>
          <w:rFonts w:asciiTheme="minorHAnsi" w:eastAsiaTheme="minorEastAsia" w:hAnsiTheme="minorHAnsi" w:cstheme="minorBidi"/>
          <w:sz w:val="22"/>
          <w:szCs w:val="22"/>
        </w:rPr>
      </w:pPr>
    </w:p>
    <w:p w14:paraId="46DDF1F9" w14:textId="4713B0B4" w:rsidR="00407E82" w:rsidRPr="001237D4" w:rsidRDefault="006F7FC2" w:rsidP="001237D4">
      <w:pPr>
        <w:pStyle w:val="ListParagraph"/>
        <w:numPr>
          <w:ilvl w:val="0"/>
          <w:numId w:val="22"/>
        </w:numPr>
        <w:spacing w:before="240"/>
        <w:jc w:val="both"/>
        <w:rPr>
          <w:rFonts w:asciiTheme="minorHAnsi" w:eastAsiaTheme="minorEastAsia" w:hAnsiTheme="minorHAnsi" w:cstheme="minorBidi"/>
          <w:b/>
          <w:bCs/>
          <w:sz w:val="22"/>
          <w:szCs w:val="22"/>
        </w:rPr>
      </w:pPr>
      <w:proofErr w:type="spellStart"/>
      <w:r w:rsidRPr="001237D4">
        <w:rPr>
          <w:rFonts w:asciiTheme="minorHAnsi" w:eastAsiaTheme="minorEastAsia" w:hAnsiTheme="minorHAnsi" w:cstheme="minorBidi"/>
          <w:b/>
          <w:bCs/>
          <w:sz w:val="22"/>
          <w:szCs w:val="22"/>
        </w:rPr>
        <w:t>Mentimeter</w:t>
      </w:r>
      <w:proofErr w:type="spellEnd"/>
      <w:r w:rsidRPr="001237D4">
        <w:rPr>
          <w:rFonts w:asciiTheme="minorHAnsi" w:eastAsiaTheme="minorEastAsia" w:hAnsiTheme="minorHAnsi" w:cstheme="minorBidi"/>
          <w:b/>
          <w:bCs/>
          <w:sz w:val="22"/>
          <w:szCs w:val="22"/>
        </w:rPr>
        <w:t xml:space="preserve"> feedback from innovation Cafe</w:t>
      </w:r>
    </w:p>
    <w:p w14:paraId="0E8B8C06" w14:textId="1F64B395" w:rsidR="00752F4A" w:rsidRDefault="009560D9">
      <w:pPr>
        <w:spacing w:before="240"/>
      </w:pPr>
      <w:r>
        <w:rPr>
          <w:noProof/>
        </w:rPr>
        <w:drawing>
          <wp:inline distT="0" distB="0" distL="0" distR="0" wp14:anchorId="754A1AD1" wp14:editId="36F3C3E7">
            <wp:extent cx="4990839" cy="2863165"/>
            <wp:effectExtent l="0" t="0" r="0" b="0"/>
            <wp:docPr id="149831219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38578" name=""/>
                    <pic:cNvPicPr/>
                  </pic:nvPicPr>
                  <pic:blipFill>
                    <a:blip r:embed="rId22">
                      <a:extLst>
                        <a:ext uri="{28A0092B-C50C-407E-A947-70E740481C1C}">
                          <a14:useLocalDpi xmlns:a14="http://schemas.microsoft.com/office/drawing/2010/main"/>
                        </a:ext>
                      </a:extLst>
                    </a:blip>
                    <a:stretch>
                      <a:fillRect/>
                    </a:stretch>
                  </pic:blipFill>
                  <pic:spPr>
                    <a:xfrm>
                      <a:off x="0" y="0"/>
                      <a:ext cx="4990839" cy="2863165"/>
                    </a:xfrm>
                    <a:prstGeom prst="rect">
                      <a:avLst/>
                    </a:prstGeom>
                  </pic:spPr>
                </pic:pic>
              </a:graphicData>
            </a:graphic>
          </wp:inline>
        </w:drawing>
      </w:r>
    </w:p>
    <w:p w14:paraId="7B10BA36" w14:textId="233A42AE" w:rsidR="009560D9" w:rsidRDefault="009560D9">
      <w:pPr>
        <w:spacing w:before="240"/>
        <w:rPr>
          <w:b/>
          <w:bCs/>
        </w:rPr>
      </w:pPr>
      <w:r>
        <w:rPr>
          <w:noProof/>
        </w:rPr>
        <w:drawing>
          <wp:inline distT="0" distB="0" distL="0" distR="0" wp14:anchorId="0D1CC7EC" wp14:editId="46074335">
            <wp:extent cx="5295900" cy="3038174"/>
            <wp:effectExtent l="0" t="0" r="0" b="0"/>
            <wp:docPr id="2122472070" name="drawing" descr="A person's hand touching a dollar b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472070" name="drawing" descr="A person's hand touching a dollar bill&#10;&#10;AI-generated content may be incorrect."/>
                    <pic:cNvPicPr/>
                  </pic:nvPicPr>
                  <pic:blipFill>
                    <a:blip r:embed="rId23">
                      <a:extLst>
                        <a:ext uri="{28A0092B-C50C-407E-A947-70E740481C1C}">
                          <a14:useLocalDpi xmlns:a14="http://schemas.microsoft.com/office/drawing/2010/main"/>
                        </a:ext>
                      </a:extLst>
                    </a:blip>
                    <a:stretch>
                      <a:fillRect/>
                    </a:stretch>
                  </pic:blipFill>
                  <pic:spPr>
                    <a:xfrm>
                      <a:off x="0" y="0"/>
                      <a:ext cx="5295900" cy="3038174"/>
                    </a:xfrm>
                    <a:prstGeom prst="rect">
                      <a:avLst/>
                    </a:prstGeom>
                  </pic:spPr>
                </pic:pic>
              </a:graphicData>
            </a:graphic>
          </wp:inline>
        </w:drawing>
      </w:r>
    </w:p>
    <w:p w14:paraId="5C7F398F" w14:textId="44A613B2" w:rsidR="009560D9" w:rsidRDefault="009560D9">
      <w:pPr>
        <w:spacing w:before="240"/>
        <w:rPr>
          <w:b/>
          <w:bCs/>
        </w:rPr>
      </w:pPr>
      <w:r>
        <w:rPr>
          <w:noProof/>
        </w:rPr>
        <w:lastRenderedPageBreak/>
        <w:drawing>
          <wp:inline distT="0" distB="0" distL="0" distR="0" wp14:anchorId="324E7A8B" wp14:editId="498CF488">
            <wp:extent cx="5162550" cy="2970731"/>
            <wp:effectExtent l="0" t="0" r="0" b="0"/>
            <wp:docPr id="1156947421" name="drawing"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947421" name="drawing" descr="A screenshot of a chat&#10;&#10;AI-generated content may be incorrect."/>
                    <pic:cNvPicPr/>
                  </pic:nvPicPr>
                  <pic:blipFill>
                    <a:blip r:embed="rId24">
                      <a:extLst>
                        <a:ext uri="{28A0092B-C50C-407E-A947-70E740481C1C}">
                          <a14:useLocalDpi xmlns:a14="http://schemas.microsoft.com/office/drawing/2010/main"/>
                        </a:ext>
                      </a:extLst>
                    </a:blip>
                    <a:stretch>
                      <a:fillRect/>
                    </a:stretch>
                  </pic:blipFill>
                  <pic:spPr>
                    <a:xfrm>
                      <a:off x="0" y="0"/>
                      <a:ext cx="5162550" cy="2970731"/>
                    </a:xfrm>
                    <a:prstGeom prst="rect">
                      <a:avLst/>
                    </a:prstGeom>
                  </pic:spPr>
                </pic:pic>
              </a:graphicData>
            </a:graphic>
          </wp:inline>
        </w:drawing>
      </w:r>
    </w:p>
    <w:p w14:paraId="6AD8285A" w14:textId="42E63CC8" w:rsidR="009560D9" w:rsidRPr="001237D4" w:rsidRDefault="009560D9" w:rsidP="001237D4">
      <w:pPr>
        <w:spacing w:before="240"/>
        <w:rPr>
          <w:b/>
          <w:bCs/>
        </w:rPr>
      </w:pPr>
      <w:r>
        <w:rPr>
          <w:noProof/>
        </w:rPr>
        <w:drawing>
          <wp:inline distT="0" distB="0" distL="0" distR="0" wp14:anchorId="15B68E50" wp14:editId="140AF1A7">
            <wp:extent cx="5311200" cy="3028315"/>
            <wp:effectExtent l="0" t="0" r="3810" b="635"/>
            <wp:docPr id="719329153" name="drawing"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29153" name="drawing" descr="A screenshot of a chat&#10;&#10;AI-generated content may be incorrect."/>
                    <pic:cNvPicPr/>
                  </pic:nvPicPr>
                  <pic:blipFill>
                    <a:blip r:embed="rId25">
                      <a:extLst>
                        <a:ext uri="{28A0092B-C50C-407E-A947-70E740481C1C}">
                          <a14:useLocalDpi xmlns:a14="http://schemas.microsoft.com/office/drawing/2010/main"/>
                        </a:ext>
                      </a:extLst>
                    </a:blip>
                    <a:stretch>
                      <a:fillRect/>
                    </a:stretch>
                  </pic:blipFill>
                  <pic:spPr>
                    <a:xfrm>
                      <a:off x="0" y="0"/>
                      <a:ext cx="5325165" cy="3036278"/>
                    </a:xfrm>
                    <a:prstGeom prst="rect">
                      <a:avLst/>
                    </a:prstGeom>
                  </pic:spPr>
                </pic:pic>
              </a:graphicData>
            </a:graphic>
          </wp:inline>
        </w:drawing>
      </w:r>
    </w:p>
    <w:sectPr w:rsidR="009560D9" w:rsidRPr="001237D4" w:rsidSect="00752F4A">
      <w:headerReference w:type="default" r:id="rId26"/>
      <w:pgSz w:w="11920" w:h="16840"/>
      <w:pgMar w:top="1501" w:right="1680" w:bottom="280" w:left="1680" w:header="720" w:footer="720" w:gutter="0"/>
      <w:pgBorders w:offsetFrom="page">
        <w:top w:val="single" w:sz="8" w:space="24" w:color="000000"/>
        <w:left w:val="single" w:sz="8" w:space="24" w:color="000000"/>
        <w:bottom w:val="single" w:sz="8" w:space="24" w:color="000000"/>
        <w:right w:val="single" w:sz="8"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8F2F4" w14:textId="77777777" w:rsidR="00180F69" w:rsidRDefault="00180F69">
      <w:r>
        <w:separator/>
      </w:r>
    </w:p>
  </w:endnote>
  <w:endnote w:type="continuationSeparator" w:id="0">
    <w:p w14:paraId="2CE3134A" w14:textId="77777777" w:rsidR="00180F69" w:rsidRDefault="00180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0D2A89" w14:textId="77777777" w:rsidR="00180F69" w:rsidRDefault="00180F69">
      <w:r>
        <w:separator/>
      </w:r>
    </w:p>
  </w:footnote>
  <w:footnote w:type="continuationSeparator" w:id="0">
    <w:p w14:paraId="4013518C" w14:textId="77777777" w:rsidR="00180F69" w:rsidRDefault="00180F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D16E5" w14:textId="22CF08B5" w:rsidR="001446B0" w:rsidRPr="00243886" w:rsidRDefault="001446B0" w:rsidP="00243886">
    <w:pPr>
      <w:ind w:right="2094"/>
      <w:rPr>
        <w:sz w:val="11"/>
        <w:szCs w:val="1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A32733"/>
    <w:multiLevelType w:val="hybridMultilevel"/>
    <w:tmpl w:val="13867104"/>
    <w:lvl w:ilvl="0" w:tplc="341EE0E0">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53D08AF"/>
    <w:multiLevelType w:val="hybridMultilevel"/>
    <w:tmpl w:val="0102E26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58839C4"/>
    <w:multiLevelType w:val="hybridMultilevel"/>
    <w:tmpl w:val="862E19E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18CC62E0"/>
    <w:multiLevelType w:val="hybridMultilevel"/>
    <w:tmpl w:val="01488838"/>
    <w:lvl w:ilvl="0" w:tplc="52DE6F5C">
      <w:start w:val="1"/>
      <w:numFmt w:val="decimal"/>
      <w:lvlText w:val="%1."/>
      <w:lvlJc w:val="left"/>
      <w:pPr>
        <w:ind w:left="720" w:hanging="360"/>
      </w:pPr>
    </w:lvl>
    <w:lvl w:ilvl="1" w:tplc="99BC4884">
      <w:start w:val="1"/>
      <w:numFmt w:val="lowerLetter"/>
      <w:lvlText w:val="%2."/>
      <w:lvlJc w:val="left"/>
      <w:pPr>
        <w:ind w:left="1440" w:hanging="360"/>
      </w:pPr>
    </w:lvl>
    <w:lvl w:ilvl="2" w:tplc="79BA5EC4">
      <w:start w:val="1"/>
      <w:numFmt w:val="lowerRoman"/>
      <w:lvlText w:val="%3."/>
      <w:lvlJc w:val="right"/>
      <w:pPr>
        <w:ind w:left="2160" w:hanging="180"/>
      </w:pPr>
    </w:lvl>
    <w:lvl w:ilvl="3" w:tplc="F98890CA">
      <w:start w:val="1"/>
      <w:numFmt w:val="decimal"/>
      <w:lvlText w:val="%4."/>
      <w:lvlJc w:val="left"/>
      <w:pPr>
        <w:ind w:left="2880" w:hanging="360"/>
      </w:pPr>
    </w:lvl>
    <w:lvl w:ilvl="4" w:tplc="31DADECC">
      <w:start w:val="1"/>
      <w:numFmt w:val="lowerLetter"/>
      <w:lvlText w:val="%5."/>
      <w:lvlJc w:val="left"/>
      <w:pPr>
        <w:ind w:left="3600" w:hanging="360"/>
      </w:pPr>
    </w:lvl>
    <w:lvl w:ilvl="5" w:tplc="F8B005CA">
      <w:start w:val="1"/>
      <w:numFmt w:val="lowerRoman"/>
      <w:lvlText w:val="%6."/>
      <w:lvlJc w:val="right"/>
      <w:pPr>
        <w:ind w:left="4320" w:hanging="180"/>
      </w:pPr>
    </w:lvl>
    <w:lvl w:ilvl="6" w:tplc="55DA23F4">
      <w:start w:val="1"/>
      <w:numFmt w:val="decimal"/>
      <w:lvlText w:val="%7."/>
      <w:lvlJc w:val="left"/>
      <w:pPr>
        <w:ind w:left="5040" w:hanging="360"/>
      </w:pPr>
    </w:lvl>
    <w:lvl w:ilvl="7" w:tplc="B342689A">
      <w:start w:val="1"/>
      <w:numFmt w:val="lowerLetter"/>
      <w:lvlText w:val="%8."/>
      <w:lvlJc w:val="left"/>
      <w:pPr>
        <w:ind w:left="5760" w:hanging="360"/>
      </w:pPr>
    </w:lvl>
    <w:lvl w:ilvl="8" w:tplc="63701F96">
      <w:start w:val="1"/>
      <w:numFmt w:val="lowerRoman"/>
      <w:lvlText w:val="%9."/>
      <w:lvlJc w:val="right"/>
      <w:pPr>
        <w:ind w:left="6480" w:hanging="180"/>
      </w:pPr>
    </w:lvl>
  </w:abstractNum>
  <w:abstractNum w:abstractNumId="4" w15:restartNumberingAfterBreak="0">
    <w:nsid w:val="1FCA455F"/>
    <w:multiLevelType w:val="hybridMultilevel"/>
    <w:tmpl w:val="C9541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3F7200"/>
    <w:multiLevelType w:val="hybridMultilevel"/>
    <w:tmpl w:val="50043F5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23DE39CA"/>
    <w:multiLevelType w:val="hybridMultilevel"/>
    <w:tmpl w:val="4ECAF32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38FC6D31"/>
    <w:multiLevelType w:val="multilevel"/>
    <w:tmpl w:val="75CC8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1C1FB7"/>
    <w:multiLevelType w:val="hybridMultilevel"/>
    <w:tmpl w:val="5F6C1F1E"/>
    <w:lvl w:ilvl="0" w:tplc="341EE0E0">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2B435F7"/>
    <w:multiLevelType w:val="hybridMultilevel"/>
    <w:tmpl w:val="E3E08F0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48412D35"/>
    <w:multiLevelType w:val="hybridMultilevel"/>
    <w:tmpl w:val="E19A6C02"/>
    <w:lvl w:ilvl="0" w:tplc="CA18A420">
      <w:start w:val="1"/>
      <w:numFmt w:val="upperLetter"/>
      <w:lvlText w:val="%1&gt;"/>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5219409B"/>
    <w:multiLevelType w:val="multilevel"/>
    <w:tmpl w:val="8D683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4F808C3"/>
    <w:multiLevelType w:val="hybridMultilevel"/>
    <w:tmpl w:val="7AEE933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5B994DD9"/>
    <w:multiLevelType w:val="hybridMultilevel"/>
    <w:tmpl w:val="9E14E52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5D4D1AF9"/>
    <w:multiLevelType w:val="hybridMultilevel"/>
    <w:tmpl w:val="F7AC0328"/>
    <w:lvl w:ilvl="0" w:tplc="3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0D479D2"/>
    <w:multiLevelType w:val="hybridMultilevel"/>
    <w:tmpl w:val="7FE29570"/>
    <w:lvl w:ilvl="0" w:tplc="5D6AFED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D8B0FB"/>
    <w:multiLevelType w:val="hybridMultilevel"/>
    <w:tmpl w:val="E7F07BC2"/>
    <w:lvl w:ilvl="0" w:tplc="5002D616">
      <w:start w:val="1"/>
      <w:numFmt w:val="bullet"/>
      <w:lvlText w:val=""/>
      <w:lvlJc w:val="left"/>
      <w:pPr>
        <w:ind w:left="720" w:hanging="360"/>
      </w:pPr>
      <w:rPr>
        <w:rFonts w:ascii="Symbol" w:hAnsi="Symbol" w:hint="default"/>
      </w:rPr>
    </w:lvl>
    <w:lvl w:ilvl="1" w:tplc="91526B8E">
      <w:start w:val="1"/>
      <w:numFmt w:val="bullet"/>
      <w:lvlText w:val="o"/>
      <w:lvlJc w:val="left"/>
      <w:pPr>
        <w:ind w:left="1440" w:hanging="360"/>
      </w:pPr>
      <w:rPr>
        <w:rFonts w:ascii="Courier New" w:hAnsi="Courier New" w:hint="default"/>
      </w:rPr>
    </w:lvl>
    <w:lvl w:ilvl="2" w:tplc="BEE4AF70">
      <w:start w:val="1"/>
      <w:numFmt w:val="bullet"/>
      <w:lvlText w:val=""/>
      <w:lvlJc w:val="left"/>
      <w:pPr>
        <w:ind w:left="2160" w:hanging="360"/>
      </w:pPr>
      <w:rPr>
        <w:rFonts w:ascii="Wingdings" w:hAnsi="Wingdings" w:hint="default"/>
      </w:rPr>
    </w:lvl>
    <w:lvl w:ilvl="3" w:tplc="0C322EB2">
      <w:start w:val="1"/>
      <w:numFmt w:val="bullet"/>
      <w:lvlText w:val=""/>
      <w:lvlJc w:val="left"/>
      <w:pPr>
        <w:ind w:left="2880" w:hanging="360"/>
      </w:pPr>
      <w:rPr>
        <w:rFonts w:ascii="Symbol" w:hAnsi="Symbol" w:hint="default"/>
      </w:rPr>
    </w:lvl>
    <w:lvl w:ilvl="4" w:tplc="F1A6F8AC">
      <w:start w:val="1"/>
      <w:numFmt w:val="bullet"/>
      <w:lvlText w:val="o"/>
      <w:lvlJc w:val="left"/>
      <w:pPr>
        <w:ind w:left="3600" w:hanging="360"/>
      </w:pPr>
      <w:rPr>
        <w:rFonts w:ascii="Courier New" w:hAnsi="Courier New" w:hint="default"/>
      </w:rPr>
    </w:lvl>
    <w:lvl w:ilvl="5" w:tplc="A7F4ADF8">
      <w:start w:val="1"/>
      <w:numFmt w:val="bullet"/>
      <w:lvlText w:val=""/>
      <w:lvlJc w:val="left"/>
      <w:pPr>
        <w:ind w:left="4320" w:hanging="360"/>
      </w:pPr>
      <w:rPr>
        <w:rFonts w:ascii="Wingdings" w:hAnsi="Wingdings" w:hint="default"/>
      </w:rPr>
    </w:lvl>
    <w:lvl w:ilvl="6" w:tplc="9D96EBF6">
      <w:start w:val="1"/>
      <w:numFmt w:val="bullet"/>
      <w:lvlText w:val=""/>
      <w:lvlJc w:val="left"/>
      <w:pPr>
        <w:ind w:left="5040" w:hanging="360"/>
      </w:pPr>
      <w:rPr>
        <w:rFonts w:ascii="Symbol" w:hAnsi="Symbol" w:hint="default"/>
      </w:rPr>
    </w:lvl>
    <w:lvl w:ilvl="7" w:tplc="C42A04A0">
      <w:start w:val="1"/>
      <w:numFmt w:val="bullet"/>
      <w:lvlText w:val="o"/>
      <w:lvlJc w:val="left"/>
      <w:pPr>
        <w:ind w:left="5760" w:hanging="360"/>
      </w:pPr>
      <w:rPr>
        <w:rFonts w:ascii="Courier New" w:hAnsi="Courier New" w:hint="default"/>
      </w:rPr>
    </w:lvl>
    <w:lvl w:ilvl="8" w:tplc="C868DB7A">
      <w:start w:val="1"/>
      <w:numFmt w:val="bullet"/>
      <w:lvlText w:val=""/>
      <w:lvlJc w:val="left"/>
      <w:pPr>
        <w:ind w:left="6480" w:hanging="360"/>
      </w:pPr>
      <w:rPr>
        <w:rFonts w:ascii="Wingdings" w:hAnsi="Wingdings" w:hint="default"/>
      </w:rPr>
    </w:lvl>
  </w:abstractNum>
  <w:abstractNum w:abstractNumId="17" w15:restartNumberingAfterBreak="0">
    <w:nsid w:val="741942F4"/>
    <w:multiLevelType w:val="hybridMultilevel"/>
    <w:tmpl w:val="A658F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1F6A64"/>
    <w:multiLevelType w:val="hybridMultilevel"/>
    <w:tmpl w:val="8BACCF40"/>
    <w:lvl w:ilvl="0" w:tplc="3F667628">
      <w:start w:val="1"/>
      <w:numFmt w:val="lowerLetter"/>
      <w:lvlText w:val="%1."/>
      <w:lvlJc w:val="left"/>
      <w:pPr>
        <w:ind w:left="720" w:hanging="360"/>
      </w:pPr>
    </w:lvl>
    <w:lvl w:ilvl="1" w:tplc="4C9A46C4">
      <w:start w:val="1"/>
      <w:numFmt w:val="lowerLetter"/>
      <w:lvlText w:val="%2."/>
      <w:lvlJc w:val="left"/>
      <w:pPr>
        <w:ind w:left="1440" w:hanging="360"/>
      </w:pPr>
    </w:lvl>
    <w:lvl w:ilvl="2" w:tplc="373A2520">
      <w:start w:val="1"/>
      <w:numFmt w:val="lowerRoman"/>
      <w:lvlText w:val="%3."/>
      <w:lvlJc w:val="right"/>
      <w:pPr>
        <w:ind w:left="2160" w:hanging="180"/>
      </w:pPr>
    </w:lvl>
    <w:lvl w:ilvl="3" w:tplc="C0BA2864">
      <w:start w:val="1"/>
      <w:numFmt w:val="decimal"/>
      <w:lvlText w:val="%4."/>
      <w:lvlJc w:val="left"/>
      <w:pPr>
        <w:ind w:left="2880" w:hanging="360"/>
      </w:pPr>
    </w:lvl>
    <w:lvl w:ilvl="4" w:tplc="0A328E44">
      <w:start w:val="1"/>
      <w:numFmt w:val="lowerLetter"/>
      <w:lvlText w:val="%5."/>
      <w:lvlJc w:val="left"/>
      <w:pPr>
        <w:ind w:left="3600" w:hanging="360"/>
      </w:pPr>
    </w:lvl>
    <w:lvl w:ilvl="5" w:tplc="61C07E7A">
      <w:start w:val="1"/>
      <w:numFmt w:val="lowerRoman"/>
      <w:lvlText w:val="%6."/>
      <w:lvlJc w:val="right"/>
      <w:pPr>
        <w:ind w:left="4320" w:hanging="180"/>
      </w:pPr>
    </w:lvl>
    <w:lvl w:ilvl="6" w:tplc="71622EA0">
      <w:start w:val="1"/>
      <w:numFmt w:val="decimal"/>
      <w:lvlText w:val="%7."/>
      <w:lvlJc w:val="left"/>
      <w:pPr>
        <w:ind w:left="5040" w:hanging="360"/>
      </w:pPr>
    </w:lvl>
    <w:lvl w:ilvl="7" w:tplc="35C4F804">
      <w:start w:val="1"/>
      <w:numFmt w:val="lowerLetter"/>
      <w:lvlText w:val="%8."/>
      <w:lvlJc w:val="left"/>
      <w:pPr>
        <w:ind w:left="5760" w:hanging="360"/>
      </w:pPr>
    </w:lvl>
    <w:lvl w:ilvl="8" w:tplc="3D902D96">
      <w:start w:val="1"/>
      <w:numFmt w:val="lowerRoman"/>
      <w:lvlText w:val="%9."/>
      <w:lvlJc w:val="right"/>
      <w:pPr>
        <w:ind w:left="6480" w:hanging="180"/>
      </w:pPr>
    </w:lvl>
  </w:abstractNum>
  <w:abstractNum w:abstractNumId="19" w15:restartNumberingAfterBreak="0">
    <w:nsid w:val="7821591C"/>
    <w:multiLevelType w:val="multilevel"/>
    <w:tmpl w:val="ADFC30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78761FF7"/>
    <w:multiLevelType w:val="hybridMultilevel"/>
    <w:tmpl w:val="13867104"/>
    <w:lvl w:ilvl="0" w:tplc="FFFFFFFF">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E986ACB"/>
    <w:multiLevelType w:val="hybridMultilevel"/>
    <w:tmpl w:val="F7AC032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1908026">
    <w:abstractNumId w:val="16"/>
  </w:num>
  <w:num w:numId="2" w16cid:durableId="1546940168">
    <w:abstractNumId w:val="18"/>
  </w:num>
  <w:num w:numId="3" w16cid:durableId="702634308">
    <w:abstractNumId w:val="3"/>
  </w:num>
  <w:num w:numId="4" w16cid:durableId="652297917">
    <w:abstractNumId w:val="7"/>
  </w:num>
  <w:num w:numId="5" w16cid:durableId="33779283">
    <w:abstractNumId w:val="5"/>
  </w:num>
  <w:num w:numId="6" w16cid:durableId="1957828725">
    <w:abstractNumId w:val="14"/>
  </w:num>
  <w:num w:numId="7" w16cid:durableId="224461201">
    <w:abstractNumId w:val="0"/>
  </w:num>
  <w:num w:numId="8" w16cid:durableId="2041007633">
    <w:abstractNumId w:val="8"/>
  </w:num>
  <w:num w:numId="9" w16cid:durableId="911546390">
    <w:abstractNumId w:val="9"/>
  </w:num>
  <w:num w:numId="10" w16cid:durableId="19618388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38899042">
    <w:abstractNumId w:val="21"/>
  </w:num>
  <w:num w:numId="12" w16cid:durableId="704719144">
    <w:abstractNumId w:val="15"/>
  </w:num>
  <w:num w:numId="13" w16cid:durableId="5909505">
    <w:abstractNumId w:val="20"/>
  </w:num>
  <w:num w:numId="14" w16cid:durableId="819343535">
    <w:abstractNumId w:val="4"/>
  </w:num>
  <w:num w:numId="15" w16cid:durableId="1832793701">
    <w:abstractNumId w:val="17"/>
  </w:num>
  <w:num w:numId="16" w16cid:durableId="1347363854">
    <w:abstractNumId w:val="11"/>
  </w:num>
  <w:num w:numId="17" w16cid:durableId="2122727364">
    <w:abstractNumId w:val="1"/>
  </w:num>
  <w:num w:numId="18" w16cid:durableId="1743066764">
    <w:abstractNumId w:val="6"/>
  </w:num>
  <w:num w:numId="19" w16cid:durableId="2011564983">
    <w:abstractNumId w:val="2"/>
  </w:num>
  <w:num w:numId="20" w16cid:durableId="1519927105">
    <w:abstractNumId w:val="13"/>
  </w:num>
  <w:num w:numId="21" w16cid:durableId="558173480">
    <w:abstractNumId w:val="10"/>
  </w:num>
  <w:num w:numId="22" w16cid:durableId="30189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F4A"/>
    <w:rsid w:val="000256B4"/>
    <w:rsid w:val="00040DC0"/>
    <w:rsid w:val="000A3B6A"/>
    <w:rsid w:val="000C0E4E"/>
    <w:rsid w:val="000C6CC7"/>
    <w:rsid w:val="000D3D84"/>
    <w:rsid w:val="000F5162"/>
    <w:rsid w:val="00104BB9"/>
    <w:rsid w:val="001237D4"/>
    <w:rsid w:val="00123903"/>
    <w:rsid w:val="00124ABB"/>
    <w:rsid w:val="00125498"/>
    <w:rsid w:val="001446B0"/>
    <w:rsid w:val="00150CE6"/>
    <w:rsid w:val="00153A4C"/>
    <w:rsid w:val="00164C07"/>
    <w:rsid w:val="00166F02"/>
    <w:rsid w:val="001743D7"/>
    <w:rsid w:val="001804A2"/>
    <w:rsid w:val="00180F69"/>
    <w:rsid w:val="001937C1"/>
    <w:rsid w:val="00196B5D"/>
    <w:rsid w:val="001A5C7C"/>
    <w:rsid w:val="001B77CD"/>
    <w:rsid w:val="001D716D"/>
    <w:rsid w:val="001E64D8"/>
    <w:rsid w:val="002102E4"/>
    <w:rsid w:val="002262EA"/>
    <w:rsid w:val="00235152"/>
    <w:rsid w:val="00243886"/>
    <w:rsid w:val="00247F5A"/>
    <w:rsid w:val="00273327"/>
    <w:rsid w:val="00295B5E"/>
    <w:rsid w:val="002C306B"/>
    <w:rsid w:val="002D5AFF"/>
    <w:rsid w:val="002D725A"/>
    <w:rsid w:val="002E53FD"/>
    <w:rsid w:val="00316698"/>
    <w:rsid w:val="00352A93"/>
    <w:rsid w:val="00356A5A"/>
    <w:rsid w:val="00366C84"/>
    <w:rsid w:val="003A1FB5"/>
    <w:rsid w:val="003B7AD0"/>
    <w:rsid w:val="003D2C8F"/>
    <w:rsid w:val="003D45B1"/>
    <w:rsid w:val="003F585E"/>
    <w:rsid w:val="00407E82"/>
    <w:rsid w:val="0042125A"/>
    <w:rsid w:val="004251DE"/>
    <w:rsid w:val="004523F0"/>
    <w:rsid w:val="004570A3"/>
    <w:rsid w:val="004711D5"/>
    <w:rsid w:val="004919E6"/>
    <w:rsid w:val="00496EF2"/>
    <w:rsid w:val="004A2022"/>
    <w:rsid w:val="004B6EA3"/>
    <w:rsid w:val="004E7F32"/>
    <w:rsid w:val="004F7609"/>
    <w:rsid w:val="00514B14"/>
    <w:rsid w:val="00536F3F"/>
    <w:rsid w:val="0054159D"/>
    <w:rsid w:val="00541C4C"/>
    <w:rsid w:val="00546CA8"/>
    <w:rsid w:val="005511EF"/>
    <w:rsid w:val="005578A5"/>
    <w:rsid w:val="0058347B"/>
    <w:rsid w:val="005943F2"/>
    <w:rsid w:val="005B2E78"/>
    <w:rsid w:val="005C7E51"/>
    <w:rsid w:val="005E54EF"/>
    <w:rsid w:val="00604BEE"/>
    <w:rsid w:val="00612F09"/>
    <w:rsid w:val="00615581"/>
    <w:rsid w:val="00617E54"/>
    <w:rsid w:val="00620221"/>
    <w:rsid w:val="00627930"/>
    <w:rsid w:val="00636717"/>
    <w:rsid w:val="00642874"/>
    <w:rsid w:val="00643ED8"/>
    <w:rsid w:val="00650890"/>
    <w:rsid w:val="00662FBC"/>
    <w:rsid w:val="00684E98"/>
    <w:rsid w:val="006C094D"/>
    <w:rsid w:val="006C4C3A"/>
    <w:rsid w:val="006D3CAE"/>
    <w:rsid w:val="006E0995"/>
    <w:rsid w:val="006E2D57"/>
    <w:rsid w:val="006F7FC2"/>
    <w:rsid w:val="00730896"/>
    <w:rsid w:val="00730F70"/>
    <w:rsid w:val="00734143"/>
    <w:rsid w:val="007377A5"/>
    <w:rsid w:val="00740FD4"/>
    <w:rsid w:val="007415E2"/>
    <w:rsid w:val="00752F4A"/>
    <w:rsid w:val="0077039C"/>
    <w:rsid w:val="0077057F"/>
    <w:rsid w:val="00776809"/>
    <w:rsid w:val="007853A9"/>
    <w:rsid w:val="007A42E6"/>
    <w:rsid w:val="007A70B5"/>
    <w:rsid w:val="008047D8"/>
    <w:rsid w:val="008140CA"/>
    <w:rsid w:val="00814A7C"/>
    <w:rsid w:val="008177C4"/>
    <w:rsid w:val="00821F8C"/>
    <w:rsid w:val="0082257D"/>
    <w:rsid w:val="00823B66"/>
    <w:rsid w:val="008300F5"/>
    <w:rsid w:val="00830134"/>
    <w:rsid w:val="0084450D"/>
    <w:rsid w:val="00865A99"/>
    <w:rsid w:val="0089315F"/>
    <w:rsid w:val="00895401"/>
    <w:rsid w:val="008A0017"/>
    <w:rsid w:val="008D679A"/>
    <w:rsid w:val="008F27E5"/>
    <w:rsid w:val="009227E9"/>
    <w:rsid w:val="009247FD"/>
    <w:rsid w:val="00932A54"/>
    <w:rsid w:val="00951877"/>
    <w:rsid w:val="009560D9"/>
    <w:rsid w:val="009652B7"/>
    <w:rsid w:val="0097256D"/>
    <w:rsid w:val="00984161"/>
    <w:rsid w:val="00986C8A"/>
    <w:rsid w:val="009B6741"/>
    <w:rsid w:val="009D4EEE"/>
    <w:rsid w:val="009D6DBF"/>
    <w:rsid w:val="009F7644"/>
    <w:rsid w:val="00A1180F"/>
    <w:rsid w:val="00A11AE2"/>
    <w:rsid w:val="00A27085"/>
    <w:rsid w:val="00A33AE8"/>
    <w:rsid w:val="00A455DA"/>
    <w:rsid w:val="00A6358D"/>
    <w:rsid w:val="00A73D4D"/>
    <w:rsid w:val="00AA0744"/>
    <w:rsid w:val="00AB4DA1"/>
    <w:rsid w:val="00AB737B"/>
    <w:rsid w:val="00AC18C3"/>
    <w:rsid w:val="00AF45DA"/>
    <w:rsid w:val="00B0070C"/>
    <w:rsid w:val="00B036E3"/>
    <w:rsid w:val="00B3341D"/>
    <w:rsid w:val="00B4139E"/>
    <w:rsid w:val="00B52F75"/>
    <w:rsid w:val="00B91439"/>
    <w:rsid w:val="00B97A12"/>
    <w:rsid w:val="00BC12BA"/>
    <w:rsid w:val="00BF47A2"/>
    <w:rsid w:val="00C013AC"/>
    <w:rsid w:val="00C071B7"/>
    <w:rsid w:val="00C23B64"/>
    <w:rsid w:val="00C5665F"/>
    <w:rsid w:val="00C73D69"/>
    <w:rsid w:val="00C74F4B"/>
    <w:rsid w:val="00C93188"/>
    <w:rsid w:val="00C94180"/>
    <w:rsid w:val="00CC71E6"/>
    <w:rsid w:val="00CE6EC3"/>
    <w:rsid w:val="00D013DA"/>
    <w:rsid w:val="00D01EFE"/>
    <w:rsid w:val="00D0363C"/>
    <w:rsid w:val="00D3361D"/>
    <w:rsid w:val="00D43369"/>
    <w:rsid w:val="00D47188"/>
    <w:rsid w:val="00D51398"/>
    <w:rsid w:val="00D54A68"/>
    <w:rsid w:val="00D73CDF"/>
    <w:rsid w:val="00D860DC"/>
    <w:rsid w:val="00DB21C9"/>
    <w:rsid w:val="00DB53C0"/>
    <w:rsid w:val="00DB58EE"/>
    <w:rsid w:val="00DC052D"/>
    <w:rsid w:val="00DF2AAD"/>
    <w:rsid w:val="00DF2F95"/>
    <w:rsid w:val="00E0787E"/>
    <w:rsid w:val="00E15FF6"/>
    <w:rsid w:val="00E366FA"/>
    <w:rsid w:val="00E37DFA"/>
    <w:rsid w:val="00E5557F"/>
    <w:rsid w:val="00E65CE4"/>
    <w:rsid w:val="00E706FE"/>
    <w:rsid w:val="00E80DBD"/>
    <w:rsid w:val="00E829D2"/>
    <w:rsid w:val="00EA0165"/>
    <w:rsid w:val="00ED6DEB"/>
    <w:rsid w:val="00ED7A5C"/>
    <w:rsid w:val="00EE61C7"/>
    <w:rsid w:val="00EF7E9D"/>
    <w:rsid w:val="00F012E9"/>
    <w:rsid w:val="00F0284E"/>
    <w:rsid w:val="00F0434B"/>
    <w:rsid w:val="00F16302"/>
    <w:rsid w:val="00F4627D"/>
    <w:rsid w:val="00F64417"/>
    <w:rsid w:val="00F840A7"/>
    <w:rsid w:val="00F90DBF"/>
    <w:rsid w:val="00F92B23"/>
    <w:rsid w:val="00F9689B"/>
    <w:rsid w:val="00FA06C8"/>
    <w:rsid w:val="00FA162A"/>
    <w:rsid w:val="00FA69CF"/>
    <w:rsid w:val="00FC221B"/>
    <w:rsid w:val="00FD0976"/>
    <w:rsid w:val="00FE08C9"/>
    <w:rsid w:val="00FF5022"/>
    <w:rsid w:val="0104270A"/>
    <w:rsid w:val="011B5254"/>
    <w:rsid w:val="013E7707"/>
    <w:rsid w:val="0198F8B7"/>
    <w:rsid w:val="01F7C7AB"/>
    <w:rsid w:val="03071279"/>
    <w:rsid w:val="030B12F4"/>
    <w:rsid w:val="030F5B96"/>
    <w:rsid w:val="0344E7EE"/>
    <w:rsid w:val="03EE47EC"/>
    <w:rsid w:val="04310831"/>
    <w:rsid w:val="04A92E13"/>
    <w:rsid w:val="04E76EFD"/>
    <w:rsid w:val="05210FC4"/>
    <w:rsid w:val="0566AF33"/>
    <w:rsid w:val="05841621"/>
    <w:rsid w:val="05A38FC0"/>
    <w:rsid w:val="06D87468"/>
    <w:rsid w:val="073E1006"/>
    <w:rsid w:val="07B1E8DC"/>
    <w:rsid w:val="08038151"/>
    <w:rsid w:val="08E77D30"/>
    <w:rsid w:val="0923BEB9"/>
    <w:rsid w:val="097F2D79"/>
    <w:rsid w:val="09F79C89"/>
    <w:rsid w:val="0A72D48F"/>
    <w:rsid w:val="0B050991"/>
    <w:rsid w:val="0B5DAE3B"/>
    <w:rsid w:val="0B5DD260"/>
    <w:rsid w:val="0B9EFDC0"/>
    <w:rsid w:val="0BB14763"/>
    <w:rsid w:val="0BC4B661"/>
    <w:rsid w:val="0C08405B"/>
    <w:rsid w:val="0D3C9B78"/>
    <w:rsid w:val="0D761C99"/>
    <w:rsid w:val="0D7E05DD"/>
    <w:rsid w:val="0DA02539"/>
    <w:rsid w:val="0DB88314"/>
    <w:rsid w:val="0ED18F46"/>
    <w:rsid w:val="0EE23AA0"/>
    <w:rsid w:val="0F7C7DF9"/>
    <w:rsid w:val="0F9FB630"/>
    <w:rsid w:val="0FEFD963"/>
    <w:rsid w:val="106FCCC5"/>
    <w:rsid w:val="108346F5"/>
    <w:rsid w:val="10DE4619"/>
    <w:rsid w:val="1156A29F"/>
    <w:rsid w:val="1200A577"/>
    <w:rsid w:val="12E8CC04"/>
    <w:rsid w:val="136EB897"/>
    <w:rsid w:val="14300EF5"/>
    <w:rsid w:val="1567778C"/>
    <w:rsid w:val="1644D46F"/>
    <w:rsid w:val="16837A88"/>
    <w:rsid w:val="16EAD183"/>
    <w:rsid w:val="16EE6508"/>
    <w:rsid w:val="170CEF25"/>
    <w:rsid w:val="174D7389"/>
    <w:rsid w:val="17A74DC4"/>
    <w:rsid w:val="17CDA80E"/>
    <w:rsid w:val="17D61BBE"/>
    <w:rsid w:val="188BC35F"/>
    <w:rsid w:val="18A450F2"/>
    <w:rsid w:val="197EE75D"/>
    <w:rsid w:val="1A2BAECA"/>
    <w:rsid w:val="1A321A0D"/>
    <w:rsid w:val="1AD0C21F"/>
    <w:rsid w:val="1B095727"/>
    <w:rsid w:val="1B4A771D"/>
    <w:rsid w:val="1BA47CFA"/>
    <w:rsid w:val="1BD1C152"/>
    <w:rsid w:val="1BD53BB6"/>
    <w:rsid w:val="1C91F168"/>
    <w:rsid w:val="1C9D1FA4"/>
    <w:rsid w:val="1CBC5A07"/>
    <w:rsid w:val="1D2B6D71"/>
    <w:rsid w:val="1D78B78E"/>
    <w:rsid w:val="1DB90EB7"/>
    <w:rsid w:val="1DC0FB37"/>
    <w:rsid w:val="1DED2F89"/>
    <w:rsid w:val="1E8ED4E8"/>
    <w:rsid w:val="1F8E6CF1"/>
    <w:rsid w:val="1FE704B4"/>
    <w:rsid w:val="202CAFE4"/>
    <w:rsid w:val="2034CD40"/>
    <w:rsid w:val="20670888"/>
    <w:rsid w:val="2149E3EF"/>
    <w:rsid w:val="220423E1"/>
    <w:rsid w:val="223B9611"/>
    <w:rsid w:val="22D68F8C"/>
    <w:rsid w:val="233BACDE"/>
    <w:rsid w:val="23B81716"/>
    <w:rsid w:val="23E11917"/>
    <w:rsid w:val="24003452"/>
    <w:rsid w:val="245BE763"/>
    <w:rsid w:val="2468A1C5"/>
    <w:rsid w:val="252F7AB7"/>
    <w:rsid w:val="255E7C60"/>
    <w:rsid w:val="265D0DE3"/>
    <w:rsid w:val="26960C80"/>
    <w:rsid w:val="26E23457"/>
    <w:rsid w:val="273D1759"/>
    <w:rsid w:val="27920181"/>
    <w:rsid w:val="27B754BE"/>
    <w:rsid w:val="27F02F8D"/>
    <w:rsid w:val="28856692"/>
    <w:rsid w:val="28BAC2E7"/>
    <w:rsid w:val="293ED443"/>
    <w:rsid w:val="2995B5CE"/>
    <w:rsid w:val="2A360D41"/>
    <w:rsid w:val="2AD87461"/>
    <w:rsid w:val="2B95C1F5"/>
    <w:rsid w:val="2BD274B2"/>
    <w:rsid w:val="2C716A7D"/>
    <w:rsid w:val="2C832B8F"/>
    <w:rsid w:val="2CD7BB7D"/>
    <w:rsid w:val="2CE39552"/>
    <w:rsid w:val="2D0A2029"/>
    <w:rsid w:val="302E20D9"/>
    <w:rsid w:val="30518B30"/>
    <w:rsid w:val="30618203"/>
    <w:rsid w:val="30BD7CA1"/>
    <w:rsid w:val="30C58926"/>
    <w:rsid w:val="31657D65"/>
    <w:rsid w:val="322B6EF3"/>
    <w:rsid w:val="32EC4872"/>
    <w:rsid w:val="332CEAE4"/>
    <w:rsid w:val="3360DC5D"/>
    <w:rsid w:val="336D7472"/>
    <w:rsid w:val="33AE26D6"/>
    <w:rsid w:val="3632B0B7"/>
    <w:rsid w:val="3706D0D2"/>
    <w:rsid w:val="376850B0"/>
    <w:rsid w:val="37745382"/>
    <w:rsid w:val="378100CD"/>
    <w:rsid w:val="380F6323"/>
    <w:rsid w:val="3819B7B5"/>
    <w:rsid w:val="388DEDC1"/>
    <w:rsid w:val="397C8746"/>
    <w:rsid w:val="39A06CE2"/>
    <w:rsid w:val="3A271380"/>
    <w:rsid w:val="3A2F8F65"/>
    <w:rsid w:val="3A734C58"/>
    <w:rsid w:val="3A8257F3"/>
    <w:rsid w:val="3A936C8D"/>
    <w:rsid w:val="3B0F5198"/>
    <w:rsid w:val="3C49CCB7"/>
    <w:rsid w:val="3D3DC2F0"/>
    <w:rsid w:val="3E13D21A"/>
    <w:rsid w:val="3F039967"/>
    <w:rsid w:val="3F2AADF8"/>
    <w:rsid w:val="3FE132C9"/>
    <w:rsid w:val="41DF8EA6"/>
    <w:rsid w:val="420B8A3A"/>
    <w:rsid w:val="4286809C"/>
    <w:rsid w:val="435B8A7F"/>
    <w:rsid w:val="45309AA7"/>
    <w:rsid w:val="45A2227F"/>
    <w:rsid w:val="479F4C95"/>
    <w:rsid w:val="47C0E8F8"/>
    <w:rsid w:val="48A12610"/>
    <w:rsid w:val="48E0CF85"/>
    <w:rsid w:val="48F18A9A"/>
    <w:rsid w:val="491BB148"/>
    <w:rsid w:val="4934A85C"/>
    <w:rsid w:val="49844A26"/>
    <w:rsid w:val="4987939D"/>
    <w:rsid w:val="49D8BF71"/>
    <w:rsid w:val="4AB24988"/>
    <w:rsid w:val="4B4F3EE1"/>
    <w:rsid w:val="4B57B7B5"/>
    <w:rsid w:val="4BE040AF"/>
    <w:rsid w:val="4BF4089F"/>
    <w:rsid w:val="4BFC8D92"/>
    <w:rsid w:val="4CADDA77"/>
    <w:rsid w:val="4CC9903E"/>
    <w:rsid w:val="4CE4DE4D"/>
    <w:rsid w:val="4D28B1FE"/>
    <w:rsid w:val="4D736079"/>
    <w:rsid w:val="4D85C66C"/>
    <w:rsid w:val="4DB34FF7"/>
    <w:rsid w:val="4DDE030C"/>
    <w:rsid w:val="4EEAE736"/>
    <w:rsid w:val="4EF70CDB"/>
    <w:rsid w:val="4F2BAEF9"/>
    <w:rsid w:val="4F996666"/>
    <w:rsid w:val="4FC65953"/>
    <w:rsid w:val="5142B133"/>
    <w:rsid w:val="517E2BB2"/>
    <w:rsid w:val="51E9AA4C"/>
    <w:rsid w:val="51FA8CA4"/>
    <w:rsid w:val="52368F39"/>
    <w:rsid w:val="53340F37"/>
    <w:rsid w:val="53E1E5FD"/>
    <w:rsid w:val="53E39634"/>
    <w:rsid w:val="53E4DDB5"/>
    <w:rsid w:val="53F41B43"/>
    <w:rsid w:val="543C23F9"/>
    <w:rsid w:val="5469B8DB"/>
    <w:rsid w:val="54725E81"/>
    <w:rsid w:val="54FEEA86"/>
    <w:rsid w:val="551C137C"/>
    <w:rsid w:val="559C70CE"/>
    <w:rsid w:val="5609FA1F"/>
    <w:rsid w:val="56B69C35"/>
    <w:rsid w:val="56D25403"/>
    <w:rsid w:val="58BD0CB3"/>
    <w:rsid w:val="58C8A43B"/>
    <w:rsid w:val="58E3898B"/>
    <w:rsid w:val="5A003BDF"/>
    <w:rsid w:val="5A0547B6"/>
    <w:rsid w:val="5A615DD3"/>
    <w:rsid w:val="5AB777B8"/>
    <w:rsid w:val="5AD577C9"/>
    <w:rsid w:val="5B21E151"/>
    <w:rsid w:val="5C4660B4"/>
    <w:rsid w:val="5D7B186E"/>
    <w:rsid w:val="5E1BBACF"/>
    <w:rsid w:val="5EB64C79"/>
    <w:rsid w:val="5ED8A942"/>
    <w:rsid w:val="5F01ED8F"/>
    <w:rsid w:val="5F7CBDB2"/>
    <w:rsid w:val="5F9B15A0"/>
    <w:rsid w:val="6041E933"/>
    <w:rsid w:val="6042F875"/>
    <w:rsid w:val="6054C279"/>
    <w:rsid w:val="60CC8786"/>
    <w:rsid w:val="61CF12D9"/>
    <w:rsid w:val="6275FC29"/>
    <w:rsid w:val="62D32AE6"/>
    <w:rsid w:val="63157B61"/>
    <w:rsid w:val="63E19370"/>
    <w:rsid w:val="641D86F5"/>
    <w:rsid w:val="64A55BF3"/>
    <w:rsid w:val="6509EE0E"/>
    <w:rsid w:val="651C504D"/>
    <w:rsid w:val="655CF497"/>
    <w:rsid w:val="657657D0"/>
    <w:rsid w:val="65E55506"/>
    <w:rsid w:val="66C4663B"/>
    <w:rsid w:val="671E3A17"/>
    <w:rsid w:val="6762BBC4"/>
    <w:rsid w:val="67751473"/>
    <w:rsid w:val="67CDAECD"/>
    <w:rsid w:val="67D152D9"/>
    <w:rsid w:val="68583197"/>
    <w:rsid w:val="6864AAEE"/>
    <w:rsid w:val="689EF010"/>
    <w:rsid w:val="68BFEE6D"/>
    <w:rsid w:val="68E2C3D4"/>
    <w:rsid w:val="695D272A"/>
    <w:rsid w:val="69935756"/>
    <w:rsid w:val="69AC8913"/>
    <w:rsid w:val="69D93076"/>
    <w:rsid w:val="6A4A5A5C"/>
    <w:rsid w:val="6AF77322"/>
    <w:rsid w:val="6B1B9B48"/>
    <w:rsid w:val="6B605F2D"/>
    <w:rsid w:val="6B9E04E4"/>
    <w:rsid w:val="6BE5C360"/>
    <w:rsid w:val="6C2C1B19"/>
    <w:rsid w:val="6C953D9E"/>
    <w:rsid w:val="6D10C88B"/>
    <w:rsid w:val="6D301F8E"/>
    <w:rsid w:val="6D9E8C33"/>
    <w:rsid w:val="6DA9410F"/>
    <w:rsid w:val="6EC90AA1"/>
    <w:rsid w:val="6ED3A6AA"/>
    <w:rsid w:val="6F1A9EE8"/>
    <w:rsid w:val="6F518FD4"/>
    <w:rsid w:val="6FB0395C"/>
    <w:rsid w:val="6FC5A8CB"/>
    <w:rsid w:val="6FCAFEE3"/>
    <w:rsid w:val="6FCD0008"/>
    <w:rsid w:val="700C3A2F"/>
    <w:rsid w:val="706FFCEF"/>
    <w:rsid w:val="70790407"/>
    <w:rsid w:val="70D56D5C"/>
    <w:rsid w:val="70E774CB"/>
    <w:rsid w:val="714E00B1"/>
    <w:rsid w:val="7278D89E"/>
    <w:rsid w:val="72C4E3BA"/>
    <w:rsid w:val="738A19D2"/>
    <w:rsid w:val="73BE79D9"/>
    <w:rsid w:val="73F1F265"/>
    <w:rsid w:val="74701B0A"/>
    <w:rsid w:val="755B4B91"/>
    <w:rsid w:val="75F019F5"/>
    <w:rsid w:val="7611B3D8"/>
    <w:rsid w:val="76A2FA27"/>
    <w:rsid w:val="76FC4A52"/>
    <w:rsid w:val="770F4A55"/>
    <w:rsid w:val="7733245A"/>
    <w:rsid w:val="777B13E3"/>
    <w:rsid w:val="782FFE7F"/>
    <w:rsid w:val="78321B4A"/>
    <w:rsid w:val="784A2838"/>
    <w:rsid w:val="78B19ECB"/>
    <w:rsid w:val="78D5D12F"/>
    <w:rsid w:val="78E0D4E8"/>
    <w:rsid w:val="7983D8B4"/>
    <w:rsid w:val="79B3889A"/>
    <w:rsid w:val="7A554FB9"/>
    <w:rsid w:val="7A698355"/>
    <w:rsid w:val="7AA58BCE"/>
    <w:rsid w:val="7ACD2ECA"/>
    <w:rsid w:val="7BB60F3B"/>
    <w:rsid w:val="7BF52FE6"/>
    <w:rsid w:val="7C4AB55F"/>
    <w:rsid w:val="7CF2702C"/>
    <w:rsid w:val="7D256681"/>
    <w:rsid w:val="7D6255C6"/>
    <w:rsid w:val="7D69B447"/>
    <w:rsid w:val="7DAC9575"/>
    <w:rsid w:val="7E02ED5C"/>
    <w:rsid w:val="7E50BBFB"/>
    <w:rsid w:val="7E5FC3DE"/>
    <w:rsid w:val="7EAE42A2"/>
    <w:rsid w:val="7F06C90B"/>
    <w:rsid w:val="7F1092C7"/>
    <w:rsid w:val="7F22C100"/>
    <w:rsid w:val="7FAA8B22"/>
    <w:rsid w:val="7FE6C48B"/>
    <w:rsid w:val="7FFFC5A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55EC1"/>
  <w15:chartTrackingRefBased/>
  <w15:docId w15:val="{CCCB16E0-9D5D-40D3-9036-20B7958B2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F4A"/>
    <w:pPr>
      <w:spacing w:after="0" w:line="240" w:lineRule="auto"/>
    </w:pPr>
    <w:rPr>
      <w:rFonts w:ascii="Times New Roman" w:eastAsia="Times New Roman" w:hAnsi="Times New Roman" w:cs="Times New Roman"/>
      <w:kern w:val="0"/>
      <w:sz w:val="24"/>
      <w:szCs w:val="24"/>
      <w:lang w:val="en-ID" w:eastAsia="zh-CN"/>
      <w14:ligatures w14:val="none"/>
    </w:rPr>
  </w:style>
  <w:style w:type="paragraph" w:styleId="Heading1">
    <w:name w:val="heading 1"/>
    <w:basedOn w:val="Normal"/>
    <w:next w:val="Normal"/>
    <w:link w:val="Heading1Char"/>
    <w:uiPriority w:val="9"/>
    <w:qFormat/>
    <w:rsid w:val="00752F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52F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52F4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52F4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52F4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52F4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2F4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2F4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2F4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2F4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52F4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52F4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52F4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52F4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52F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2F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2F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2F4A"/>
    <w:rPr>
      <w:rFonts w:eastAsiaTheme="majorEastAsia" w:cstheme="majorBidi"/>
      <w:color w:val="272727" w:themeColor="text1" w:themeTint="D8"/>
    </w:rPr>
  </w:style>
  <w:style w:type="paragraph" w:styleId="Title">
    <w:name w:val="Title"/>
    <w:basedOn w:val="Normal"/>
    <w:next w:val="Normal"/>
    <w:link w:val="TitleChar"/>
    <w:uiPriority w:val="10"/>
    <w:qFormat/>
    <w:rsid w:val="00752F4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2F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2F4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2F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2F4A"/>
    <w:pPr>
      <w:spacing w:before="160"/>
      <w:jc w:val="center"/>
    </w:pPr>
    <w:rPr>
      <w:i/>
      <w:iCs/>
      <w:color w:val="404040" w:themeColor="text1" w:themeTint="BF"/>
    </w:rPr>
  </w:style>
  <w:style w:type="character" w:customStyle="1" w:styleId="QuoteChar">
    <w:name w:val="Quote Char"/>
    <w:basedOn w:val="DefaultParagraphFont"/>
    <w:link w:val="Quote"/>
    <w:uiPriority w:val="29"/>
    <w:rsid w:val="00752F4A"/>
    <w:rPr>
      <w:i/>
      <w:iCs/>
      <w:color w:val="404040" w:themeColor="text1" w:themeTint="BF"/>
    </w:rPr>
  </w:style>
  <w:style w:type="paragraph" w:styleId="ListParagraph">
    <w:name w:val="List Paragraph"/>
    <w:basedOn w:val="Normal"/>
    <w:link w:val="ListParagraphChar"/>
    <w:uiPriority w:val="34"/>
    <w:qFormat/>
    <w:rsid w:val="00752F4A"/>
    <w:pPr>
      <w:ind w:left="720"/>
      <w:contextualSpacing/>
    </w:pPr>
  </w:style>
  <w:style w:type="character" w:styleId="IntenseEmphasis">
    <w:name w:val="Intense Emphasis"/>
    <w:basedOn w:val="DefaultParagraphFont"/>
    <w:uiPriority w:val="21"/>
    <w:qFormat/>
    <w:rsid w:val="00752F4A"/>
    <w:rPr>
      <w:i/>
      <w:iCs/>
      <w:color w:val="0F4761" w:themeColor="accent1" w:themeShade="BF"/>
    </w:rPr>
  </w:style>
  <w:style w:type="paragraph" w:styleId="IntenseQuote">
    <w:name w:val="Intense Quote"/>
    <w:basedOn w:val="Normal"/>
    <w:next w:val="Normal"/>
    <w:link w:val="IntenseQuoteChar"/>
    <w:uiPriority w:val="30"/>
    <w:qFormat/>
    <w:rsid w:val="00752F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52F4A"/>
    <w:rPr>
      <w:i/>
      <w:iCs/>
      <w:color w:val="0F4761" w:themeColor="accent1" w:themeShade="BF"/>
    </w:rPr>
  </w:style>
  <w:style w:type="character" w:styleId="IntenseReference">
    <w:name w:val="Intense Reference"/>
    <w:basedOn w:val="DefaultParagraphFont"/>
    <w:uiPriority w:val="32"/>
    <w:qFormat/>
    <w:rsid w:val="00752F4A"/>
    <w:rPr>
      <w:b/>
      <w:bCs/>
      <w:smallCaps/>
      <w:color w:val="0F4761" w:themeColor="accent1" w:themeShade="BF"/>
      <w:spacing w:val="5"/>
    </w:rPr>
  </w:style>
  <w:style w:type="table" w:styleId="TableGrid">
    <w:name w:val="Table Grid"/>
    <w:basedOn w:val="TableNormal"/>
    <w:uiPriority w:val="39"/>
    <w:rsid w:val="00752F4A"/>
    <w:pPr>
      <w:widowControl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52F4A"/>
    <w:pPr>
      <w:tabs>
        <w:tab w:val="center" w:pos="4680"/>
        <w:tab w:val="right" w:pos="9360"/>
      </w:tabs>
    </w:pPr>
  </w:style>
  <w:style w:type="character" w:customStyle="1" w:styleId="HeaderChar">
    <w:name w:val="Header Char"/>
    <w:basedOn w:val="DefaultParagraphFont"/>
    <w:link w:val="Header"/>
    <w:uiPriority w:val="99"/>
    <w:rsid w:val="00752F4A"/>
    <w:rPr>
      <w:rFonts w:ascii="Times New Roman" w:eastAsia="Times New Roman" w:hAnsi="Times New Roman" w:cs="Times New Roman"/>
      <w:kern w:val="0"/>
      <w:sz w:val="24"/>
      <w:szCs w:val="24"/>
      <w:lang w:val="en-ID" w:eastAsia="zh-CN"/>
      <w14:ligatures w14:val="none"/>
    </w:rPr>
  </w:style>
  <w:style w:type="character" w:styleId="Strong">
    <w:name w:val="Strong"/>
    <w:basedOn w:val="DefaultParagraphFont"/>
    <w:uiPriority w:val="22"/>
    <w:qFormat/>
    <w:rsid w:val="00752F4A"/>
    <w:rPr>
      <w:b/>
      <w:bCs/>
    </w:rPr>
  </w:style>
  <w:style w:type="paragraph" w:styleId="Footer">
    <w:name w:val="footer"/>
    <w:basedOn w:val="Normal"/>
    <w:link w:val="FooterChar"/>
    <w:uiPriority w:val="99"/>
    <w:unhideWhenUsed/>
    <w:rsid w:val="00243886"/>
    <w:pPr>
      <w:tabs>
        <w:tab w:val="center" w:pos="4513"/>
        <w:tab w:val="right" w:pos="9026"/>
      </w:tabs>
    </w:pPr>
  </w:style>
  <w:style w:type="character" w:customStyle="1" w:styleId="FooterChar">
    <w:name w:val="Footer Char"/>
    <w:basedOn w:val="DefaultParagraphFont"/>
    <w:link w:val="Footer"/>
    <w:uiPriority w:val="99"/>
    <w:rsid w:val="00243886"/>
    <w:rPr>
      <w:rFonts w:ascii="Times New Roman" w:eastAsia="Times New Roman" w:hAnsi="Times New Roman" w:cs="Times New Roman"/>
      <w:kern w:val="0"/>
      <w:sz w:val="24"/>
      <w:szCs w:val="24"/>
      <w:lang w:val="en-ID" w:eastAsia="zh-CN"/>
      <w14:ligatures w14:val="none"/>
    </w:rPr>
  </w:style>
  <w:style w:type="paragraph" w:styleId="Revision">
    <w:name w:val="Revision"/>
    <w:hidden/>
    <w:uiPriority w:val="99"/>
    <w:semiHidden/>
    <w:rsid w:val="003D2C8F"/>
    <w:pPr>
      <w:spacing w:after="0" w:line="240" w:lineRule="auto"/>
    </w:pPr>
    <w:rPr>
      <w:rFonts w:ascii="Times New Roman" w:eastAsia="Times New Roman" w:hAnsi="Times New Roman" w:cs="Times New Roman"/>
      <w:kern w:val="0"/>
      <w:sz w:val="24"/>
      <w:szCs w:val="24"/>
      <w:lang w:val="en-ID" w:eastAsia="zh-CN"/>
      <w14:ligatures w14:val="none"/>
    </w:rPr>
  </w:style>
  <w:style w:type="character" w:styleId="Hyperlink">
    <w:name w:val="Hyperlink"/>
    <w:basedOn w:val="DefaultParagraphFont"/>
    <w:uiPriority w:val="99"/>
    <w:unhideWhenUsed/>
    <w:rsid w:val="00D47188"/>
    <w:rPr>
      <w:color w:val="467886" w:themeColor="hyperlink"/>
      <w:u w:val="single"/>
    </w:rPr>
  </w:style>
  <w:style w:type="character" w:styleId="UnresolvedMention">
    <w:name w:val="Unresolved Mention"/>
    <w:basedOn w:val="DefaultParagraphFont"/>
    <w:uiPriority w:val="99"/>
    <w:semiHidden/>
    <w:unhideWhenUsed/>
    <w:rsid w:val="00D47188"/>
    <w:rPr>
      <w:color w:val="605E5C"/>
      <w:shd w:val="clear" w:color="auto" w:fill="E1DFDD"/>
    </w:rPr>
  </w:style>
  <w:style w:type="character" w:customStyle="1" w:styleId="ListParagraphChar">
    <w:name w:val="List Paragraph Char"/>
    <w:basedOn w:val="DefaultParagraphFont"/>
    <w:link w:val="ListParagraph"/>
    <w:uiPriority w:val="34"/>
    <w:rsid w:val="00E829D2"/>
    <w:rPr>
      <w:rFonts w:ascii="Times New Roman" w:eastAsia="Times New Roman" w:hAnsi="Times New Roman" w:cs="Times New Roman"/>
      <w:kern w:val="0"/>
      <w:sz w:val="24"/>
      <w:szCs w:val="24"/>
      <w:lang w:val="en-ID" w:eastAsia="zh-CN"/>
      <w14:ligatures w14:val="none"/>
    </w:rPr>
  </w:style>
  <w:style w:type="table" w:styleId="GridTable1Light-Accent1">
    <w:name w:val="Grid Table 1 Light Accent 1"/>
    <w:basedOn w:val="TableNormal"/>
    <w:uiPriority w:val="46"/>
    <w:rsid w:val="004523F0"/>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4523F0"/>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077027">
      <w:bodyDiv w:val="1"/>
      <w:marLeft w:val="0"/>
      <w:marRight w:val="0"/>
      <w:marTop w:val="0"/>
      <w:marBottom w:val="0"/>
      <w:divBdr>
        <w:top w:val="none" w:sz="0" w:space="0" w:color="auto"/>
        <w:left w:val="none" w:sz="0" w:space="0" w:color="auto"/>
        <w:bottom w:val="none" w:sz="0" w:space="0" w:color="auto"/>
        <w:right w:val="none" w:sz="0" w:space="0" w:color="auto"/>
      </w:divBdr>
    </w:div>
    <w:div w:id="647443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webSettings" Target="webSettings.xml"/><Relationship Id="rId12" Type="http://schemas.openxmlformats.org/officeDocument/2006/relationships/hyperlink" Target="https://www.itu.int/en/ITU-D/Regional-Presence/AsiaPacific/Pages/Events/2025/ITTLLDC%202025/main.aspx" TargetMode="External"/><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2BB634496EAB498A685EA26DE87D9A" ma:contentTypeVersion="3" ma:contentTypeDescription="Create a new document." ma:contentTypeScope="" ma:versionID="2c209e43ad5c8f4914c13292957445d3">
  <xsd:schema xmlns:xsd="http://www.w3.org/2001/XMLSchema" xmlns:xs="http://www.w3.org/2001/XMLSchema" xmlns:p="http://schemas.microsoft.com/office/2006/metadata/properties" xmlns:ns1="http://schemas.microsoft.com/sharepoint/v3" xmlns:ns2="ce1d9229-ea97-4c6f-a2f4-dd635208ba85" xmlns:ns3="1aaea1ea-72e4-4374-b05e-72e2f16fb7ae" targetNamespace="http://schemas.microsoft.com/office/2006/metadata/properties" ma:root="true" ma:fieldsID="0e4c05d136919731d5f0968da5048ea9" ns1:_="" ns2:_="" ns3:_="">
    <xsd:import namespace="http://schemas.microsoft.com/sharepoint/v3"/>
    <xsd:import namespace="ce1d9229-ea97-4c6f-a2f4-dd635208ba85"/>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e1d9229-ea97-4c6f-a2f4-dd635208ba8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16E857-12CC-4C83-B827-AD9C479B7CE4}"/>
</file>

<file path=customXml/itemProps2.xml><?xml version="1.0" encoding="utf-8"?>
<ds:datastoreItem xmlns:ds="http://schemas.openxmlformats.org/officeDocument/2006/customXml" ds:itemID="{057FE60D-3E29-428C-BC6A-6749B9721990}">
  <ds:schemaRefs>
    <ds:schemaRef ds:uri="http://www.w3.org/XML/1998/namespace"/>
    <ds:schemaRef ds:uri="http://schemas.microsoft.com/office/2006/documentManagement/types"/>
    <ds:schemaRef ds:uri="0f208774-d51b-4573-a67b-89dea6922a77"/>
    <ds:schemaRef ds:uri="http://schemas.microsoft.com/office/2006/metadata/properties"/>
    <ds:schemaRef ds:uri="http://schemas.microsoft.com/office/infopath/2007/PartnerControls"/>
    <ds:schemaRef ds:uri="http://schemas.openxmlformats.org/package/2006/metadata/core-properties"/>
    <ds:schemaRef ds:uri="http://purl.org/dc/dcmitype/"/>
    <ds:schemaRef ds:uri="c90385a7-5e94-4852-9398-ec888c07ca90"/>
    <ds:schemaRef ds:uri="http://purl.org/dc/terms/"/>
    <ds:schemaRef ds:uri="http://purl.org/dc/elements/1.1/"/>
  </ds:schemaRefs>
</ds:datastoreItem>
</file>

<file path=customXml/itemProps3.xml><?xml version="1.0" encoding="utf-8"?>
<ds:datastoreItem xmlns:ds="http://schemas.openxmlformats.org/officeDocument/2006/customXml" ds:itemID="{00A4C6CE-C265-4312-B432-EEAC51DF9F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3456</Words>
  <Characters>19701</Characters>
  <Application>Microsoft Office Word</Application>
  <DocSecurity>0</DocSecurity>
  <Lines>164</Lines>
  <Paragraphs>46</Paragraphs>
  <ScaleCrop>false</ScaleCrop>
  <Company/>
  <LinksUpToDate>false</LinksUpToDate>
  <CharactersWithSpaces>23111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Sharma, Akanksha</dc:creator>
  <cp:keywords/>
  <dc:description/>
  <cp:lastModifiedBy>Riaz, Aamir</cp:lastModifiedBy>
  <cp:revision>3</cp:revision>
  <dcterms:created xsi:type="dcterms:W3CDTF">2025-09-15T07:23:00Z</dcterms:created>
  <dcterms:modified xsi:type="dcterms:W3CDTF">2025-09-15T07:24:00Z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0x010100202BB634496EAB498A685EA26DE87D9A</vt:lpwstr>
  </property>
  <property fmtid="{D5CDD505-2E9C-101B-9397-08002B2CF9AE}" pid="3" name="MediaServiceImageTags">
    <vt:lpwstr/>
  </property>
</Properties>
</file>