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E3ED8" w14:textId="77777777" w:rsidR="00EC4CB6" w:rsidRPr="00021329" w:rsidRDefault="00EC4CB6" w:rsidP="00EC4CB6">
      <w:pPr>
        <w:spacing w:after="0" w:line="240" w:lineRule="auto"/>
        <w:rPr>
          <w:b/>
        </w:rPr>
      </w:pPr>
      <w:r w:rsidRPr="00021329">
        <w:rPr>
          <w:b/>
        </w:rPr>
        <w:t>Excellences,</w:t>
      </w:r>
    </w:p>
    <w:p w14:paraId="30DDD038" w14:textId="77777777" w:rsidR="00EC4CB6" w:rsidRPr="00021329" w:rsidRDefault="00EC4CB6" w:rsidP="00EC4CB6">
      <w:pPr>
        <w:spacing w:after="0" w:line="240" w:lineRule="auto"/>
        <w:rPr>
          <w:rFonts w:cs="Arial Unicode MS"/>
          <w:lang w:bidi="bn-IN"/>
        </w:rPr>
      </w:pPr>
      <w:r w:rsidRPr="00021329">
        <w:rPr>
          <w:b/>
        </w:rPr>
        <w:t>Distinguished Delegates,</w:t>
      </w:r>
      <w:r w:rsidRPr="00021329">
        <w:rPr>
          <w:b/>
        </w:rPr>
        <w:br/>
        <w:t>Ladies and Gentlemen,</w:t>
      </w:r>
    </w:p>
    <w:p w14:paraId="4889AF9D" w14:textId="77777777" w:rsidR="00EC4CB6" w:rsidRDefault="00EC4CB6" w:rsidP="00EC4CB6">
      <w:pPr>
        <w:spacing w:after="0" w:line="240" w:lineRule="auto"/>
        <w:ind w:firstLine="720"/>
        <w:jc w:val="both"/>
        <w:rPr>
          <w:rFonts w:ascii="Centaur" w:hAnsi="Centaur"/>
        </w:rPr>
      </w:pPr>
    </w:p>
    <w:p w14:paraId="6522E782" w14:textId="77777777" w:rsidR="00EC4CB6" w:rsidRPr="00021329" w:rsidRDefault="00EC4CB6" w:rsidP="00EC4CB6">
      <w:pPr>
        <w:spacing w:after="0" w:line="240" w:lineRule="auto"/>
        <w:ind w:firstLine="720"/>
        <w:jc w:val="both"/>
        <w:rPr>
          <w:rFonts w:ascii="Centaur" w:hAnsi="Centaur"/>
        </w:rPr>
      </w:pPr>
      <w:r w:rsidRPr="00021329">
        <w:rPr>
          <w:rFonts w:ascii="Centaur" w:hAnsi="Centaur"/>
        </w:rPr>
        <w:t>Today I am</w:t>
      </w:r>
      <w:r w:rsidR="00C44DC6">
        <w:rPr>
          <w:rFonts w:ascii="Centaur" w:hAnsi="Centaur"/>
        </w:rPr>
        <w:t xml:space="preserve"> delighted to take part in the </w:t>
      </w:r>
      <w:r w:rsidRPr="00021329">
        <w:rPr>
          <w:rFonts w:ascii="Centaur" w:hAnsi="Centaur"/>
        </w:rPr>
        <w:t>8</w:t>
      </w:r>
      <w:r w:rsidRPr="00021329">
        <w:rPr>
          <w:rFonts w:ascii="Centaur" w:hAnsi="Centaur"/>
          <w:vertAlign w:val="superscript"/>
        </w:rPr>
        <w:t>th</w:t>
      </w:r>
      <w:r w:rsidRPr="00021329">
        <w:rPr>
          <w:rFonts w:ascii="Centaur" w:hAnsi="Centaur"/>
        </w:rPr>
        <w:t xml:space="preserve"> edition of ITU-BTRC Asia-Pacific Regulators’ Roundtable. As the name implies, I am in the midst of senior representatives of telecommunication/ICT policy making and regulatory agencies which is a great challenge and a momentous opportunity for me and my country at the same time. It is an honor, Thank you all.</w:t>
      </w:r>
    </w:p>
    <w:p w14:paraId="07185F64" w14:textId="77777777" w:rsidR="00EC4CB6" w:rsidRPr="00021329" w:rsidRDefault="00EC4CB6" w:rsidP="00EC4CB6">
      <w:pPr>
        <w:spacing w:after="0" w:line="240" w:lineRule="auto"/>
        <w:ind w:firstLine="720"/>
        <w:jc w:val="both"/>
        <w:rPr>
          <w:rFonts w:ascii="Centaur" w:hAnsi="Centaur"/>
        </w:rPr>
      </w:pPr>
      <w:r w:rsidRPr="00021329">
        <w:rPr>
          <w:rFonts w:ascii="Centaur" w:hAnsi="Centaur"/>
        </w:rPr>
        <w:t>First of all, I would like to express my heartfelt gratitude and appreciation to the organizer-partner ITU and support-partner the</w:t>
      </w:r>
      <w:r w:rsidR="009C3D2A">
        <w:rPr>
          <w:rFonts w:ascii="Centaur" w:hAnsi="Centaur"/>
        </w:rPr>
        <w:t xml:space="preserve"> department of communication and arts</w:t>
      </w:r>
      <w:r w:rsidRPr="00021329">
        <w:rPr>
          <w:rFonts w:ascii="Centaur" w:hAnsi="Centaur"/>
        </w:rPr>
        <w:t xml:space="preserve"> Australian Government. I cannot but mention the name of BTRC, Bangladesh Telecommunication Regulatory Commission, the organizer-partner and host of this precious summit of Asia-Pacific Regulators on behalf of Bangladesh Government.   </w:t>
      </w:r>
    </w:p>
    <w:p w14:paraId="4D1027CA" w14:textId="77777777" w:rsidR="00EC4CB6" w:rsidRPr="00021329" w:rsidRDefault="00EC4CB6" w:rsidP="00EC4CB6">
      <w:pPr>
        <w:spacing w:after="0" w:line="240" w:lineRule="auto"/>
        <w:ind w:firstLine="720"/>
        <w:jc w:val="both"/>
        <w:rPr>
          <w:rFonts w:ascii="Centaur" w:hAnsi="Centaur"/>
        </w:rPr>
      </w:pPr>
    </w:p>
    <w:p w14:paraId="7FD34D84" w14:textId="77777777" w:rsidR="00EC4CB6" w:rsidRPr="00021329" w:rsidRDefault="00EC4CB6" w:rsidP="00EC4CB6">
      <w:pPr>
        <w:contextualSpacing/>
        <w:jc w:val="both"/>
        <w:rPr>
          <w:b/>
          <w:bCs/>
          <w:iCs/>
        </w:rPr>
      </w:pPr>
      <w:r w:rsidRPr="00021329">
        <w:rPr>
          <w:b/>
          <w:bCs/>
          <w:iCs/>
        </w:rPr>
        <w:t>Excellences &amp; Distinguished Guests,</w:t>
      </w:r>
    </w:p>
    <w:p w14:paraId="6851B8B0" w14:textId="77777777" w:rsidR="00EC4CB6" w:rsidRDefault="00EC4CB6" w:rsidP="00EC4CB6">
      <w:pPr>
        <w:spacing w:line="240" w:lineRule="auto"/>
        <w:ind w:firstLine="720"/>
        <w:contextualSpacing/>
        <w:jc w:val="both"/>
        <w:rPr>
          <w:rFonts w:ascii="Centaur" w:hAnsi="Centaur" w:cstheme="minorHAnsi"/>
        </w:rPr>
      </w:pPr>
    </w:p>
    <w:p w14:paraId="22271BF8" w14:textId="77777777" w:rsidR="00EC4CB6" w:rsidRPr="00021329" w:rsidRDefault="00EC4CB6" w:rsidP="00EC4CB6">
      <w:pPr>
        <w:spacing w:line="240" w:lineRule="auto"/>
        <w:ind w:firstLine="720"/>
        <w:contextualSpacing/>
        <w:jc w:val="both"/>
        <w:rPr>
          <w:rFonts w:ascii="Centaur" w:hAnsi="Centaur" w:cstheme="minorHAnsi"/>
        </w:rPr>
      </w:pPr>
      <w:r w:rsidRPr="00021329">
        <w:rPr>
          <w:rFonts w:ascii="Centaur" w:hAnsi="Centaur" w:cstheme="minorHAnsi"/>
        </w:rPr>
        <w:t>The constitution of Bangladesh declares that the State shall endeavor to ensure equality of opportunity to all citizens, and shall adopt effective measure to remove social and economic inequality and ensure the equitable distribution of wealth and opportunity among citizens in order to attain a uniform level of economic development throughout the republic. With a common view to it, our premier H.E.SHEIKH HASINA said that, With ‘Digital Bangladesh’ as a driving national agenda, our goal is to build a “</w:t>
      </w:r>
      <w:proofErr w:type="spellStart"/>
      <w:r w:rsidRPr="00021329">
        <w:rPr>
          <w:rFonts w:ascii="Centaur" w:hAnsi="Centaur" w:cstheme="minorHAnsi"/>
        </w:rPr>
        <w:t>Shonar</w:t>
      </w:r>
      <w:proofErr w:type="spellEnd"/>
      <w:r w:rsidRPr="00021329">
        <w:rPr>
          <w:rFonts w:ascii="Centaur" w:hAnsi="Centaur" w:cstheme="minorHAnsi"/>
        </w:rPr>
        <w:t xml:space="preserve"> Bangla” (Golden Bengal) – poverty free, steadily progressive and steep in democratic values.</w:t>
      </w:r>
    </w:p>
    <w:p w14:paraId="5168BF60" w14:textId="77777777" w:rsidR="00EC4CB6" w:rsidRPr="00021329" w:rsidRDefault="00EC4CB6" w:rsidP="00EC4CB6">
      <w:pPr>
        <w:spacing w:line="240" w:lineRule="auto"/>
        <w:ind w:firstLine="720"/>
        <w:contextualSpacing/>
        <w:jc w:val="both"/>
        <w:rPr>
          <w:rFonts w:ascii="Centaur" w:hAnsi="Centaur" w:cstheme="minorHAnsi"/>
        </w:rPr>
      </w:pPr>
    </w:p>
    <w:p w14:paraId="3A82AE40" w14:textId="77777777" w:rsidR="00EC4CB6" w:rsidRPr="00021329" w:rsidRDefault="00EC4CB6" w:rsidP="00EC4CB6">
      <w:pPr>
        <w:contextualSpacing/>
        <w:jc w:val="both"/>
        <w:rPr>
          <w:b/>
          <w:bCs/>
          <w:iCs/>
        </w:rPr>
      </w:pPr>
      <w:r w:rsidRPr="00021329">
        <w:rPr>
          <w:b/>
          <w:bCs/>
          <w:iCs/>
        </w:rPr>
        <w:t>Distinguished Delegates,</w:t>
      </w:r>
    </w:p>
    <w:p w14:paraId="4263A810" w14:textId="77777777" w:rsidR="00EC4CB6" w:rsidRDefault="00EC4CB6" w:rsidP="00EC4CB6">
      <w:pPr>
        <w:spacing w:line="240" w:lineRule="auto"/>
        <w:ind w:firstLine="720"/>
        <w:contextualSpacing/>
        <w:jc w:val="both"/>
        <w:rPr>
          <w:rFonts w:ascii="Centaur" w:hAnsi="Centaur" w:cs="Nirmala UI"/>
          <w:lang w:bidi="bn-IN"/>
        </w:rPr>
      </w:pPr>
    </w:p>
    <w:p w14:paraId="04334D5A" w14:textId="77777777" w:rsidR="00EC4CB6" w:rsidRPr="00021329" w:rsidRDefault="00EC4CB6" w:rsidP="00EC4CB6">
      <w:pPr>
        <w:spacing w:line="240" w:lineRule="auto"/>
        <w:ind w:firstLine="720"/>
        <w:contextualSpacing/>
        <w:jc w:val="both"/>
        <w:rPr>
          <w:rFonts w:ascii="Centaur" w:hAnsi="Centaur" w:cstheme="minorHAnsi"/>
        </w:rPr>
      </w:pPr>
      <w:r w:rsidRPr="00021329">
        <w:rPr>
          <w:rFonts w:ascii="Centaur" w:hAnsi="Centaur" w:cs="Nirmala UI"/>
          <w:lang w:bidi="bn-IN"/>
        </w:rPr>
        <w:t>As described</w:t>
      </w:r>
      <w:r w:rsidRPr="00021329">
        <w:rPr>
          <w:rFonts w:ascii="Centaur" w:hAnsi="Centaur" w:cstheme="minorHAnsi"/>
        </w:rPr>
        <w:t xml:space="preserve"> in economics and business, when a network effect is present, the value of a product or service increases according to the number of others using it. In A "two-way market" or a "two-sided network”, like those found in the Telecommunications, ICT, Multi-media, etc., network externality, I mean, network effects are seen as an important feature for a long time. Generally speaking, when regulators intervene or step into these markets, there is usually a fairly strong monopoly issue. For example, the ventures needed to establish a competing garment industry or telecommunication network is beyond the means of a would-be entrant. Whether it is quite unlikely for a new app developer. </w:t>
      </w:r>
    </w:p>
    <w:p w14:paraId="3F2B1983" w14:textId="77777777" w:rsidR="00EC4CB6" w:rsidRPr="00021329" w:rsidRDefault="00EC4CB6" w:rsidP="00EC4CB6">
      <w:pPr>
        <w:spacing w:line="240" w:lineRule="auto"/>
        <w:ind w:firstLine="720"/>
        <w:contextualSpacing/>
        <w:jc w:val="both"/>
        <w:rPr>
          <w:rFonts w:ascii="Centaur" w:hAnsi="Centaur" w:cstheme="minorHAnsi"/>
        </w:rPr>
      </w:pPr>
      <w:r w:rsidRPr="00021329">
        <w:rPr>
          <w:rFonts w:ascii="Centaur" w:hAnsi="Centaur" w:cstheme="minorHAnsi"/>
        </w:rPr>
        <w:t>Digital technology has advanced at a phenomenal pace since the start of the millennium.  What makes online platforms so different from traditional platform markets is the fact that they can be scaled swiftly and inexpensively. New services can grow from zero to hundreds of millions of subscribers seemingly overnight.</w:t>
      </w:r>
    </w:p>
    <w:p w14:paraId="737E89AF" w14:textId="77777777" w:rsidR="00EC4CB6" w:rsidRPr="00021329" w:rsidRDefault="00EC4CB6" w:rsidP="00EC4CB6">
      <w:pPr>
        <w:ind w:firstLine="720"/>
        <w:jc w:val="both"/>
        <w:rPr>
          <w:rFonts w:ascii="Centaur" w:hAnsi="Centaur" w:cstheme="minorHAnsi"/>
        </w:rPr>
      </w:pPr>
      <w:r w:rsidRPr="00021329">
        <w:rPr>
          <w:rFonts w:ascii="Centaur" w:hAnsi="Centaur" w:cstheme="minorHAnsi"/>
        </w:rPr>
        <w:t xml:space="preserve">Regulatory involvement, keeping in mind the health of competition in these markets infusing efficiency, diversity, innovation, etc. in order to expedite digital economy is a big ask in not so straightforward rather than literally intricate and complex regulatory environment like ours. </w:t>
      </w:r>
    </w:p>
    <w:p w14:paraId="5874E945" w14:textId="77777777" w:rsidR="00EC4CB6" w:rsidRPr="00021329" w:rsidRDefault="00EC4CB6" w:rsidP="00EC4CB6">
      <w:pPr>
        <w:spacing w:line="276" w:lineRule="auto"/>
        <w:contextualSpacing/>
        <w:jc w:val="both"/>
        <w:rPr>
          <w:b/>
          <w:bCs/>
          <w:iCs/>
        </w:rPr>
      </w:pPr>
      <w:r w:rsidRPr="00021329">
        <w:rPr>
          <w:b/>
          <w:bCs/>
          <w:iCs/>
        </w:rPr>
        <w:t>Dear August Gathering,</w:t>
      </w:r>
    </w:p>
    <w:p w14:paraId="1825EF16" w14:textId="77777777" w:rsidR="00EC4CB6" w:rsidRDefault="00EC4CB6" w:rsidP="00EC4CB6">
      <w:pPr>
        <w:spacing w:after="0" w:line="240" w:lineRule="auto"/>
        <w:ind w:firstLine="720"/>
        <w:contextualSpacing/>
        <w:jc w:val="both"/>
        <w:rPr>
          <w:rFonts w:ascii="Centaur" w:hAnsi="Centaur" w:cs="Times New Roman"/>
        </w:rPr>
      </w:pPr>
    </w:p>
    <w:p w14:paraId="0251CB81" w14:textId="5D5EA3C9" w:rsidR="00EC4CB6" w:rsidRPr="00021329" w:rsidRDefault="00EC4CB6" w:rsidP="00EC4CB6">
      <w:pPr>
        <w:spacing w:after="0" w:line="240" w:lineRule="auto"/>
        <w:ind w:firstLine="720"/>
        <w:contextualSpacing/>
        <w:jc w:val="both"/>
        <w:rPr>
          <w:rFonts w:ascii="Centaur" w:hAnsi="Centaur" w:cs="Times New Roman"/>
        </w:rPr>
      </w:pPr>
      <w:r w:rsidRPr="00021329">
        <w:rPr>
          <w:rFonts w:ascii="Centaur" w:hAnsi="Centaur" w:cs="Times New Roman"/>
        </w:rPr>
        <w:t xml:space="preserve">We are working extremely hard in order to create a technologically advanced digital environment coping up with the globe and the good for </w:t>
      </w:r>
      <w:r w:rsidR="00A2053C">
        <w:rPr>
          <w:rFonts w:ascii="Centaur" w:hAnsi="Centaur" w:cs="Times New Roman"/>
        </w:rPr>
        <w:t>our</w:t>
      </w:r>
      <w:bookmarkStart w:id="0" w:name="_GoBack"/>
      <w:bookmarkEnd w:id="0"/>
      <w:r w:rsidRPr="00021329">
        <w:rPr>
          <w:rFonts w:ascii="Centaur" w:hAnsi="Centaur" w:cs="Times New Roman"/>
        </w:rPr>
        <w:t xml:space="preserve"> own people. In the current context of the evolving digital economy, Bangladesh is putting significant effort to provide affordable access and looking forward to effective use of relevant ICTs &amp; digital solutions to the enterprises and people. Here, connectivity has continuously improved over the past decade. </w:t>
      </w:r>
      <w:proofErr w:type="spellStart"/>
      <w:r w:rsidRPr="00021329">
        <w:rPr>
          <w:rFonts w:ascii="Centaur" w:hAnsi="Centaur" w:cs="Times New Roman"/>
        </w:rPr>
        <w:t>Teledensity</w:t>
      </w:r>
      <w:proofErr w:type="spellEnd"/>
      <w:r w:rsidRPr="00021329">
        <w:rPr>
          <w:rFonts w:ascii="Centaur" w:hAnsi="Centaur" w:cs="Times New Roman"/>
        </w:rPr>
        <w:t xml:space="preserve">, in particular, shoot up, from an average of only ~10% in 2005, to as much as ~87% in 2017. Internet density has risen almost 45 per 100 users in 2017. We believe, we are quite on course in reaching the target of universal access to the Internet set in </w:t>
      </w:r>
      <w:r w:rsidRPr="00021329">
        <w:rPr>
          <w:rFonts w:ascii="Centaur" w:hAnsi="Centaur" w:cs="Times New Roman"/>
          <w:b/>
          <w:bCs/>
        </w:rPr>
        <w:t>Goal 9</w:t>
      </w:r>
      <w:r w:rsidRPr="00021329">
        <w:rPr>
          <w:rFonts w:ascii="Centaur" w:hAnsi="Centaur" w:cs="Times New Roman"/>
        </w:rPr>
        <w:t xml:space="preserve"> of the SDG’s.</w:t>
      </w:r>
    </w:p>
    <w:p w14:paraId="16F8C34C" w14:textId="77777777" w:rsidR="00EC4CB6" w:rsidRDefault="00EC4CB6" w:rsidP="002B6B26">
      <w:pPr>
        <w:spacing w:after="0" w:line="240" w:lineRule="auto"/>
        <w:ind w:firstLine="720"/>
        <w:jc w:val="both"/>
        <w:rPr>
          <w:rFonts w:ascii="Centaur" w:hAnsi="Centaur" w:cs="Times New Roman"/>
        </w:rPr>
      </w:pPr>
      <w:r w:rsidRPr="00021329">
        <w:rPr>
          <w:rFonts w:ascii="Centaur" w:hAnsi="Centaur" w:cs="Times New Roman"/>
        </w:rPr>
        <w:t xml:space="preserve">With all its unique undertaking and toil behind the success stories, Bangladesh hopes to enrich from and contribute to ITU and the three sectors of the union at the same time. Ensuring accessibility through affordable &amp; ubiquitous broadband with the challenge of adopting newer technologies and ensuring end to end cyber-security toward green economy we seek your support as a Committed Prospect for the ITU Council 2019-2022.   </w:t>
      </w:r>
    </w:p>
    <w:p w14:paraId="6068ED43" w14:textId="77777777" w:rsidR="002B6B26" w:rsidRPr="002B6B26" w:rsidRDefault="002B6B26" w:rsidP="002B6B26">
      <w:pPr>
        <w:spacing w:after="0" w:line="240" w:lineRule="auto"/>
        <w:ind w:firstLine="720"/>
        <w:jc w:val="both"/>
        <w:rPr>
          <w:rFonts w:ascii="Centaur" w:hAnsi="Centaur" w:cs="Times New Roman"/>
        </w:rPr>
      </w:pPr>
    </w:p>
    <w:p w14:paraId="34630C17" w14:textId="77777777" w:rsidR="00EC4CB6" w:rsidRPr="00021329" w:rsidRDefault="00EC4CB6" w:rsidP="00EC4CB6">
      <w:pPr>
        <w:contextualSpacing/>
        <w:jc w:val="both"/>
        <w:rPr>
          <w:b/>
          <w:bCs/>
        </w:rPr>
      </w:pPr>
      <w:r w:rsidRPr="00021329">
        <w:rPr>
          <w:b/>
          <w:bCs/>
        </w:rPr>
        <w:t xml:space="preserve">Ladies and Gentlemen, </w:t>
      </w:r>
    </w:p>
    <w:p w14:paraId="56D3A5A5" w14:textId="77777777" w:rsidR="00EC4CB6" w:rsidRDefault="00EC4CB6" w:rsidP="00EC4CB6">
      <w:pPr>
        <w:spacing w:line="240" w:lineRule="auto"/>
        <w:ind w:firstLine="720"/>
        <w:contextualSpacing/>
        <w:jc w:val="both"/>
        <w:rPr>
          <w:rFonts w:ascii="Centaur" w:hAnsi="Centaur"/>
          <w:noProof/>
        </w:rPr>
      </w:pPr>
    </w:p>
    <w:p w14:paraId="10869C3C" w14:textId="77777777" w:rsidR="00EC4CB6" w:rsidRDefault="00EC4CB6" w:rsidP="00EC4CB6">
      <w:pPr>
        <w:spacing w:line="240" w:lineRule="auto"/>
        <w:ind w:firstLine="720"/>
        <w:contextualSpacing/>
        <w:jc w:val="both"/>
        <w:rPr>
          <w:rFonts w:ascii="Centaur" w:hAnsi="Centaur" w:cs="Nirmala UI"/>
          <w:noProof/>
          <w:lang w:bidi="bn-IN"/>
        </w:rPr>
      </w:pPr>
      <w:r w:rsidRPr="00021329">
        <w:rPr>
          <w:rFonts w:ascii="Centaur" w:hAnsi="Centaur"/>
          <w:noProof/>
        </w:rPr>
        <w:t>Bangladesh welcomes you once again and wishes to learn and contribute to the gobal digital economy. We feel, regular discussion, continual dialogue and experience sharing amongst telecommunications/Information and Communications Technology (ICT) regulators and policy-makers</w:t>
      </w:r>
      <w:r w:rsidRPr="00021329">
        <w:rPr>
          <w:rFonts w:ascii="Centaur" w:hAnsi="Centaur" w:cs="Arial Unicode MS"/>
          <w:noProof/>
          <w:lang w:bidi="bn-IN"/>
        </w:rPr>
        <w:t xml:space="preserve"> is a must. It is </w:t>
      </w:r>
      <w:r w:rsidRPr="00021329">
        <w:rPr>
          <w:rFonts w:ascii="Centaur" w:hAnsi="Centaur" w:cs="Times New Roman"/>
          <w:noProof/>
          <w:lang w:bidi="bn-IN"/>
        </w:rPr>
        <w:t>definitely</w:t>
      </w:r>
      <w:r w:rsidRPr="00021329">
        <w:rPr>
          <w:rFonts w:ascii="Centaur" w:hAnsi="Centaur" w:cs="Nirmala UI"/>
          <w:noProof/>
          <w:lang w:bidi="bn-IN"/>
        </w:rPr>
        <w:t xml:space="preserve"> </w:t>
      </w:r>
      <w:r w:rsidRPr="00021329">
        <w:rPr>
          <w:rFonts w:ascii="Centaur" w:hAnsi="Centaur" w:cs="Arial Unicode MS"/>
          <w:noProof/>
          <w:lang w:bidi="bn-IN"/>
        </w:rPr>
        <w:t xml:space="preserve">a need of this time. </w:t>
      </w:r>
      <w:r w:rsidRPr="00021329">
        <w:rPr>
          <w:rFonts w:ascii="Centaur" w:hAnsi="Centaur"/>
          <w:noProof/>
        </w:rPr>
        <w:t>With the same tone as ITU, I want to reiterate that, this</w:t>
      </w:r>
      <w:r w:rsidR="00C44DC6">
        <w:rPr>
          <w:rFonts w:ascii="Centaur" w:hAnsi="Centaur"/>
          <w:noProof/>
        </w:rPr>
        <w:t xml:space="preserve"> Regulators’ Roundtable is the </w:t>
      </w:r>
      <w:r w:rsidRPr="00021329">
        <w:rPr>
          <w:rFonts w:ascii="Centaur" w:hAnsi="Centaur"/>
          <w:noProof/>
        </w:rPr>
        <w:t>8</w:t>
      </w:r>
      <w:r w:rsidRPr="00021329">
        <w:rPr>
          <w:rFonts w:ascii="Centaur" w:hAnsi="Centaur"/>
          <w:noProof/>
          <w:vertAlign w:val="superscript"/>
        </w:rPr>
        <w:t>th</w:t>
      </w:r>
      <w:r w:rsidRPr="00021329">
        <w:rPr>
          <w:rFonts w:ascii="Centaur" w:hAnsi="Centaur"/>
          <w:noProof/>
        </w:rPr>
        <w:t xml:space="preserve"> edition of the Asia-Pacific Region Initiative to organize an annual Roundtable to provide telecommunication/ICT regulators in the region with a platform that fosters dynamic and strategic discussions, as well as sharing of information, relevant experiences and practices and to conclusively debate on possible solutions and opportunities for potential collaboration to address emerging regulatory issues and challenges. </w:t>
      </w:r>
    </w:p>
    <w:p w14:paraId="172475DA" w14:textId="77777777" w:rsidR="00EC4CB6" w:rsidRPr="00EC4CB6" w:rsidRDefault="00EC4CB6" w:rsidP="00EC4CB6">
      <w:pPr>
        <w:spacing w:line="240" w:lineRule="auto"/>
        <w:ind w:firstLine="720"/>
        <w:contextualSpacing/>
        <w:jc w:val="both"/>
        <w:rPr>
          <w:rFonts w:ascii="Centaur" w:hAnsi="Centaur" w:cs="Nirmala UI"/>
          <w:noProof/>
          <w:lang w:bidi="bn-IN"/>
        </w:rPr>
      </w:pPr>
    </w:p>
    <w:p w14:paraId="6CC9EDAE" w14:textId="77777777" w:rsidR="00EC4CB6" w:rsidRPr="00021329" w:rsidRDefault="00EC4CB6" w:rsidP="00EC4CB6">
      <w:pPr>
        <w:jc w:val="both"/>
      </w:pPr>
      <w:r w:rsidRPr="00021329">
        <w:rPr>
          <w:b/>
          <w:bCs/>
          <w:iCs/>
        </w:rPr>
        <w:t>Distinguished Presence,</w:t>
      </w:r>
    </w:p>
    <w:p w14:paraId="19B022FA" w14:textId="77777777" w:rsidR="00EC4CB6" w:rsidRPr="00021329" w:rsidRDefault="00EC4CB6" w:rsidP="00EC4CB6">
      <w:pPr>
        <w:ind w:firstLine="720"/>
        <w:jc w:val="both"/>
        <w:rPr>
          <w:rFonts w:ascii="Centaur" w:hAnsi="Centaur" w:cstheme="minorHAnsi"/>
        </w:rPr>
      </w:pPr>
      <w:r w:rsidRPr="00021329">
        <w:rPr>
          <w:rFonts w:ascii="Centaur" w:hAnsi="Centaur" w:cstheme="minorHAnsi"/>
        </w:rPr>
        <w:t xml:space="preserve">To my understanding, the success in the fields of Telecommunication and ICT is extending the frontiers of regulation. We need to be resilient and sensitive at same time. I wish every success to this two day long regulators’ roundtable and to exercise the key take-away for the betterment of this industry.  </w:t>
      </w:r>
    </w:p>
    <w:p w14:paraId="153A808D" w14:textId="77777777" w:rsidR="00EC4CB6" w:rsidRPr="00021329" w:rsidRDefault="00EC4CB6" w:rsidP="00EC4CB6">
      <w:pPr>
        <w:jc w:val="both"/>
        <w:rPr>
          <w:rFonts w:ascii="Centaur" w:hAnsi="Centaur"/>
        </w:rPr>
      </w:pPr>
      <w:r w:rsidRPr="00021329">
        <w:rPr>
          <w:rFonts w:ascii="Centaur" w:hAnsi="Centaur"/>
        </w:rPr>
        <w:t>Thank you all for your patience hearing.</w:t>
      </w:r>
    </w:p>
    <w:p w14:paraId="00626FC0" w14:textId="77777777" w:rsidR="00EC4CB6" w:rsidRDefault="00EC4CB6" w:rsidP="00EC4CB6"/>
    <w:p w14:paraId="5B65DA03" w14:textId="77777777" w:rsidR="00EC4CB6" w:rsidRDefault="00EC4CB6" w:rsidP="00EC4CB6"/>
    <w:p w14:paraId="6D6986F2" w14:textId="77777777" w:rsidR="00EC4CB6" w:rsidRPr="00EC4CB6" w:rsidRDefault="00EC4CB6" w:rsidP="00EC4CB6"/>
    <w:sectPr w:rsidR="00EC4CB6" w:rsidRPr="00EC4CB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D0D62" w14:textId="77777777" w:rsidR="00EC4CB6" w:rsidRDefault="00EC4CB6" w:rsidP="00EC4CB6">
      <w:pPr>
        <w:spacing w:after="0" w:line="240" w:lineRule="auto"/>
      </w:pPr>
      <w:r>
        <w:separator/>
      </w:r>
    </w:p>
  </w:endnote>
  <w:endnote w:type="continuationSeparator" w:id="0">
    <w:p w14:paraId="6E46B043" w14:textId="77777777" w:rsidR="00EC4CB6" w:rsidRDefault="00EC4CB6" w:rsidP="00EC4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aur">
    <w:panose1 w:val="02030504050205020304"/>
    <w:charset w:val="00"/>
    <w:family w:val="roman"/>
    <w:pitch w:val="variable"/>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AE2AF" w14:textId="77777777" w:rsidR="00EC4CB6" w:rsidRDefault="00EC4CB6" w:rsidP="00EC4CB6">
      <w:pPr>
        <w:spacing w:after="0" w:line="240" w:lineRule="auto"/>
      </w:pPr>
      <w:r>
        <w:separator/>
      </w:r>
    </w:p>
  </w:footnote>
  <w:footnote w:type="continuationSeparator" w:id="0">
    <w:p w14:paraId="404876D3" w14:textId="77777777" w:rsidR="00EC4CB6" w:rsidRDefault="00EC4CB6" w:rsidP="00EC4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1BEF" w14:textId="77777777" w:rsidR="00EC4CB6" w:rsidRPr="00EC4CB6" w:rsidRDefault="00EC4CB6" w:rsidP="00EC4CB6">
    <w:pPr>
      <w:pStyle w:val="Header"/>
      <w:rPr>
        <w:b/>
        <w:bCs/>
        <w:sz w:val="16"/>
        <w:szCs w:val="16"/>
        <w:u w:val="single"/>
      </w:rPr>
    </w:pPr>
    <w:r w:rsidRPr="00EC4CB6">
      <w:rPr>
        <w:b/>
        <w:bCs/>
        <w:sz w:val="16"/>
        <w:szCs w:val="16"/>
        <w:u w:val="single"/>
      </w:rPr>
      <w:t>ITU-BTRC Asia-Pacific Regulators’ Roundtable “New Regulatory Frontiers to support Digital Economy” 6-7 August 2018, Dhaka, Bangladesh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8BA"/>
    <w:rsid w:val="002B6B26"/>
    <w:rsid w:val="003058BA"/>
    <w:rsid w:val="00547068"/>
    <w:rsid w:val="008E4698"/>
    <w:rsid w:val="009C3D2A"/>
    <w:rsid w:val="00A2053C"/>
    <w:rsid w:val="00C43D27"/>
    <w:rsid w:val="00C44DC6"/>
    <w:rsid w:val="00C61F45"/>
    <w:rsid w:val="00EC4CB6"/>
    <w:rsid w:val="00EE4D05"/>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D84CF"/>
  <w15:chartTrackingRefBased/>
  <w15:docId w15:val="{70CC7084-588B-4AD4-B8D1-29056B04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GB" w:eastAsia="en-US" w:bidi="bn-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698"/>
    <w:rPr>
      <w:rFonts w:eastAsiaTheme="minorEastAsia"/>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CB6"/>
    <w:rPr>
      <w:rFonts w:eastAsiaTheme="minorEastAsia"/>
      <w:szCs w:val="22"/>
      <w:lang w:val="en-US" w:eastAsia="zh-CN" w:bidi="ar-SA"/>
    </w:rPr>
  </w:style>
  <w:style w:type="paragraph" w:styleId="Footer">
    <w:name w:val="footer"/>
    <w:basedOn w:val="Normal"/>
    <w:link w:val="FooterChar"/>
    <w:uiPriority w:val="99"/>
    <w:unhideWhenUsed/>
    <w:rsid w:val="00EC4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CB6"/>
    <w:rPr>
      <w:rFonts w:eastAsiaTheme="minorEastAsia"/>
      <w:szCs w:val="22"/>
      <w:lang w:val="en-US" w:eastAsia="zh-CN" w:bidi="ar-SA"/>
    </w:rPr>
  </w:style>
  <w:style w:type="paragraph" w:styleId="BalloonText">
    <w:name w:val="Balloon Text"/>
    <w:basedOn w:val="Normal"/>
    <w:link w:val="BalloonTextChar"/>
    <w:uiPriority w:val="99"/>
    <w:semiHidden/>
    <w:unhideWhenUsed/>
    <w:rsid w:val="002B6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B26"/>
    <w:rPr>
      <w:rFonts w:ascii="Segoe UI" w:eastAsiaTheme="minorEastAsia" w:hAnsi="Segoe UI" w:cs="Segoe UI"/>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2BB634496EAB498A685EA26DE87D9A" ma:contentTypeVersion="3" ma:contentTypeDescription="Create a new document." ma:contentTypeScope="" ma:versionID="2c209e43ad5c8f4914c13292957445d3">
  <xsd:schema xmlns:xsd="http://www.w3.org/2001/XMLSchema" xmlns:xs="http://www.w3.org/2001/XMLSchema" xmlns:p="http://schemas.microsoft.com/office/2006/metadata/properties" xmlns:ns1="http://schemas.microsoft.com/sharepoint/v3" xmlns:ns2="ce1d9229-ea97-4c6f-a2f4-dd635208ba85" xmlns:ns3="1aaea1ea-72e4-4374-b05e-72e2f16fb7ae" targetNamespace="http://schemas.microsoft.com/office/2006/metadata/properties" ma:root="true" ma:fieldsID="0e4c05d136919731d5f0968da5048ea9" ns1:_="" ns2:_="" ns3:_="">
    <xsd:import namespace="http://schemas.microsoft.com/sharepoint/v3"/>
    <xsd:import namespace="ce1d9229-ea97-4c6f-a2f4-dd635208ba85"/>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1d9229-ea97-4c6f-a2f4-dd635208ba8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E85FE7-2E35-49DF-B1BE-4624DEFE8D5E}"/>
</file>

<file path=customXml/itemProps2.xml><?xml version="1.0" encoding="utf-8"?>
<ds:datastoreItem xmlns:ds="http://schemas.openxmlformats.org/officeDocument/2006/customXml" ds:itemID="{840564E1-26B3-42AD-8AFD-8E7B6F7A8910}"/>
</file>

<file path=customXml/itemProps3.xml><?xml version="1.0" encoding="utf-8"?>
<ds:datastoreItem xmlns:ds="http://schemas.openxmlformats.org/officeDocument/2006/customXml" ds:itemID="{9FDB35BC-3060-47D5-8141-5E205209CE65}"/>
</file>

<file path=docProps/app.xml><?xml version="1.0" encoding="utf-8"?>
<Properties xmlns="http://schemas.openxmlformats.org/officeDocument/2006/extended-properties" xmlns:vt="http://schemas.openxmlformats.org/officeDocument/2006/docPropsVTypes">
  <Template>Normal</Template>
  <TotalTime>2</TotalTime>
  <Pages>2</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Istiaque Arif</dc:creator>
  <cp:keywords/>
  <dc:description/>
  <cp:lastModifiedBy>sujan barua</cp:lastModifiedBy>
  <cp:revision>3</cp:revision>
  <cp:lastPrinted>2018-07-15T05:59:00Z</cp:lastPrinted>
  <dcterms:created xsi:type="dcterms:W3CDTF">2018-07-15T11:03:00Z</dcterms:created>
  <dcterms:modified xsi:type="dcterms:W3CDTF">2018-07-23T06:55:00Z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0x010100202BB634496EAB498A685EA26DE87D9A</vt:lpwstr>
  </property>
</Properties>
</file>