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2" w:type="dxa"/>
        <w:tblBorders>
          <w:bottom w:val="single" w:sz="12" w:space="0" w:color="auto"/>
        </w:tblBorders>
        <w:tblLayout w:type="fixed"/>
        <w:tblLook w:val="0000" w:firstRow="0" w:lastRow="0" w:firstColumn="0" w:lastColumn="0" w:noHBand="0" w:noVBand="0"/>
      </w:tblPr>
      <w:tblGrid>
        <w:gridCol w:w="9642"/>
      </w:tblGrid>
      <w:tr w:rsidR="00C1454A" w:rsidRPr="00C1454A" w:rsidTr="00C1454A">
        <w:trPr>
          <w:cantSplit/>
          <w:trHeight w:val="310"/>
        </w:trPr>
        <w:tc>
          <w:tcPr>
            <w:tcW w:w="9642" w:type="dxa"/>
          </w:tcPr>
          <w:p w:rsidR="00C1454A" w:rsidRPr="00C1454A" w:rsidRDefault="00C1454A">
            <w:pPr>
              <w:framePr w:hSpace="181" w:wrap="around" w:vAnchor="page" w:hAnchor="margin" w:x="1" w:y="852"/>
              <w:spacing w:line="240" w:lineRule="atLeast"/>
              <w:rPr>
                <w:rFonts w:asciiTheme="minorHAnsi" w:hAnsiTheme="minorHAnsi" w:cstheme="minorHAnsi"/>
                <w:position w:val="6"/>
              </w:rPr>
            </w:pPr>
          </w:p>
        </w:tc>
      </w:tr>
      <w:tr w:rsidR="00C1454A" w:rsidRPr="00C1454A" w:rsidTr="00C1454A">
        <w:trPr>
          <w:cantSplit/>
          <w:trHeight w:val="429"/>
        </w:trPr>
        <w:tc>
          <w:tcPr>
            <w:tcW w:w="9642" w:type="dxa"/>
            <w:vMerge w:val="restart"/>
          </w:tcPr>
          <w:p w:rsidR="009D1DC7" w:rsidRDefault="009D1DC7" w:rsidP="00C1454A">
            <w:pPr>
              <w:pStyle w:val="a7"/>
              <w:framePr w:hSpace="181" w:wrap="around" w:vAnchor="page" w:hAnchor="margin" w:x="1" w:y="852"/>
              <w:spacing w:line="276" w:lineRule="auto"/>
              <w:rPr>
                <w:rFonts w:asciiTheme="minorHAnsi" w:hAnsiTheme="minorHAnsi" w:cstheme="minorHAnsi"/>
                <w:b/>
                <w:bCs/>
                <w:sz w:val="24"/>
                <w:szCs w:val="24"/>
                <w:lang w:bidi="ar-EG"/>
              </w:rPr>
            </w:pPr>
            <w:bookmarkStart w:id="0" w:name="dnum" w:colFirst="2" w:colLast="2"/>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ITU Centres of Excellence Network for Asia and the Pacific</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4"/>
                <w:szCs w:val="24"/>
                <w:lang w:bidi="ar-EG"/>
              </w:rPr>
            </w:pPr>
            <w:r w:rsidRPr="00C1454A">
              <w:rPr>
                <w:rFonts w:asciiTheme="minorHAnsi" w:hAnsiTheme="minorHAnsi" w:cstheme="minorHAnsi"/>
                <w:b/>
                <w:bCs/>
                <w:sz w:val="24"/>
                <w:szCs w:val="24"/>
                <w:lang w:bidi="ar-EG"/>
              </w:rPr>
              <w:t>State Radio Monitoring Center - China</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4"/>
                <w:szCs w:val="24"/>
                <w:lang w:bidi="ar-EG"/>
              </w:rPr>
              <w:t>Training on</w:t>
            </w:r>
          </w:p>
          <w:p w:rsidR="00C1454A" w:rsidRPr="00C1454A" w:rsidRDefault="00C1454A" w:rsidP="00C1454A">
            <w:pPr>
              <w:framePr w:hSpace="181" w:wrap="around" w:vAnchor="page" w:hAnchor="margin" w:x="1" w:y="852"/>
              <w:spacing w:line="276" w:lineRule="auto"/>
              <w:jc w:val="center"/>
              <w:rPr>
                <w:rFonts w:asciiTheme="minorHAnsi" w:hAnsiTheme="minorHAnsi" w:cstheme="minorHAnsi"/>
                <w:b/>
                <w:bCs/>
                <w:color w:val="44546A" w:themeColor="text2"/>
                <w:sz w:val="32"/>
                <w:szCs w:val="32"/>
                <w:lang w:bidi="ar-EG"/>
              </w:rPr>
            </w:pPr>
            <w:r w:rsidRPr="00C1454A">
              <w:rPr>
                <w:rFonts w:asciiTheme="minorHAnsi" w:hAnsiTheme="minorHAnsi" w:cstheme="minorHAnsi"/>
                <w:b/>
                <w:bCs/>
                <w:color w:val="44546A" w:themeColor="text2"/>
                <w:sz w:val="32"/>
                <w:szCs w:val="32"/>
                <w:lang w:bidi="ar-EG"/>
              </w:rPr>
              <w:t>SPECTRUM ENGINEERING AND CROSS-BORDER RADIO FREQUENCY COORDINATION</w:t>
            </w:r>
          </w:p>
          <w:p w:rsidR="00C1454A" w:rsidRPr="00C1454A" w:rsidRDefault="00C1454A" w:rsidP="00C1454A">
            <w:pPr>
              <w:pStyle w:val="a7"/>
              <w:framePr w:hSpace="181" w:wrap="around" w:vAnchor="page" w:hAnchor="margin" w:x="1" w:y="852"/>
              <w:spacing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Xi’an, Shanxi Province, China (Peoples Republic of)</w:t>
            </w:r>
          </w:p>
          <w:p w:rsidR="00C1454A" w:rsidRPr="00C1454A" w:rsidRDefault="00C1454A" w:rsidP="00C1454A">
            <w:pPr>
              <w:pStyle w:val="a7"/>
              <w:framePr w:hSpace="181" w:wrap="around" w:vAnchor="page" w:hAnchor="margin" w:x="1" w:y="852"/>
              <w:spacing w:after="120" w:line="276" w:lineRule="auto"/>
              <w:rPr>
                <w:rFonts w:asciiTheme="minorHAnsi" w:hAnsiTheme="minorHAnsi" w:cstheme="minorHAnsi"/>
                <w:b/>
                <w:bCs/>
                <w:sz w:val="22"/>
                <w:szCs w:val="22"/>
                <w:lang w:bidi="ar-EG"/>
              </w:rPr>
            </w:pPr>
            <w:r w:rsidRPr="00C1454A">
              <w:rPr>
                <w:rFonts w:asciiTheme="minorHAnsi" w:hAnsiTheme="minorHAnsi" w:cstheme="minorHAnsi"/>
                <w:b/>
                <w:bCs/>
                <w:sz w:val="22"/>
                <w:szCs w:val="22"/>
                <w:lang w:bidi="ar-EG"/>
              </w:rPr>
              <w:t>11 – 15 September 2017</w:t>
            </w:r>
          </w:p>
        </w:tc>
      </w:tr>
      <w:tr w:rsidR="00C1454A" w:rsidRPr="00C1454A" w:rsidTr="00C1454A">
        <w:trPr>
          <w:cantSplit/>
          <w:trHeight w:val="413"/>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1" w:name="ddate" w:colFirst="2" w:colLast="2"/>
            <w:bookmarkEnd w:id="0"/>
          </w:p>
        </w:tc>
      </w:tr>
      <w:tr w:rsidR="00C1454A" w:rsidRPr="00C1454A" w:rsidTr="00C1454A">
        <w:trPr>
          <w:cantSplit/>
          <w:trHeight w:val="2454"/>
        </w:trPr>
        <w:tc>
          <w:tcPr>
            <w:tcW w:w="9642" w:type="dxa"/>
            <w:vMerge/>
          </w:tcPr>
          <w:p w:rsidR="00C1454A" w:rsidRPr="00C1454A" w:rsidRDefault="00C1454A">
            <w:pPr>
              <w:framePr w:hSpace="181" w:wrap="around" w:vAnchor="page" w:hAnchor="margin" w:x="1" w:y="852"/>
              <w:rPr>
                <w:rFonts w:asciiTheme="minorHAnsi" w:hAnsiTheme="minorHAnsi" w:cstheme="minorHAnsi"/>
                <w:b/>
                <w:smallCaps/>
              </w:rPr>
            </w:pPr>
            <w:bookmarkStart w:id="2" w:name="dorlang" w:colFirst="2" w:colLast="2"/>
            <w:bookmarkEnd w:id="1"/>
          </w:p>
        </w:tc>
      </w:tr>
      <w:bookmarkEnd w:id="2"/>
    </w:tbl>
    <w:p w:rsidR="00B9474B" w:rsidRPr="00C1454A" w:rsidRDefault="00B9474B">
      <w:pPr>
        <w:tabs>
          <w:tab w:val="clear" w:pos="794"/>
          <w:tab w:val="clear" w:pos="1191"/>
          <w:tab w:val="clear" w:pos="1588"/>
          <w:tab w:val="clear" w:pos="1985"/>
        </w:tabs>
        <w:spacing w:before="0"/>
        <w:rPr>
          <w:rFonts w:asciiTheme="minorHAnsi" w:hAnsiTheme="minorHAnsi" w:cstheme="minorHAnsi"/>
        </w:rPr>
      </w:pPr>
    </w:p>
    <w:p w:rsidR="00B9474B" w:rsidRPr="00C1454A" w:rsidRDefault="00C1454A" w:rsidP="0076538F">
      <w:pPr>
        <w:tabs>
          <w:tab w:val="clear" w:pos="794"/>
          <w:tab w:val="clear" w:pos="1191"/>
          <w:tab w:val="clear" w:pos="1588"/>
          <w:tab w:val="clear" w:pos="1985"/>
        </w:tabs>
        <w:spacing w:before="0"/>
        <w:rPr>
          <w:rStyle w:val="ab"/>
          <w:rFonts w:ascii="Segoe UI" w:hAnsi="Segoe UI" w:cs="Segoe UI"/>
          <w:sz w:val="32"/>
          <w:szCs w:val="24"/>
        </w:rPr>
      </w:pPr>
      <w:bookmarkStart w:id="3" w:name="dnoted"/>
      <w:bookmarkStart w:id="4" w:name="dquestions"/>
      <w:bookmarkStart w:id="5" w:name="dsgno"/>
      <w:bookmarkEnd w:id="3"/>
      <w:bookmarkEnd w:id="4"/>
      <w:bookmarkEnd w:id="5"/>
      <w:r w:rsidRPr="00C1454A">
        <w:rPr>
          <w:rStyle w:val="ab"/>
          <w:rFonts w:ascii="Segoe UI" w:hAnsi="Segoe UI" w:cs="Segoe UI"/>
          <w:color w:val="FF0000"/>
          <w:sz w:val="32"/>
          <w:szCs w:val="24"/>
        </w:rPr>
        <w:t xml:space="preserve">Group </w:t>
      </w:r>
      <w:r w:rsidR="0076538F">
        <w:rPr>
          <w:rStyle w:val="ab"/>
          <w:rFonts w:ascii="Segoe UI" w:hAnsi="Segoe UI" w:cs="Segoe UI"/>
          <w:color w:val="FF0000"/>
          <w:sz w:val="32"/>
          <w:szCs w:val="24"/>
        </w:rPr>
        <w:t xml:space="preserve">1 </w:t>
      </w:r>
      <w:r w:rsidRPr="00C1454A">
        <w:rPr>
          <w:rStyle w:val="ab"/>
          <w:rFonts w:ascii="Segoe UI" w:hAnsi="Segoe UI" w:cs="Segoe UI"/>
          <w:color w:val="FF0000"/>
          <w:sz w:val="32"/>
          <w:szCs w:val="24"/>
        </w:rPr>
        <w:t xml:space="preserve">Exercise: </w:t>
      </w:r>
      <w:r w:rsidRPr="00C1454A">
        <w:rPr>
          <w:rStyle w:val="ab"/>
          <w:rFonts w:ascii="Segoe UI" w:hAnsi="Segoe UI" w:cs="Segoe UI"/>
          <w:sz w:val="32"/>
          <w:szCs w:val="24"/>
        </w:rPr>
        <w:t>Outsourcing Spectrum Management Function</w:t>
      </w:r>
    </w:p>
    <w:p w:rsidR="00B9474B" w:rsidRPr="00C1454A" w:rsidRDefault="00C1454A" w:rsidP="00C1454A">
      <w:pPr>
        <w:jc w:val="both"/>
        <w:rPr>
          <w:rFonts w:asciiTheme="minorHAnsi" w:hAnsiTheme="minorHAnsi" w:cstheme="minorHAnsi"/>
          <w:b/>
          <w:szCs w:val="24"/>
        </w:rPr>
      </w:pPr>
      <w:bookmarkStart w:id="6" w:name="dsource"/>
      <w:bookmarkEnd w:id="6"/>
      <w:r w:rsidRPr="00C1454A">
        <w:rPr>
          <w:rFonts w:asciiTheme="minorHAnsi" w:hAnsiTheme="minorHAnsi" w:cstheme="minorHAnsi"/>
          <w:b/>
          <w:szCs w:val="24"/>
        </w:rPr>
        <w:t>Background</w:t>
      </w:r>
    </w:p>
    <w:p w:rsidR="00B9474B" w:rsidRPr="00C1454A" w:rsidRDefault="004C1160" w:rsidP="00A723DE">
      <w:pPr>
        <w:pStyle w:val="aa"/>
        <w:spacing w:line="276" w:lineRule="auto"/>
        <w:ind w:left="0" w:firstLine="0"/>
        <w:jc w:val="both"/>
        <w:rPr>
          <w:rFonts w:asciiTheme="minorHAnsi" w:hAnsiTheme="minorHAnsi" w:cstheme="minorHAnsi"/>
          <w:sz w:val="22"/>
          <w:szCs w:val="18"/>
        </w:rPr>
      </w:pPr>
      <w:r w:rsidRPr="00C1454A">
        <w:rPr>
          <w:rFonts w:asciiTheme="minorHAnsi" w:hAnsiTheme="minorHAnsi" w:cstheme="minorHAnsi"/>
          <w:sz w:val="22"/>
          <w:szCs w:val="18"/>
        </w:rPr>
        <w:t>The national spectrum planning process, including the strategic analysis of procedures, results and recommendations focused on best management and control practices, has reached a high level of complexity while acquiring a priority status relative to the telecommunications infrastructure of a country.</w:t>
      </w:r>
      <w:r w:rsidR="00C1454A" w:rsidRPr="00C1454A">
        <w:rPr>
          <w:rFonts w:asciiTheme="minorHAnsi" w:hAnsiTheme="minorHAnsi" w:cstheme="minorHAnsi"/>
          <w:sz w:val="22"/>
          <w:szCs w:val="18"/>
        </w:rPr>
        <w:t xml:space="preserve"> </w:t>
      </w:r>
      <w:r w:rsidRPr="00C1454A">
        <w:rPr>
          <w:rFonts w:asciiTheme="minorHAnsi" w:hAnsiTheme="minorHAnsi" w:cstheme="minorHAnsi"/>
          <w:sz w:val="22"/>
          <w:szCs w:val="18"/>
        </w:rPr>
        <w:t xml:space="preserve">Spectrum tasks and decision-making activities could be grouped along two </w:t>
      </w:r>
      <w:r w:rsidR="00C1454A" w:rsidRPr="00C1454A">
        <w:rPr>
          <w:rFonts w:asciiTheme="minorHAnsi" w:hAnsiTheme="minorHAnsi" w:cstheme="minorHAnsi"/>
          <w:sz w:val="22"/>
          <w:szCs w:val="18"/>
        </w:rPr>
        <w:t>c</w:t>
      </w:r>
      <w:r w:rsidRPr="00C1454A">
        <w:rPr>
          <w:rFonts w:asciiTheme="minorHAnsi" w:hAnsiTheme="minorHAnsi" w:cstheme="minorHAnsi"/>
          <w:sz w:val="22"/>
          <w:szCs w:val="18"/>
        </w:rPr>
        <w:t>omplementary levels:</w:t>
      </w:r>
    </w:p>
    <w:p w:rsidR="00B9474B" w:rsidRPr="00C1454A" w:rsidRDefault="004C1160" w:rsidP="00A723DE">
      <w:pPr>
        <w:pStyle w:val="ac"/>
        <w:numPr>
          <w:ilvl w:val="0"/>
          <w:numId w:val="15"/>
        </w:numPr>
        <w:spacing w:line="276" w:lineRule="auto"/>
        <w:jc w:val="both"/>
        <w:rPr>
          <w:rFonts w:asciiTheme="minorHAnsi" w:hAnsiTheme="minorHAnsi" w:cstheme="minorHAnsi"/>
          <w:sz w:val="22"/>
          <w:szCs w:val="18"/>
        </w:rPr>
      </w:pPr>
      <w:r w:rsidRPr="00C1454A">
        <w:rPr>
          <w:rFonts w:asciiTheme="minorHAnsi" w:hAnsiTheme="minorHAnsi" w:cstheme="minorHAnsi"/>
          <w:sz w:val="22"/>
          <w:szCs w:val="18"/>
        </w:rPr>
        <w:t xml:space="preserve">A </w:t>
      </w:r>
      <w:r w:rsidRPr="00C1454A">
        <w:rPr>
          <w:rFonts w:asciiTheme="minorHAnsi" w:hAnsiTheme="minorHAnsi" w:cstheme="minorHAnsi"/>
          <w:b/>
          <w:bCs/>
          <w:sz w:val="22"/>
          <w:szCs w:val="18"/>
        </w:rPr>
        <w:t>strategic level</w:t>
      </w:r>
      <w:r w:rsidRPr="00C1454A">
        <w:rPr>
          <w:rFonts w:asciiTheme="minorHAnsi" w:hAnsiTheme="minorHAnsi" w:cstheme="minorHAnsi"/>
          <w:sz w:val="22"/>
          <w:szCs w:val="18"/>
        </w:rPr>
        <w:t>, including the exercise of State prerogatives as well as planning and decision making of national relevance.</w:t>
      </w:r>
    </w:p>
    <w:p w:rsidR="00B9474B" w:rsidRPr="00C1454A" w:rsidRDefault="004C1160" w:rsidP="00A723DE">
      <w:pPr>
        <w:pStyle w:val="ac"/>
        <w:numPr>
          <w:ilvl w:val="0"/>
          <w:numId w:val="15"/>
        </w:numPr>
        <w:spacing w:line="276" w:lineRule="auto"/>
        <w:jc w:val="both"/>
        <w:rPr>
          <w:rFonts w:asciiTheme="minorHAnsi" w:hAnsiTheme="minorHAnsi" w:cstheme="minorHAnsi"/>
          <w:sz w:val="22"/>
          <w:szCs w:val="18"/>
        </w:rPr>
      </w:pPr>
      <w:r w:rsidRPr="00C1454A">
        <w:rPr>
          <w:rFonts w:asciiTheme="minorHAnsi" w:hAnsiTheme="minorHAnsi" w:cstheme="minorHAnsi"/>
          <w:sz w:val="22"/>
          <w:szCs w:val="18"/>
        </w:rPr>
        <w:t xml:space="preserve">An </w:t>
      </w:r>
      <w:r w:rsidRPr="00C1454A">
        <w:rPr>
          <w:rFonts w:asciiTheme="minorHAnsi" w:hAnsiTheme="minorHAnsi" w:cstheme="minorHAnsi"/>
          <w:b/>
          <w:bCs/>
          <w:sz w:val="22"/>
          <w:szCs w:val="18"/>
        </w:rPr>
        <w:t>operative level</w:t>
      </w:r>
      <w:r w:rsidRPr="00C1454A">
        <w:rPr>
          <w:rFonts w:asciiTheme="minorHAnsi" w:hAnsiTheme="minorHAnsi" w:cstheme="minorHAnsi"/>
          <w:sz w:val="22"/>
          <w:szCs w:val="18"/>
        </w:rPr>
        <w:t>, dealing with routine technical and administrative tasks that insure a "clean" spectrum and supports the interaction with the spectrums users and the public at large.</w:t>
      </w:r>
    </w:p>
    <w:p w:rsidR="00A24B56" w:rsidRDefault="004C1160" w:rsidP="00A723DE">
      <w:pPr>
        <w:spacing w:line="276" w:lineRule="auto"/>
        <w:jc w:val="both"/>
        <w:rPr>
          <w:rFonts w:asciiTheme="minorHAnsi" w:hAnsiTheme="minorHAnsi" w:cstheme="minorHAnsi"/>
          <w:sz w:val="22"/>
          <w:szCs w:val="18"/>
        </w:rPr>
      </w:pPr>
      <w:r w:rsidRPr="00C1454A">
        <w:rPr>
          <w:rFonts w:asciiTheme="minorHAnsi" w:hAnsiTheme="minorHAnsi" w:cstheme="minorHAnsi"/>
          <w:sz w:val="22"/>
          <w:szCs w:val="18"/>
        </w:rPr>
        <w:t>Spectrum management and control tasks can be grouped in series of meaningful Functional Areas. While defining each Functional Area, tasks belonging to the strategic and operational levels should not be mixed together.</w:t>
      </w:r>
      <w:r w:rsidR="00A24B56">
        <w:rPr>
          <w:rFonts w:asciiTheme="minorHAnsi" w:hAnsiTheme="minorHAnsi" w:cstheme="minorHAnsi"/>
          <w:noProof/>
          <w:sz w:val="22"/>
          <w:szCs w:val="18"/>
          <w:lang w:val="en-US" w:eastAsia="zh-CN"/>
        </w:rPr>
        <w:drawing>
          <wp:inline distT="0" distB="0" distL="0" distR="0">
            <wp:extent cx="5810250" cy="33213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mir.png"/>
                    <pic:cNvPicPr/>
                  </pic:nvPicPr>
                  <pic:blipFill>
                    <a:blip r:embed="rId7">
                      <a:extLst>
                        <a:ext uri="{28A0092B-C50C-407E-A947-70E740481C1C}">
                          <a14:useLocalDpi xmlns:a14="http://schemas.microsoft.com/office/drawing/2010/main" val="0"/>
                        </a:ext>
                      </a:extLst>
                    </a:blip>
                    <a:stretch>
                      <a:fillRect/>
                    </a:stretch>
                  </pic:blipFill>
                  <pic:spPr>
                    <a:xfrm>
                      <a:off x="0" y="0"/>
                      <a:ext cx="5816555" cy="3324952"/>
                    </a:xfrm>
                    <a:prstGeom prst="rect">
                      <a:avLst/>
                    </a:prstGeom>
                  </pic:spPr>
                </pic:pic>
              </a:graphicData>
            </a:graphic>
          </wp:inline>
        </w:drawing>
      </w:r>
    </w:p>
    <w:p w:rsidR="00B9474B" w:rsidRPr="00C1454A" w:rsidRDefault="004C1160" w:rsidP="00C1454A">
      <w:pPr>
        <w:jc w:val="both"/>
        <w:rPr>
          <w:rFonts w:asciiTheme="minorHAnsi" w:hAnsiTheme="minorHAnsi" w:cstheme="minorHAnsi"/>
          <w:b/>
          <w:szCs w:val="24"/>
        </w:rPr>
      </w:pPr>
      <w:bookmarkStart w:id="7" w:name="_GoBack"/>
      <w:bookmarkEnd w:id="7"/>
      <w:r w:rsidRPr="00C1454A">
        <w:rPr>
          <w:rFonts w:asciiTheme="minorHAnsi" w:hAnsiTheme="minorHAnsi" w:cstheme="minorHAnsi"/>
          <w:b/>
          <w:szCs w:val="24"/>
        </w:rPr>
        <w:lastRenderedPageBreak/>
        <w:t>Concession Principle</w:t>
      </w:r>
    </w:p>
    <w:p w:rsidR="00B9474B" w:rsidRPr="00A723DE" w:rsidRDefault="00C1454A" w:rsidP="00A723DE">
      <w:pPr>
        <w:pStyle w:val="aa"/>
        <w:spacing w:line="276" w:lineRule="auto"/>
        <w:ind w:left="0" w:firstLine="0"/>
        <w:jc w:val="both"/>
        <w:rPr>
          <w:rFonts w:asciiTheme="minorHAnsi" w:hAnsiTheme="minorHAnsi" w:cstheme="minorHAnsi"/>
          <w:sz w:val="22"/>
          <w:szCs w:val="18"/>
        </w:rPr>
      </w:pPr>
      <w:r w:rsidRPr="00A723DE">
        <w:rPr>
          <w:rFonts w:asciiTheme="minorHAnsi" w:hAnsiTheme="minorHAnsi" w:cstheme="minorHAnsi"/>
          <w:sz w:val="22"/>
          <w:szCs w:val="18"/>
        </w:rPr>
        <w:t>An alternative solution to set</w:t>
      </w:r>
      <w:r w:rsidR="004C1160" w:rsidRPr="00A723DE">
        <w:rPr>
          <w:rFonts w:asciiTheme="minorHAnsi" w:hAnsiTheme="minorHAnsi" w:cstheme="minorHAnsi"/>
          <w:sz w:val="22"/>
          <w:szCs w:val="18"/>
        </w:rPr>
        <w:t xml:space="preserve">up rapidly a modern and efficient spectrum monitoring system without capital expenditure by the State is to implant a concession. Instead of acquiring immediately systems and </w:t>
      </w:r>
      <w:r w:rsidRPr="00A723DE">
        <w:rPr>
          <w:rFonts w:asciiTheme="minorHAnsi" w:hAnsiTheme="minorHAnsi" w:cstheme="minorHAnsi"/>
          <w:sz w:val="22"/>
          <w:szCs w:val="18"/>
        </w:rPr>
        <w:t>equipment’s</w:t>
      </w:r>
      <w:r w:rsidR="004C1160" w:rsidRPr="00A723DE">
        <w:rPr>
          <w:rFonts w:asciiTheme="minorHAnsi" w:hAnsiTheme="minorHAnsi" w:cstheme="minorHAnsi"/>
          <w:sz w:val="22"/>
          <w:szCs w:val="18"/>
        </w:rPr>
        <w:t xml:space="preserve"> to perform by itself all the Spectrum Monitoring tasks, the State Regulator grants a dedicated local company with a concession licence to perform these operational tasks according to specifications defined by the State Regulator: outsourcing of services</w:t>
      </w:r>
    </w:p>
    <w:p w:rsidR="00B9474B" w:rsidRPr="00A723DE" w:rsidRDefault="004C1160" w:rsidP="00A723DE">
      <w:pPr>
        <w:pStyle w:val="aa"/>
        <w:spacing w:line="276" w:lineRule="auto"/>
        <w:ind w:left="0" w:firstLine="0"/>
        <w:jc w:val="both"/>
        <w:rPr>
          <w:rFonts w:asciiTheme="minorHAnsi" w:hAnsiTheme="minorHAnsi" w:cstheme="minorHAnsi"/>
          <w:sz w:val="22"/>
          <w:szCs w:val="18"/>
        </w:rPr>
      </w:pPr>
      <w:r w:rsidRPr="00A723DE">
        <w:rPr>
          <w:rFonts w:asciiTheme="minorHAnsi" w:hAnsiTheme="minorHAnsi" w:cstheme="minorHAnsi"/>
          <w:sz w:val="22"/>
          <w:szCs w:val="18"/>
        </w:rPr>
        <w:t>To incorporate the outsourcing concept into the spectrum management and control area means to adopt a new focus, based on shared responsibilities between public and private sectors, while increasing the level of capital investments and technological involvement of the latter.</w:t>
      </w:r>
      <w:r w:rsidR="00A723DE">
        <w:rPr>
          <w:rFonts w:asciiTheme="minorHAnsi" w:hAnsiTheme="minorHAnsi" w:cstheme="minorHAnsi"/>
          <w:sz w:val="22"/>
          <w:szCs w:val="18"/>
        </w:rPr>
        <w:t xml:space="preserve"> </w:t>
      </w:r>
      <w:r w:rsidRPr="00A723DE">
        <w:rPr>
          <w:rFonts w:asciiTheme="minorHAnsi" w:hAnsiTheme="minorHAnsi" w:cstheme="minorHAnsi"/>
          <w:sz w:val="22"/>
          <w:szCs w:val="18"/>
        </w:rPr>
        <w:t>In outsourcing process, the main respective tasks of the concession are under:</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Regulatory Responsibility</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Implement the legal and administrative framework in order to allow such a concession</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Concessionary Responsibility</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Performs the technical measurements</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Propose frequencies allocations</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Invoice the licences</w:t>
      </w:r>
    </w:p>
    <w:p w:rsidR="00B9474B" w:rsidRPr="00A723DE" w:rsidRDefault="004C1160" w:rsidP="00A723DE">
      <w:pPr>
        <w:pStyle w:val="ac"/>
        <w:numPr>
          <w:ilvl w:val="0"/>
          <w:numId w:val="15"/>
        </w:numPr>
        <w:spacing w:line="276" w:lineRule="auto"/>
        <w:jc w:val="both"/>
        <w:rPr>
          <w:rFonts w:asciiTheme="minorHAnsi" w:hAnsiTheme="minorHAnsi" w:cstheme="minorHAnsi"/>
          <w:i/>
          <w:iCs/>
          <w:sz w:val="22"/>
          <w:szCs w:val="18"/>
        </w:rPr>
      </w:pPr>
      <w:r w:rsidRPr="00A723DE">
        <w:rPr>
          <w:rFonts w:asciiTheme="minorHAnsi" w:hAnsiTheme="minorHAnsi" w:cstheme="minorHAnsi"/>
          <w:i/>
          <w:iCs/>
          <w:sz w:val="22"/>
          <w:szCs w:val="18"/>
        </w:rPr>
        <w:t>Collect the fees</w:t>
      </w:r>
    </w:p>
    <w:p w:rsidR="00931236" w:rsidRDefault="00931236" w:rsidP="00931236">
      <w:pPr>
        <w:tabs>
          <w:tab w:val="clear" w:pos="794"/>
        </w:tabs>
        <w:jc w:val="both"/>
        <w:rPr>
          <w:rFonts w:asciiTheme="minorHAnsi" w:hAnsiTheme="minorHAnsi" w:cstheme="minorHAnsi"/>
        </w:rPr>
      </w:pPr>
    </w:p>
    <w:p w:rsidR="00931236" w:rsidRPr="00931236" w:rsidRDefault="00931236" w:rsidP="00931236">
      <w:pPr>
        <w:tabs>
          <w:tab w:val="clear" w:pos="794"/>
        </w:tabs>
        <w:jc w:val="both"/>
        <w:rPr>
          <w:rFonts w:asciiTheme="minorHAnsi" w:hAnsiTheme="minorHAnsi" w:cstheme="minorHAnsi"/>
          <w:b/>
          <w:bCs/>
          <w:color w:val="C00000"/>
        </w:rPr>
      </w:pPr>
      <w:r w:rsidRPr="00931236">
        <w:rPr>
          <w:rFonts w:asciiTheme="minorHAnsi" w:hAnsiTheme="minorHAnsi" w:cstheme="minorHAnsi"/>
          <w:b/>
          <w:bCs/>
          <w:color w:val="C00000"/>
        </w:rPr>
        <w:t>ASSIGNMENT</w:t>
      </w:r>
    </w:p>
    <w:p w:rsidR="00931236" w:rsidRPr="00931236" w:rsidRDefault="00931236" w:rsidP="00931236">
      <w:pPr>
        <w:pStyle w:val="aa"/>
        <w:spacing w:line="276" w:lineRule="auto"/>
        <w:ind w:left="0" w:firstLine="0"/>
        <w:jc w:val="both"/>
        <w:rPr>
          <w:rFonts w:asciiTheme="minorHAnsi" w:hAnsiTheme="minorHAnsi" w:cstheme="minorHAnsi"/>
          <w:sz w:val="22"/>
          <w:szCs w:val="18"/>
        </w:rPr>
      </w:pPr>
      <w:r w:rsidRPr="00931236">
        <w:rPr>
          <w:rFonts w:asciiTheme="minorHAnsi" w:hAnsiTheme="minorHAnsi" w:cstheme="minorHAnsi"/>
          <w:sz w:val="22"/>
          <w:szCs w:val="18"/>
        </w:rPr>
        <w:t>After considering the information and having understood the principle of outsourcing, kindly give your views of the outsourcing of Spectrum Management functions? You should explain:</w:t>
      </w:r>
    </w:p>
    <w:p w:rsidR="00931236" w:rsidRDefault="00931236" w:rsidP="00931236">
      <w:pPr>
        <w:pStyle w:val="ac"/>
        <w:numPr>
          <w:ilvl w:val="0"/>
          <w:numId w:val="16"/>
        </w:numPr>
        <w:tabs>
          <w:tab w:val="clear" w:pos="794"/>
        </w:tabs>
        <w:jc w:val="both"/>
        <w:rPr>
          <w:rFonts w:asciiTheme="minorHAnsi" w:hAnsiTheme="minorHAnsi" w:cstheme="minorHAnsi"/>
        </w:rPr>
      </w:pPr>
      <w:r w:rsidRPr="00931236">
        <w:rPr>
          <w:rFonts w:asciiTheme="minorHAnsi" w:hAnsiTheme="minorHAnsi" w:cstheme="minorHAnsi"/>
        </w:rPr>
        <w:t>Pros and cons of Outsourcing</w:t>
      </w:r>
      <w:r>
        <w:rPr>
          <w:rFonts w:asciiTheme="minorHAnsi" w:hAnsiTheme="minorHAnsi" w:cstheme="minorHAnsi"/>
        </w:rPr>
        <w:t>?</w:t>
      </w:r>
    </w:p>
    <w:p w:rsidR="00931236" w:rsidRPr="00931236" w:rsidRDefault="00931236" w:rsidP="00931236">
      <w:pPr>
        <w:pStyle w:val="ac"/>
        <w:numPr>
          <w:ilvl w:val="0"/>
          <w:numId w:val="16"/>
        </w:numPr>
        <w:tabs>
          <w:tab w:val="clear" w:pos="794"/>
        </w:tabs>
        <w:jc w:val="both"/>
        <w:rPr>
          <w:rFonts w:asciiTheme="minorHAnsi" w:hAnsiTheme="minorHAnsi" w:cstheme="minorHAnsi"/>
        </w:rPr>
      </w:pPr>
      <w:r>
        <w:rPr>
          <w:rFonts w:asciiTheme="minorHAnsi" w:hAnsiTheme="minorHAnsi" w:cstheme="minorHAnsi"/>
        </w:rPr>
        <w:t>Would such outsourcing succeed in your country? (Every participant for unique country should answer this separately with reasoning)</w:t>
      </w:r>
    </w:p>
    <w:p w:rsidR="00931236" w:rsidRDefault="00931236" w:rsidP="00931236">
      <w:pPr>
        <w:pStyle w:val="aa"/>
        <w:numPr>
          <w:ilvl w:val="0"/>
          <w:numId w:val="16"/>
        </w:numPr>
        <w:spacing w:line="276" w:lineRule="auto"/>
        <w:jc w:val="both"/>
        <w:rPr>
          <w:rFonts w:asciiTheme="minorHAnsi" w:hAnsiTheme="minorHAnsi" w:cstheme="minorHAnsi"/>
        </w:rPr>
      </w:pPr>
      <w:r>
        <w:rPr>
          <w:rFonts w:asciiTheme="minorHAnsi" w:hAnsiTheme="minorHAnsi" w:cstheme="minorHAnsi"/>
        </w:rPr>
        <w:t xml:space="preserve">If outsourcing is done what should be </w:t>
      </w:r>
      <w:r w:rsidRPr="00931236">
        <w:rPr>
          <w:rFonts w:asciiTheme="minorHAnsi" w:hAnsiTheme="minorHAnsi" w:cstheme="minorHAnsi"/>
        </w:rPr>
        <w:t>Roles and Tasks of spectrum administrator and the company who is awarded outsourcing tender</w:t>
      </w:r>
    </w:p>
    <w:p w:rsidR="00931236" w:rsidRDefault="00931236" w:rsidP="00931236">
      <w:pPr>
        <w:pStyle w:val="aa"/>
        <w:numPr>
          <w:ilvl w:val="0"/>
          <w:numId w:val="16"/>
        </w:numPr>
        <w:spacing w:line="276" w:lineRule="auto"/>
        <w:jc w:val="both"/>
        <w:rPr>
          <w:rFonts w:asciiTheme="minorHAnsi" w:hAnsiTheme="minorHAnsi" w:cstheme="minorHAnsi"/>
        </w:rPr>
      </w:pPr>
      <w:r>
        <w:rPr>
          <w:rFonts w:asciiTheme="minorHAnsi" w:hAnsiTheme="minorHAnsi" w:cstheme="minorHAnsi"/>
        </w:rPr>
        <w:t xml:space="preserve">How to measure performance of outsourced company? </w:t>
      </w:r>
    </w:p>
    <w:p w:rsidR="00931236" w:rsidRPr="00931236" w:rsidRDefault="00931236" w:rsidP="00931236">
      <w:pPr>
        <w:pStyle w:val="aa"/>
        <w:numPr>
          <w:ilvl w:val="0"/>
          <w:numId w:val="16"/>
        </w:numPr>
        <w:spacing w:line="276" w:lineRule="auto"/>
        <w:jc w:val="both"/>
        <w:rPr>
          <w:rFonts w:asciiTheme="minorHAnsi" w:hAnsiTheme="minorHAnsi" w:cstheme="minorHAnsi"/>
        </w:rPr>
      </w:pPr>
      <w:r>
        <w:rPr>
          <w:rFonts w:asciiTheme="minorHAnsi" w:hAnsiTheme="minorHAnsi" w:cstheme="minorHAnsi"/>
        </w:rPr>
        <w:t>Do such performance measurement parameter also apply to the national regulator?</w:t>
      </w:r>
    </w:p>
    <w:p w:rsidR="00931236" w:rsidRPr="00A723DE" w:rsidRDefault="00931236" w:rsidP="00931236">
      <w:pPr>
        <w:pStyle w:val="aa"/>
        <w:spacing w:line="276" w:lineRule="auto"/>
        <w:ind w:left="0" w:firstLine="0"/>
        <w:jc w:val="both"/>
        <w:rPr>
          <w:rFonts w:asciiTheme="minorHAnsi" w:hAnsiTheme="minorHAnsi" w:cstheme="minorHAnsi"/>
          <w:b/>
          <w:bCs w:val="0"/>
        </w:rPr>
      </w:pPr>
    </w:p>
    <w:p w:rsidR="00931236" w:rsidRPr="004B30CE" w:rsidRDefault="00931236" w:rsidP="00931236">
      <w:pPr>
        <w:tabs>
          <w:tab w:val="clear" w:pos="794"/>
        </w:tabs>
        <w:jc w:val="center"/>
        <w:rPr>
          <w:rFonts w:asciiTheme="minorHAnsi" w:hAnsiTheme="minorHAnsi" w:cstheme="minorHAnsi"/>
          <w:b/>
          <w:bCs/>
          <w:color w:val="C00000"/>
        </w:rPr>
      </w:pPr>
      <w:r w:rsidRPr="004B30CE">
        <w:rPr>
          <w:rFonts w:asciiTheme="minorHAnsi" w:hAnsiTheme="minorHAnsi" w:cstheme="minorHAnsi"/>
          <w:b/>
          <w:bCs/>
          <w:color w:val="C00000"/>
        </w:rPr>
        <w:t xml:space="preserve">Your response should be in the form of presentation delivered by </w:t>
      </w:r>
      <w:r w:rsidR="006C6B67" w:rsidRPr="004B30CE">
        <w:rPr>
          <w:rFonts w:asciiTheme="minorHAnsi" w:hAnsiTheme="minorHAnsi" w:cstheme="minorHAnsi"/>
          <w:b/>
          <w:bCs/>
          <w:color w:val="C00000"/>
        </w:rPr>
        <w:t xml:space="preserve">maximum </w:t>
      </w:r>
      <w:r w:rsidRPr="004B30CE">
        <w:rPr>
          <w:rFonts w:asciiTheme="minorHAnsi" w:hAnsiTheme="minorHAnsi" w:cstheme="minorHAnsi"/>
          <w:b/>
          <w:bCs/>
          <w:color w:val="C00000"/>
        </w:rPr>
        <w:t>3 persons nominated by the group. The maximum time is 15 minutes.</w:t>
      </w:r>
      <w:r w:rsidR="004B30CE" w:rsidRPr="004B30CE">
        <w:rPr>
          <w:rFonts w:asciiTheme="minorHAnsi" w:hAnsiTheme="minorHAnsi" w:cstheme="minorHAnsi"/>
          <w:b/>
          <w:bCs/>
          <w:color w:val="C00000"/>
        </w:rPr>
        <w:t xml:space="preserve"> Views within group can be divergent and all views should be presented.</w:t>
      </w:r>
    </w:p>
    <w:p w:rsidR="00C1454A" w:rsidRDefault="00C1454A" w:rsidP="00C1454A">
      <w:pPr>
        <w:tabs>
          <w:tab w:val="clear" w:pos="794"/>
        </w:tabs>
        <w:jc w:val="both"/>
        <w:rPr>
          <w:rFonts w:asciiTheme="minorHAnsi" w:hAnsiTheme="minorHAnsi" w:cstheme="minorHAnsi"/>
        </w:rPr>
      </w:pPr>
    </w:p>
    <w:p w:rsidR="00C1454A" w:rsidRPr="00931236" w:rsidRDefault="00931236" w:rsidP="00931236">
      <w:pPr>
        <w:tabs>
          <w:tab w:val="clear" w:pos="794"/>
          <w:tab w:val="clear" w:pos="1191"/>
          <w:tab w:val="clear" w:pos="1588"/>
          <w:tab w:val="clear" w:pos="1985"/>
        </w:tabs>
        <w:spacing w:before="0"/>
        <w:rPr>
          <w:rFonts w:asciiTheme="minorHAnsi" w:hAnsiTheme="minorHAnsi" w:cstheme="minorHAnsi"/>
          <w:i/>
          <w:iCs/>
          <w:smallCaps/>
          <w:sz w:val="16"/>
          <w:szCs w:val="12"/>
        </w:rPr>
      </w:pPr>
      <w:r>
        <w:rPr>
          <w:rFonts w:asciiTheme="minorHAnsi" w:hAnsiTheme="minorHAnsi" w:cstheme="minorHAnsi"/>
          <w:b/>
          <w:bCs/>
          <w:i/>
          <w:iCs/>
          <w:smallCaps/>
          <w:sz w:val="16"/>
          <w:szCs w:val="12"/>
        </w:rPr>
        <w:t xml:space="preserve">Note: </w:t>
      </w:r>
      <w:r w:rsidRPr="00931236">
        <w:rPr>
          <w:rFonts w:asciiTheme="minorHAnsi" w:hAnsiTheme="minorHAnsi" w:cstheme="minorHAnsi"/>
          <w:i/>
          <w:iCs/>
          <w:smallCaps/>
          <w:sz w:val="16"/>
          <w:szCs w:val="12"/>
        </w:rPr>
        <w:t>EXERCISE</w:t>
      </w:r>
      <w:r w:rsidR="00C1454A" w:rsidRPr="00931236">
        <w:rPr>
          <w:rFonts w:asciiTheme="minorHAnsi" w:hAnsiTheme="minorHAnsi" w:cstheme="minorHAnsi"/>
          <w:i/>
          <w:iCs/>
          <w:smallCaps/>
          <w:sz w:val="16"/>
          <w:szCs w:val="12"/>
        </w:rPr>
        <w:t xml:space="preserve"> is based on document </w:t>
      </w:r>
      <w:r w:rsidR="00C1454A" w:rsidRPr="00931236">
        <w:rPr>
          <w:rFonts w:asciiTheme="minorHAnsi" w:hAnsiTheme="minorHAnsi" w:cstheme="minorHAnsi"/>
          <w:i/>
          <w:iCs/>
          <w:sz w:val="16"/>
          <w:szCs w:val="12"/>
        </w:rPr>
        <w:t xml:space="preserve">RGQ18/1/018-E </w:t>
      </w:r>
      <w:r w:rsidR="00C1454A" w:rsidRPr="00931236">
        <w:rPr>
          <w:rFonts w:asciiTheme="minorHAnsi" w:hAnsiTheme="minorHAnsi" w:cstheme="minorHAnsi"/>
          <w:i/>
          <w:iCs/>
          <w:smallCaps/>
          <w:sz w:val="16"/>
          <w:szCs w:val="12"/>
        </w:rPr>
        <w:t xml:space="preserve">submitted by Thales to ITU-D study Group </w:t>
      </w:r>
      <w:r w:rsidR="00C1454A" w:rsidRPr="00931236">
        <w:rPr>
          <w:rFonts w:asciiTheme="minorHAnsi" w:hAnsiTheme="minorHAnsi" w:cstheme="minorHAnsi"/>
          <w:i/>
          <w:iCs/>
          <w:sz w:val="16"/>
          <w:szCs w:val="12"/>
        </w:rPr>
        <w:t>RAPPORTEUR'S GROUP MEETING ON QUESTION 18/1: RIO DE JANEIRO, 21-22 APRIL 2004</w:t>
      </w:r>
    </w:p>
    <w:p w:rsidR="00C1454A" w:rsidRPr="00931236" w:rsidRDefault="00C1454A" w:rsidP="00C1454A">
      <w:pPr>
        <w:tabs>
          <w:tab w:val="clear" w:pos="794"/>
          <w:tab w:val="clear" w:pos="1191"/>
          <w:tab w:val="clear" w:pos="1588"/>
          <w:tab w:val="clear" w:pos="1985"/>
        </w:tabs>
        <w:spacing w:before="0"/>
        <w:rPr>
          <w:rFonts w:asciiTheme="minorHAnsi" w:hAnsiTheme="minorHAnsi" w:cstheme="minorHAnsi"/>
        </w:rPr>
      </w:pPr>
    </w:p>
    <w:p w:rsidR="00C1454A" w:rsidRPr="00C1454A" w:rsidRDefault="00C1454A" w:rsidP="00C1454A">
      <w:pPr>
        <w:tabs>
          <w:tab w:val="clear" w:pos="794"/>
        </w:tabs>
        <w:jc w:val="both"/>
        <w:rPr>
          <w:rFonts w:asciiTheme="minorHAnsi" w:hAnsiTheme="minorHAnsi" w:cstheme="minorHAnsi"/>
        </w:rPr>
      </w:pPr>
    </w:p>
    <w:sectPr w:rsidR="00C1454A" w:rsidRPr="00C1454A">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4FB" w:rsidRDefault="00F754FB">
      <w:pPr>
        <w:spacing w:before="0"/>
      </w:pPr>
      <w:r>
        <w:separator/>
      </w:r>
    </w:p>
  </w:endnote>
  <w:endnote w:type="continuationSeparator" w:id="0">
    <w:p w:rsidR="00F754FB" w:rsidRDefault="00F754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4FB" w:rsidRDefault="00F754FB">
      <w:r>
        <w:t>____________________</w:t>
      </w:r>
    </w:p>
  </w:footnote>
  <w:footnote w:type="continuationSeparator" w:id="0">
    <w:p w:rsidR="00F754FB" w:rsidRDefault="00F754F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ED2"/>
    <w:multiLevelType w:val="hybridMultilevel"/>
    <w:tmpl w:val="3F96CDE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1474B4"/>
    <w:multiLevelType w:val="hybridMultilevel"/>
    <w:tmpl w:val="EBACA740"/>
    <w:lvl w:ilvl="0" w:tplc="0356497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C0A92"/>
    <w:multiLevelType w:val="hybridMultilevel"/>
    <w:tmpl w:val="85E87EF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84962"/>
    <w:multiLevelType w:val="hybridMultilevel"/>
    <w:tmpl w:val="2716CA4E"/>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D425A84">
      <w:start w:val="6"/>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E2804"/>
    <w:multiLevelType w:val="hybridMultilevel"/>
    <w:tmpl w:val="951E4800"/>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D1F1908"/>
    <w:multiLevelType w:val="hybridMultilevel"/>
    <w:tmpl w:val="F9E09706"/>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76D43"/>
    <w:multiLevelType w:val="hybridMultilevel"/>
    <w:tmpl w:val="27C28912"/>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D39A3"/>
    <w:multiLevelType w:val="hybridMultilevel"/>
    <w:tmpl w:val="7CD09D8A"/>
    <w:lvl w:ilvl="0" w:tplc="04090009">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F43881"/>
    <w:multiLevelType w:val="hybridMultilevel"/>
    <w:tmpl w:val="1B9A3FBE"/>
    <w:lvl w:ilvl="0" w:tplc="A984BFE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651951"/>
    <w:multiLevelType w:val="hybridMultilevel"/>
    <w:tmpl w:val="316A34C8"/>
    <w:lvl w:ilvl="0" w:tplc="2DFA47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240B95"/>
    <w:multiLevelType w:val="hybridMultilevel"/>
    <w:tmpl w:val="D06661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D90647"/>
    <w:multiLevelType w:val="hybridMultilevel"/>
    <w:tmpl w:val="17E861A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D3B6FB3"/>
    <w:multiLevelType w:val="hybridMultilevel"/>
    <w:tmpl w:val="D20A558A"/>
    <w:lvl w:ilvl="0" w:tplc="04090015">
      <w:start w:val="3"/>
      <w:numFmt w:val="upperLetter"/>
      <w:lvlText w:val="%1."/>
      <w:lvlJc w:val="left"/>
      <w:pPr>
        <w:tabs>
          <w:tab w:val="num" w:pos="720"/>
        </w:tabs>
        <w:ind w:left="720" w:hanging="360"/>
      </w:pPr>
      <w:rPr>
        <w:rFonts w:hint="default"/>
      </w:rPr>
    </w:lvl>
    <w:lvl w:ilvl="1" w:tplc="E470539E">
      <w:start w:val="7"/>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D4548C"/>
    <w:multiLevelType w:val="hybridMultilevel"/>
    <w:tmpl w:val="AD1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2140A"/>
    <w:multiLevelType w:val="hybridMultilevel"/>
    <w:tmpl w:val="14E4B98E"/>
    <w:lvl w:ilvl="0" w:tplc="E2AEEF4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B63BA"/>
    <w:multiLevelType w:val="hybridMultilevel"/>
    <w:tmpl w:val="425E7D0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2"/>
  </w:num>
  <w:num w:numId="6">
    <w:abstractNumId w:val="8"/>
  </w:num>
  <w:num w:numId="7">
    <w:abstractNumId w:val="6"/>
  </w:num>
  <w:num w:numId="8">
    <w:abstractNumId w:val="14"/>
  </w:num>
  <w:num w:numId="9">
    <w:abstractNumId w:val="11"/>
  </w:num>
  <w:num w:numId="10">
    <w:abstractNumId w:val="4"/>
  </w:num>
  <w:num w:numId="11">
    <w:abstractNumId w:val="5"/>
  </w:num>
  <w:num w:numId="12">
    <w:abstractNumId w:val="10"/>
  </w:num>
  <w:num w:numId="13">
    <w:abstractNumId w:val="15"/>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0D"/>
    <w:rsid w:val="00120D87"/>
    <w:rsid w:val="00472657"/>
    <w:rsid w:val="004B30CE"/>
    <w:rsid w:val="004C1160"/>
    <w:rsid w:val="006C6B67"/>
    <w:rsid w:val="0076538F"/>
    <w:rsid w:val="00790FA5"/>
    <w:rsid w:val="00931236"/>
    <w:rsid w:val="009D1DC7"/>
    <w:rsid w:val="00A24B56"/>
    <w:rsid w:val="00A723DE"/>
    <w:rsid w:val="00B9474B"/>
    <w:rsid w:val="00BC000D"/>
    <w:rsid w:val="00C1454A"/>
    <w:rsid w:val="00F754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28ED94-3598-4AF5-8BD3-EDDF558D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1">
    <w:name w:val="heading 1"/>
    <w:basedOn w:val="a"/>
    <w:next w:val="a"/>
    <w:qFormat/>
    <w:pPr>
      <w:keepNext/>
      <w:keepLines/>
      <w:spacing w:before="360"/>
      <w:ind w:left="794" w:hanging="794"/>
      <w:outlineLvl w:val="0"/>
    </w:pPr>
    <w:rPr>
      <w:b/>
    </w:rPr>
  </w:style>
  <w:style w:type="paragraph" w:styleId="2">
    <w:name w:val="heading 2"/>
    <w:basedOn w:val="1"/>
    <w:next w:val="a"/>
    <w:qFormat/>
    <w:pPr>
      <w:spacing w:before="240"/>
      <w:outlineLvl w:val="1"/>
    </w:pPr>
  </w:style>
  <w:style w:type="paragraph" w:styleId="3">
    <w:name w:val="heading 3"/>
    <w:basedOn w:val="1"/>
    <w:next w:val="a"/>
    <w:qFormat/>
    <w:pPr>
      <w:spacing w:before="160"/>
      <w:outlineLvl w:val="2"/>
    </w:pPr>
  </w:style>
  <w:style w:type="paragraph" w:styleId="4">
    <w:name w:val="heading 4"/>
    <w:basedOn w:val="3"/>
    <w:next w:val="a"/>
    <w:qFormat/>
    <w:pPr>
      <w:tabs>
        <w:tab w:val="clear" w:pos="794"/>
        <w:tab w:val="left" w:pos="1021"/>
      </w:tabs>
      <w:ind w:left="1021" w:hanging="1021"/>
      <w:outlineLvl w:val="3"/>
    </w:pPr>
  </w:style>
  <w:style w:type="paragraph" w:styleId="5">
    <w:name w:val="heading 5"/>
    <w:basedOn w:val="4"/>
    <w:next w:val="a"/>
    <w:qFormat/>
    <w:pPr>
      <w:outlineLvl w:val="4"/>
    </w:pPr>
  </w:style>
  <w:style w:type="paragraph" w:styleId="6">
    <w:name w:val="heading 6"/>
    <w:basedOn w:val="4"/>
    <w:next w:val="a"/>
    <w:qFormat/>
    <w:pPr>
      <w:tabs>
        <w:tab w:val="clear" w:pos="1021"/>
        <w:tab w:val="clear" w:pos="1191"/>
      </w:tabs>
      <w:ind w:left="1588" w:hanging="1588"/>
      <w:outlineLvl w:val="5"/>
    </w:pPr>
  </w:style>
  <w:style w:type="paragraph" w:styleId="7">
    <w:name w:val="heading 7"/>
    <w:basedOn w:val="6"/>
    <w:next w:val="a"/>
    <w:qFormat/>
    <w:pPr>
      <w:outlineLvl w:val="6"/>
    </w:pPr>
  </w:style>
  <w:style w:type="paragraph" w:styleId="8">
    <w:name w:val="heading 8"/>
    <w:basedOn w:val="6"/>
    <w:next w:val="a"/>
    <w:qFormat/>
    <w:pPr>
      <w:outlineLvl w:val="7"/>
    </w:pPr>
  </w:style>
  <w:style w:type="paragraph" w:styleId="9">
    <w:name w:val="heading 9"/>
    <w:basedOn w:val="6"/>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Notitle">
    <w:name w:val="Annex_No &amp; title"/>
    <w:basedOn w:val="a"/>
    <w:next w:val="Normalaftertitle"/>
    <w:pPr>
      <w:keepNext/>
      <w:keepLines/>
      <w:spacing w:before="480"/>
      <w:jc w:val="center"/>
    </w:pPr>
    <w:rPr>
      <w:b/>
      <w:sz w:val="28"/>
    </w:rPr>
  </w:style>
  <w:style w:type="character" w:customStyle="1" w:styleId="Appdef">
    <w:name w:val="App_def"/>
    <w:basedOn w:val="a0"/>
    <w:rPr>
      <w:rFonts w:ascii="Times New Roman" w:hAnsi="Times New Roman"/>
      <w:b/>
    </w:rPr>
  </w:style>
  <w:style w:type="character" w:customStyle="1" w:styleId="Appref">
    <w:name w:val="App_ref"/>
    <w:basedOn w:val="a0"/>
  </w:style>
  <w:style w:type="paragraph" w:customStyle="1" w:styleId="AppendixNotitle">
    <w:name w:val="Appendix_No &amp; title"/>
    <w:basedOn w:val="AnnexNotitle"/>
    <w:next w:val="Normalaftertitle"/>
  </w:style>
  <w:style w:type="character" w:customStyle="1" w:styleId="Artdef">
    <w:name w:val="Art_def"/>
    <w:basedOn w:val="a0"/>
    <w:rPr>
      <w:rFonts w:ascii="Times New Roman" w:hAnsi="Times New Roman"/>
      <w:b/>
    </w:rPr>
  </w:style>
  <w:style w:type="paragraph" w:customStyle="1" w:styleId="Artheading">
    <w:name w:val="Art_heading"/>
    <w:basedOn w:val="a"/>
    <w:next w:val="Normalaftertitle"/>
    <w:pPr>
      <w:spacing w:before="480"/>
      <w:jc w:val="center"/>
    </w:pPr>
    <w:rPr>
      <w:b/>
      <w:sz w:val="28"/>
    </w:rPr>
  </w:style>
  <w:style w:type="paragraph" w:customStyle="1" w:styleId="ArtNo">
    <w:name w:val="Art_No"/>
    <w:basedOn w:val="a"/>
    <w:next w:val="Arttitle"/>
    <w:pPr>
      <w:keepNext/>
      <w:keepLines/>
      <w:spacing w:before="480"/>
      <w:jc w:val="center"/>
    </w:pPr>
    <w:rPr>
      <w:caps/>
      <w:sz w:val="28"/>
    </w:rPr>
  </w:style>
  <w:style w:type="character" w:customStyle="1" w:styleId="Artref">
    <w:name w:val="Art_ref"/>
    <w:basedOn w:val="a0"/>
  </w:style>
  <w:style w:type="paragraph" w:customStyle="1" w:styleId="Arttitle">
    <w:name w:val="Art_title"/>
    <w:basedOn w:val="a"/>
    <w:next w:val="Normalaftertitle"/>
    <w:pPr>
      <w:keepNext/>
      <w:keepLines/>
      <w:spacing w:before="240"/>
      <w:jc w:val="center"/>
    </w:pPr>
    <w:rPr>
      <w:b/>
      <w:sz w:val="28"/>
    </w:rPr>
  </w:style>
  <w:style w:type="paragraph" w:customStyle="1" w:styleId="ASN1">
    <w:name w:val="ASN.1"/>
    <w:basedOn w:val="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a"/>
    <w:next w:val="a"/>
    <w:pPr>
      <w:keepNext/>
      <w:keepLines/>
      <w:spacing w:before="160"/>
      <w:ind w:left="794"/>
    </w:pPr>
    <w:rPr>
      <w:i/>
    </w:rPr>
  </w:style>
  <w:style w:type="paragraph" w:customStyle="1" w:styleId="ChapNo">
    <w:name w:val="Chap_No"/>
    <w:basedOn w:val="a"/>
    <w:next w:val="Chaptitle"/>
    <w:pPr>
      <w:keepNext/>
      <w:keepLines/>
      <w:spacing w:before="480"/>
      <w:jc w:val="center"/>
    </w:pPr>
    <w:rPr>
      <w:b/>
      <w:caps/>
      <w:sz w:val="28"/>
    </w:rPr>
  </w:style>
  <w:style w:type="paragraph" w:customStyle="1" w:styleId="Chaptitle">
    <w:name w:val="Chap_title"/>
    <w:basedOn w:val="a"/>
    <w:next w:val="Normalaftertitle"/>
    <w:pPr>
      <w:keepNext/>
      <w:keepLines/>
      <w:spacing w:before="240"/>
      <w:jc w:val="center"/>
    </w:pPr>
    <w:rPr>
      <w:b/>
      <w:sz w:val="28"/>
    </w:rPr>
  </w:style>
  <w:style w:type="character" w:styleId="a3">
    <w:name w:val="endnote reference"/>
    <w:basedOn w:val="a0"/>
    <w:semiHidden/>
    <w:rPr>
      <w:vertAlign w:val="superscript"/>
    </w:rPr>
  </w:style>
  <w:style w:type="paragraph" w:customStyle="1" w:styleId="enumlev1">
    <w:name w:val="enumlev1"/>
    <w:basedOn w:val="a"/>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a"/>
    <w:pPr>
      <w:tabs>
        <w:tab w:val="clear" w:pos="1191"/>
        <w:tab w:val="clear" w:pos="1588"/>
        <w:tab w:val="clear" w:pos="1985"/>
        <w:tab w:val="center" w:pos="4820"/>
        <w:tab w:val="right" w:pos="9639"/>
      </w:tabs>
    </w:pPr>
  </w:style>
  <w:style w:type="paragraph" w:customStyle="1" w:styleId="Equationlegend">
    <w:name w:val="Equation_legend"/>
    <w:basedOn w:val="a"/>
    <w:pPr>
      <w:tabs>
        <w:tab w:val="clear" w:pos="794"/>
        <w:tab w:val="clear" w:pos="1191"/>
        <w:tab w:val="clear" w:pos="1588"/>
        <w:tab w:val="right" w:pos="1814"/>
      </w:tabs>
      <w:spacing w:before="80"/>
      <w:ind w:left="1985" w:hanging="1985"/>
    </w:pPr>
  </w:style>
  <w:style w:type="paragraph" w:customStyle="1" w:styleId="Figure">
    <w:name w:val="Figure"/>
    <w:basedOn w:val="a"/>
    <w:next w:val="FigureNotitle"/>
    <w:pPr>
      <w:keepNext/>
      <w:keepLines/>
      <w:spacing w:before="240" w:after="120"/>
      <w:jc w:val="center"/>
    </w:pPr>
  </w:style>
  <w:style w:type="paragraph" w:customStyle="1" w:styleId="Figurelegend">
    <w:name w:val="Figure_legend"/>
    <w:basedOn w:val="a"/>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a"/>
    <w:next w:val="Normalaftertitle"/>
    <w:pPr>
      <w:keepLines/>
      <w:spacing w:before="240" w:after="120"/>
      <w:jc w:val="center"/>
    </w:pPr>
    <w:rPr>
      <w:b/>
    </w:rPr>
  </w:style>
  <w:style w:type="paragraph" w:customStyle="1" w:styleId="Figurewithouttitle">
    <w:name w:val="Figure_without_title"/>
    <w:basedOn w:val="a"/>
    <w:next w:val="Normalaftertitle"/>
    <w:pPr>
      <w:keepLines/>
      <w:spacing w:before="240" w:after="120"/>
      <w:jc w:val="center"/>
    </w:pPr>
  </w:style>
  <w:style w:type="paragraph" w:styleId="a4">
    <w:name w:val="footer"/>
    <w:basedOn w:val="a"/>
    <w:semiHidden/>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a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a"/>
    <w:pPr>
      <w:tabs>
        <w:tab w:val="clear" w:pos="794"/>
        <w:tab w:val="clear" w:pos="1191"/>
        <w:tab w:val="clear" w:pos="1588"/>
        <w:tab w:val="clear" w:pos="1985"/>
        <w:tab w:val="left" w:pos="907"/>
        <w:tab w:val="right" w:pos="8789"/>
        <w:tab w:val="right" w:pos="9639"/>
      </w:tabs>
      <w:spacing w:before="0"/>
    </w:pPr>
    <w:rPr>
      <w:b/>
      <w:sz w:val="22"/>
    </w:rPr>
  </w:style>
  <w:style w:type="character" w:styleId="a5">
    <w:name w:val="footnote reference"/>
    <w:basedOn w:val="a0"/>
    <w:semiHidden/>
    <w:rPr>
      <w:position w:val="6"/>
      <w:sz w:val="18"/>
    </w:rPr>
  </w:style>
  <w:style w:type="paragraph" w:customStyle="1" w:styleId="Note">
    <w:name w:val="Note"/>
    <w:basedOn w:val="a"/>
    <w:pPr>
      <w:spacing w:before="80"/>
    </w:pPr>
  </w:style>
  <w:style w:type="paragraph" w:styleId="a6">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a7">
    <w:name w:val="header"/>
    <w:basedOn w:val="a"/>
    <w:link w:val="Char"/>
    <w:pPr>
      <w:tabs>
        <w:tab w:val="clear" w:pos="794"/>
        <w:tab w:val="clear" w:pos="1191"/>
        <w:tab w:val="clear" w:pos="1588"/>
        <w:tab w:val="clear" w:pos="1985"/>
      </w:tabs>
      <w:spacing w:before="0"/>
      <w:jc w:val="center"/>
    </w:pPr>
    <w:rPr>
      <w:sz w:val="18"/>
    </w:rPr>
  </w:style>
  <w:style w:type="paragraph" w:customStyle="1" w:styleId="Headingb">
    <w:name w:val="Heading_b"/>
    <w:basedOn w:val="a"/>
    <w:next w:val="a"/>
    <w:pPr>
      <w:keepNext/>
      <w:spacing w:before="160"/>
    </w:pPr>
    <w:rPr>
      <w:b/>
    </w:rPr>
  </w:style>
  <w:style w:type="paragraph" w:customStyle="1" w:styleId="Headingi">
    <w:name w:val="Heading_i"/>
    <w:basedOn w:val="a"/>
    <w:next w:val="a"/>
    <w:pPr>
      <w:keepNext/>
      <w:spacing w:before="160"/>
    </w:pPr>
    <w:rPr>
      <w:i/>
    </w:rPr>
  </w:style>
  <w:style w:type="paragraph" w:styleId="10">
    <w:name w:val="index 1"/>
    <w:basedOn w:val="a"/>
    <w:next w:val="a"/>
    <w:semiHidden/>
  </w:style>
  <w:style w:type="paragraph" w:styleId="20">
    <w:name w:val="index 2"/>
    <w:basedOn w:val="a"/>
    <w:next w:val="a"/>
    <w:semiHidden/>
    <w:pPr>
      <w:ind w:left="283"/>
    </w:pPr>
  </w:style>
  <w:style w:type="paragraph" w:styleId="30">
    <w:name w:val="index 3"/>
    <w:basedOn w:val="a"/>
    <w:next w:val="a"/>
    <w:semiHidden/>
    <w:pPr>
      <w:ind w:left="566"/>
    </w:pPr>
  </w:style>
  <w:style w:type="character" w:styleId="a8">
    <w:name w:val="page number"/>
    <w:basedOn w:val="a0"/>
    <w:semiHidden/>
  </w:style>
  <w:style w:type="paragraph" w:customStyle="1" w:styleId="PartNo">
    <w:name w:val="Part_No"/>
    <w:basedOn w:val="a"/>
    <w:next w:val="Partref"/>
    <w:pPr>
      <w:keepNext/>
      <w:keepLines/>
      <w:spacing w:before="480" w:after="80"/>
      <w:jc w:val="center"/>
    </w:pPr>
    <w:rPr>
      <w:caps/>
      <w:sz w:val="28"/>
    </w:rPr>
  </w:style>
  <w:style w:type="paragraph" w:customStyle="1" w:styleId="Partref">
    <w:name w:val="Part_ref"/>
    <w:basedOn w:val="a"/>
    <w:next w:val="Parttitle"/>
    <w:pPr>
      <w:keepNext/>
      <w:keepLines/>
      <w:spacing w:before="280"/>
      <w:jc w:val="center"/>
    </w:pPr>
  </w:style>
  <w:style w:type="paragraph" w:customStyle="1" w:styleId="Parttitle">
    <w:name w:val="Part_title"/>
    <w:basedOn w:val="a"/>
    <w:next w:val="Normalaftertitle"/>
    <w:pPr>
      <w:keepNext/>
      <w:keepLines/>
      <w:spacing w:before="240" w:after="280"/>
      <w:jc w:val="center"/>
    </w:pPr>
    <w:rPr>
      <w:b/>
      <w:sz w:val="28"/>
    </w:rPr>
  </w:style>
  <w:style w:type="paragraph" w:customStyle="1" w:styleId="Recdate">
    <w:name w:val="Rec_date"/>
    <w:basedOn w:val="a"/>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a"/>
    <w:next w:val="Rectitle"/>
    <w:pPr>
      <w:keepNext/>
      <w:keepLines/>
      <w:spacing w:before="0"/>
    </w:pPr>
    <w:rPr>
      <w:b/>
      <w:sz w:val="28"/>
    </w:rPr>
  </w:style>
  <w:style w:type="paragraph" w:customStyle="1" w:styleId="QuestionNo">
    <w:name w:val="Question_No"/>
    <w:basedOn w:val="RecNo"/>
    <w:next w:val="Questiontitle"/>
  </w:style>
  <w:style w:type="paragraph" w:customStyle="1" w:styleId="Normalaftertitle">
    <w:name w:val="Normal_after_title"/>
    <w:basedOn w:val="a"/>
    <w:next w:val="a"/>
    <w:pPr>
      <w:spacing w:before="360"/>
    </w:pPr>
  </w:style>
  <w:style w:type="paragraph" w:customStyle="1" w:styleId="RecNoBR">
    <w:name w:val="Rec_No_BR"/>
    <w:basedOn w:val="a"/>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a"/>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a"/>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a0"/>
    <w:rPr>
      <w:b/>
    </w:rPr>
  </w:style>
  <w:style w:type="paragraph" w:customStyle="1" w:styleId="Reftext">
    <w:name w:val="Ref_text"/>
    <w:basedOn w:val="a"/>
    <w:pPr>
      <w:ind w:left="794" w:hanging="794"/>
    </w:pPr>
  </w:style>
  <w:style w:type="paragraph" w:customStyle="1" w:styleId="Reftitle">
    <w:name w:val="Ref_title"/>
    <w:basedOn w:val="a"/>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a0"/>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a"/>
    <w:next w:val="a"/>
    <w:pPr>
      <w:tabs>
        <w:tab w:val="clear" w:pos="794"/>
        <w:tab w:val="clear" w:pos="1191"/>
        <w:tab w:val="clear" w:pos="1588"/>
        <w:tab w:val="clear" w:pos="1985"/>
      </w:tabs>
      <w:spacing w:before="624"/>
      <w:jc w:val="center"/>
    </w:pPr>
    <w:rPr>
      <w:b/>
    </w:rPr>
  </w:style>
  <w:style w:type="paragraph" w:customStyle="1" w:styleId="Section2">
    <w:name w:val="Section_2"/>
    <w:basedOn w:val="a"/>
    <w:next w:val="a"/>
    <w:pPr>
      <w:tabs>
        <w:tab w:val="clear" w:pos="794"/>
        <w:tab w:val="clear" w:pos="1191"/>
        <w:tab w:val="clear" w:pos="1588"/>
        <w:tab w:val="clear" w:pos="1985"/>
      </w:tabs>
      <w:spacing w:before="240"/>
      <w:jc w:val="center"/>
    </w:pPr>
    <w:rPr>
      <w:i/>
    </w:rPr>
  </w:style>
  <w:style w:type="paragraph" w:customStyle="1" w:styleId="SectionNo">
    <w:name w:val="Section_No"/>
    <w:basedOn w:val="a"/>
    <w:next w:val="Sectiontitle"/>
    <w:pPr>
      <w:keepNext/>
      <w:keepLines/>
      <w:spacing w:before="480" w:after="80"/>
      <w:jc w:val="center"/>
    </w:pPr>
    <w:rPr>
      <w:caps/>
      <w:sz w:val="28"/>
    </w:rPr>
  </w:style>
  <w:style w:type="paragraph" w:customStyle="1" w:styleId="Sectiontitle">
    <w:name w:val="Section_title"/>
    <w:basedOn w:val="a"/>
    <w:next w:val="Normalaftertitle"/>
    <w:pPr>
      <w:keepNext/>
      <w:keepLines/>
      <w:spacing w:before="480" w:after="280"/>
      <w:jc w:val="center"/>
    </w:pPr>
    <w:rPr>
      <w:b/>
      <w:sz w:val="28"/>
    </w:rPr>
  </w:style>
  <w:style w:type="paragraph" w:customStyle="1" w:styleId="Source">
    <w:name w:val="Source"/>
    <w:basedOn w:val="a"/>
    <w:next w:val="Normalaftertitle"/>
    <w:pPr>
      <w:spacing w:before="840" w:after="200"/>
      <w:jc w:val="center"/>
    </w:pPr>
    <w:rPr>
      <w:b/>
      <w:sz w:val="28"/>
    </w:rPr>
  </w:style>
  <w:style w:type="paragraph" w:customStyle="1" w:styleId="SpecialFooter">
    <w:name w:val="Special Footer"/>
    <w:basedOn w:val="a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Pr>
      <w:b/>
      <w:color w:val="auto"/>
    </w:rPr>
  </w:style>
  <w:style w:type="paragraph" w:customStyle="1" w:styleId="Tablehead">
    <w:name w:val="Table_head"/>
    <w:basedOn w:val="a"/>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a"/>
    <w:next w:val="Tablehead"/>
    <w:pPr>
      <w:keepNext/>
      <w:keepLines/>
      <w:spacing w:before="360" w:after="120"/>
      <w:jc w:val="center"/>
    </w:pPr>
    <w:rPr>
      <w:b/>
    </w:rPr>
  </w:style>
  <w:style w:type="paragraph" w:customStyle="1" w:styleId="TableNoBR">
    <w:name w:val="Table_No_BR"/>
    <w:basedOn w:val="a"/>
    <w:next w:val="TabletitleBR"/>
    <w:pPr>
      <w:keepNext/>
      <w:spacing w:before="560" w:after="120"/>
      <w:jc w:val="center"/>
    </w:pPr>
    <w:rPr>
      <w:caps/>
    </w:rPr>
  </w:style>
  <w:style w:type="paragraph" w:customStyle="1" w:styleId="Tableref">
    <w:name w:val="Table_ref"/>
    <w:basedOn w:val="a"/>
    <w:next w:val="TabletitleBR"/>
    <w:pPr>
      <w:keepNext/>
      <w:spacing w:before="0" w:after="120"/>
      <w:jc w:val="center"/>
    </w:pPr>
  </w:style>
  <w:style w:type="paragraph" w:customStyle="1" w:styleId="Tabletext">
    <w:name w:val="Table_text"/>
    <w:basedOn w:val="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a"/>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1"/>
    <w:rPr>
      <w:b/>
    </w:rPr>
  </w:style>
  <w:style w:type="paragraph" w:customStyle="1" w:styleId="toc0">
    <w:name w:val="toc 0"/>
    <w:basedOn w:val="a"/>
    <w:next w:val="11"/>
    <w:pPr>
      <w:tabs>
        <w:tab w:val="clear" w:pos="794"/>
        <w:tab w:val="clear" w:pos="1191"/>
        <w:tab w:val="clear" w:pos="1588"/>
        <w:tab w:val="clear" w:pos="1985"/>
        <w:tab w:val="right" w:pos="9639"/>
      </w:tabs>
    </w:pPr>
    <w:rPr>
      <w:b/>
    </w:rPr>
  </w:style>
  <w:style w:type="paragraph" w:styleId="11">
    <w:name w:val="toc 1"/>
    <w:basedOn w:val="a"/>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21">
    <w:name w:val="toc 2"/>
    <w:basedOn w:val="11"/>
    <w:semiHidden/>
    <w:pPr>
      <w:spacing w:before="80"/>
      <w:ind w:left="1531" w:hanging="851"/>
    </w:pPr>
  </w:style>
  <w:style w:type="paragraph" w:styleId="31">
    <w:name w:val="toc 3"/>
    <w:basedOn w:val="21"/>
    <w:semiHidden/>
  </w:style>
  <w:style w:type="paragraph" w:styleId="40">
    <w:name w:val="toc 4"/>
    <w:basedOn w:val="31"/>
    <w:semiHidden/>
  </w:style>
  <w:style w:type="paragraph" w:styleId="50">
    <w:name w:val="toc 5"/>
    <w:basedOn w:val="40"/>
    <w:semiHidden/>
  </w:style>
  <w:style w:type="paragraph" w:styleId="60">
    <w:name w:val="toc 6"/>
    <w:basedOn w:val="40"/>
    <w:semiHidden/>
  </w:style>
  <w:style w:type="paragraph" w:styleId="70">
    <w:name w:val="toc 7"/>
    <w:basedOn w:val="40"/>
    <w:semiHidden/>
  </w:style>
  <w:style w:type="paragraph" w:styleId="80">
    <w:name w:val="toc 8"/>
    <w:basedOn w:val="40"/>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a"/>
    <w:next w:val="FiguretitleBR"/>
    <w:pPr>
      <w:keepNext/>
      <w:keepLines/>
      <w:spacing w:before="480" w:after="120"/>
      <w:jc w:val="center"/>
    </w:pPr>
    <w:rPr>
      <w:caps/>
    </w:rPr>
  </w:style>
  <w:style w:type="paragraph" w:styleId="22">
    <w:name w:val="Body Text Indent 2"/>
    <w:basedOn w:val="a"/>
    <w:semiHidden/>
    <w:pPr>
      <w:tabs>
        <w:tab w:val="clear" w:pos="794"/>
        <w:tab w:val="clear" w:pos="1191"/>
        <w:tab w:val="clear" w:pos="1588"/>
        <w:tab w:val="clear" w:pos="1985"/>
      </w:tabs>
      <w:overflowPunct/>
      <w:autoSpaceDE/>
      <w:autoSpaceDN/>
      <w:adjustRightInd/>
      <w:spacing w:before="0"/>
      <w:ind w:left="720" w:hanging="720"/>
      <w:jc w:val="both"/>
      <w:textAlignment w:val="auto"/>
    </w:pPr>
    <w:rPr>
      <w:rFonts w:ascii="Bookman Old Style" w:hAnsi="Bookman Old Style"/>
      <w:szCs w:val="24"/>
      <w:lang w:val="en-US"/>
    </w:rPr>
  </w:style>
  <w:style w:type="paragraph" w:styleId="32">
    <w:name w:val="Body Text Indent 3"/>
    <w:basedOn w:val="a"/>
    <w:semiHidden/>
    <w:pPr>
      <w:tabs>
        <w:tab w:val="clear" w:pos="794"/>
        <w:tab w:val="clear" w:pos="1191"/>
        <w:tab w:val="clear" w:pos="1588"/>
        <w:tab w:val="clear" w:pos="1985"/>
      </w:tabs>
      <w:overflowPunct/>
      <w:autoSpaceDE/>
      <w:autoSpaceDN/>
      <w:adjustRightInd/>
      <w:spacing w:before="0"/>
      <w:ind w:left="720"/>
      <w:jc w:val="both"/>
      <w:textAlignment w:val="auto"/>
    </w:pPr>
    <w:rPr>
      <w:rFonts w:ascii="Bookman Old Style" w:hAnsi="Bookman Old Style"/>
      <w:szCs w:val="24"/>
      <w:lang w:val="en-US"/>
    </w:rPr>
  </w:style>
  <w:style w:type="paragraph" w:styleId="a9">
    <w:name w:val="Body Text"/>
    <w:basedOn w:val="a"/>
    <w:link w:val="Char0"/>
    <w:pPr>
      <w:tabs>
        <w:tab w:val="clear" w:pos="794"/>
        <w:tab w:val="clear" w:pos="1191"/>
        <w:tab w:val="clear" w:pos="1588"/>
        <w:tab w:val="clear" w:pos="1985"/>
      </w:tabs>
      <w:overflowPunct/>
      <w:autoSpaceDE/>
      <w:autoSpaceDN/>
      <w:adjustRightInd/>
      <w:spacing w:before="0"/>
      <w:jc w:val="both"/>
      <w:textAlignment w:val="auto"/>
    </w:pPr>
    <w:rPr>
      <w:rFonts w:ascii="Bookman Old Style" w:hAnsi="Bookman Old Style"/>
      <w:sz w:val="28"/>
      <w:szCs w:val="24"/>
      <w:lang w:val="en-US"/>
    </w:rPr>
  </w:style>
  <w:style w:type="paragraph" w:styleId="aa">
    <w:name w:val="Body Text Indent"/>
    <w:basedOn w:val="a"/>
    <w:semiHidden/>
    <w:pPr>
      <w:ind w:left="1191" w:hanging="1191"/>
    </w:pPr>
    <w:rPr>
      <w:bCs/>
    </w:rPr>
  </w:style>
  <w:style w:type="paragraph" w:styleId="23">
    <w:name w:val="Body Text 2"/>
    <w:basedOn w:val="a"/>
    <w:semiHidden/>
    <w:rPr>
      <w:bCs/>
    </w:rPr>
  </w:style>
  <w:style w:type="character" w:customStyle="1" w:styleId="Char">
    <w:name w:val="页眉 Char"/>
    <w:basedOn w:val="a0"/>
    <w:link w:val="a7"/>
    <w:rsid w:val="00C1454A"/>
    <w:rPr>
      <w:rFonts w:ascii="Times New Roman" w:hAnsi="Times New Roman"/>
      <w:sz w:val="18"/>
      <w:lang w:val="en-GB"/>
    </w:rPr>
  </w:style>
  <w:style w:type="character" w:styleId="ab">
    <w:name w:val="Intense Reference"/>
    <w:basedOn w:val="a0"/>
    <w:uiPriority w:val="32"/>
    <w:qFormat/>
    <w:rsid w:val="00C1454A"/>
    <w:rPr>
      <w:b/>
      <w:bCs/>
      <w:smallCaps/>
      <w:color w:val="5B9BD5" w:themeColor="accent1"/>
      <w:spacing w:val="5"/>
    </w:rPr>
  </w:style>
  <w:style w:type="paragraph" w:styleId="ac">
    <w:name w:val="List Paragraph"/>
    <w:basedOn w:val="a"/>
    <w:uiPriority w:val="34"/>
    <w:qFormat/>
    <w:rsid w:val="00C1454A"/>
    <w:pPr>
      <w:ind w:left="720"/>
      <w:contextualSpacing/>
    </w:pPr>
  </w:style>
  <w:style w:type="table" w:styleId="5-5">
    <w:name w:val="Grid Table 5 Dark Accent 5"/>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1"/>
    <w:uiPriority w:val="50"/>
    <w:rsid w:val="00A723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正文文本 Char"/>
    <w:basedOn w:val="a0"/>
    <w:link w:val="a9"/>
    <w:rsid w:val="00A723DE"/>
    <w:rPr>
      <w:rFonts w:ascii="Bookman Old Style" w:hAnsi="Bookman Old Styl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BDTrg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380BFB-5AC7-4B9F-8B7E-3807EF243894}"/>
</file>

<file path=customXml/itemProps2.xml><?xml version="1.0" encoding="utf-8"?>
<ds:datastoreItem xmlns:ds="http://schemas.openxmlformats.org/officeDocument/2006/customXml" ds:itemID="{A749EA6F-A5AC-4556-BBA6-42356BF5C126}"/>
</file>

<file path=customXml/itemProps3.xml><?xml version="1.0" encoding="utf-8"?>
<ds:datastoreItem xmlns:ds="http://schemas.openxmlformats.org/officeDocument/2006/customXml" ds:itemID="{504C62B5-03FA-4FB4-968E-F0CE422ED4D8}"/>
</file>

<file path=docProps/app.xml><?xml version="1.0" encoding="utf-8"?>
<Properties xmlns="http://schemas.openxmlformats.org/officeDocument/2006/extended-properties" xmlns:vt="http://schemas.openxmlformats.org/officeDocument/2006/docPropsVTypes">
  <Template>PE_BDTrgq</Template>
  <TotalTime>37</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3348</CharactersWithSpaces>
  <SharedDoc>false</SharedDoc>
  <HLinks>
    <vt:vector size="6" baseType="variant">
      <vt:variant>
        <vt:i4>6750229</vt:i4>
      </vt:variant>
      <vt:variant>
        <vt:i4>1066</vt:i4>
      </vt:variant>
      <vt:variant>
        <vt:i4>1025</vt:i4>
      </vt:variant>
      <vt:variant>
        <vt:i4>1</vt:i4>
      </vt:variant>
      <vt:variant>
        <vt:lpwstr>R:\APP\WW6\ITULOGO.WMF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ITU-AMR</dc:creator>
  <cp:keywords>RGQ</cp:keywords>
  <dc:description>Document RGQ18/1/018-E  For: _x000d_Document date: 27 January 2004_x000d_Saved by ES--2479 at 17:37:05 on 27.02.2004</dc:description>
  <cp:lastModifiedBy>user</cp:lastModifiedBy>
  <cp:revision>10</cp:revision>
  <cp:lastPrinted>2004-02-27T10:37:00Z</cp:lastPrinted>
  <dcterms:created xsi:type="dcterms:W3CDTF">2017-08-22T05:23:00Z</dcterms:created>
  <dcterms:modified xsi:type="dcterms:W3CDTF">2017-09-12T03:05:00Z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RGQ18/1/018-E</vt:lpwstr>
  </property>
  <property fmtid="{D5CDD505-2E9C-101B-9397-08002B2CF9AE}" pid="3" name="Docdate">
    <vt:lpwstr>27 January 2004</vt:lpwstr>
  </property>
  <property fmtid="{D5CDD505-2E9C-101B-9397-08002B2CF9AE}" pid="4" name="Docorlang">
    <vt:lpwstr>Original: English only</vt:lpwstr>
  </property>
  <property fmtid="{D5CDD505-2E9C-101B-9397-08002B2CF9AE}" pid="5" name="Docdest">
    <vt:lpwstr/>
  </property>
  <property fmtid="{D5CDD505-2E9C-101B-9397-08002B2CF9AE}" pid="6" name="Docauthor">
    <vt:lpwstr/>
  </property>
  <property fmtid="{D5CDD505-2E9C-101B-9397-08002B2CF9AE}" pid="7" name="ContentTypeId">
    <vt:lpwstr>0x010100202BB634496EAB498A685EA26DE87D9A</vt:lpwstr>
  </property>
</Properties>
</file>