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2"/>
        <w:tblW w:w="10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4A0" w:firstRow="1" w:lastRow="0" w:firstColumn="1" w:lastColumn="0" w:noHBand="0" w:noVBand="1"/>
      </w:tblPr>
      <w:tblGrid>
        <w:gridCol w:w="10130"/>
      </w:tblGrid>
      <w:tr w:rsidR="00E75584" w:rsidRPr="00822153" w:rsidTr="00704F0B">
        <w:tc>
          <w:tcPr>
            <w:tcW w:w="10130" w:type="dxa"/>
            <w:tcBorders>
              <w:top w:val="nil"/>
              <w:left w:val="nil"/>
              <w:bottom w:val="nil"/>
              <w:right w:val="nil"/>
            </w:tcBorders>
            <w:shd w:val="clear" w:color="auto" w:fill="FFFFFF"/>
            <w:tcMar>
              <w:top w:w="50" w:type="dxa"/>
              <w:left w:w="50" w:type="dxa"/>
              <w:bottom w:w="50" w:type="dxa"/>
              <w:right w:w="50" w:type="dxa"/>
            </w:tcMar>
            <w:vAlign w:val="center"/>
          </w:tcPr>
          <w:p w:rsidR="00704F0B" w:rsidRDefault="00704F0B" w:rsidP="00704F0B"/>
          <w:tbl>
            <w:tblPr>
              <w:tblpPr w:leftFromText="180" w:rightFromText="180" w:vertAnchor="text" w:horzAnchor="margin" w:tblpXSpec="center" w:tblpY="285"/>
              <w:tblW w:w="10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4A0" w:firstRow="1" w:lastRow="0" w:firstColumn="1" w:lastColumn="0" w:noHBand="0" w:noVBand="1"/>
            </w:tblPr>
            <w:tblGrid>
              <w:gridCol w:w="10130"/>
            </w:tblGrid>
            <w:tr w:rsidR="00704F0B" w:rsidRPr="00822153" w:rsidTr="00B77B38">
              <w:tc>
                <w:tcPr>
                  <w:tcW w:w="10130" w:type="dxa"/>
                  <w:tcBorders>
                    <w:top w:val="nil"/>
                    <w:left w:val="nil"/>
                    <w:bottom w:val="nil"/>
                    <w:right w:val="nil"/>
                  </w:tcBorders>
                  <w:shd w:val="clear" w:color="auto" w:fill="FFFFFF"/>
                  <w:tcMar>
                    <w:top w:w="50" w:type="dxa"/>
                    <w:left w:w="50" w:type="dxa"/>
                    <w:bottom w:w="50" w:type="dxa"/>
                    <w:right w:w="50" w:type="dxa"/>
                  </w:tcMar>
                  <w:vAlign w:val="center"/>
                </w:tcPr>
                <w:p w:rsidR="00704F0B" w:rsidRPr="00704F0B" w:rsidRDefault="00704F0B" w:rsidP="00704F0B">
                  <w:pPr>
                    <w:pStyle w:val="ListParagraph"/>
                    <w:numPr>
                      <w:ilvl w:val="0"/>
                      <w:numId w:val="14"/>
                    </w:numPr>
                    <w:rPr>
                      <w:rFonts w:asciiTheme="majorHAnsi" w:hAnsiTheme="majorHAnsi" w:cs="Arial"/>
                      <w:b/>
                      <w:lang w:val="en"/>
                    </w:rPr>
                  </w:pPr>
                  <w:r w:rsidRPr="00704F0B">
                    <w:rPr>
                      <w:rFonts w:asciiTheme="majorHAnsi" w:hAnsiTheme="majorHAnsi" w:cs="Arial"/>
                      <w:b/>
                      <w:lang w:val="en"/>
                    </w:rPr>
                    <w:t>Welcome</w:t>
                  </w:r>
                </w:p>
                <w:p w:rsidR="00704F0B" w:rsidRDefault="00704F0B" w:rsidP="00704F0B">
                  <w:pPr>
                    <w:rPr>
                      <w:rFonts w:asciiTheme="majorHAnsi" w:hAnsiTheme="majorHAnsi"/>
                      <w:sz w:val="24"/>
                      <w:szCs w:val="24"/>
                    </w:rPr>
                  </w:pPr>
                </w:p>
                <w:p w:rsidR="00704F0B" w:rsidRDefault="00704F0B" w:rsidP="00704F0B">
                  <w:pPr>
                    <w:rPr>
                      <w:rFonts w:asciiTheme="majorHAnsi" w:hAnsiTheme="majorHAnsi"/>
                      <w:sz w:val="24"/>
                      <w:szCs w:val="24"/>
                    </w:rPr>
                  </w:pPr>
                  <w:r w:rsidRPr="00822153">
                    <w:rPr>
                      <w:rFonts w:asciiTheme="majorHAnsi" w:hAnsiTheme="majorHAnsi"/>
                      <w:sz w:val="24"/>
                      <w:szCs w:val="24"/>
                    </w:rPr>
                    <w:t xml:space="preserve">Bula! </w:t>
                  </w:r>
                </w:p>
                <w:p w:rsidR="00704F0B" w:rsidRDefault="00704F0B" w:rsidP="00704F0B">
                  <w:pPr>
                    <w:rPr>
                      <w:rFonts w:asciiTheme="majorHAnsi" w:hAnsiTheme="majorHAnsi"/>
                      <w:sz w:val="24"/>
                      <w:szCs w:val="24"/>
                    </w:rPr>
                  </w:pPr>
                  <w:r w:rsidRPr="00822153">
                    <w:rPr>
                      <w:rFonts w:asciiTheme="majorHAnsi" w:hAnsiTheme="majorHAnsi"/>
                      <w:sz w:val="24"/>
                      <w:szCs w:val="24"/>
                    </w:rPr>
                    <w:t>Welc</w:t>
                  </w:r>
                  <w:r>
                    <w:rPr>
                      <w:rFonts w:asciiTheme="majorHAnsi" w:hAnsiTheme="majorHAnsi"/>
                      <w:sz w:val="24"/>
                      <w:szCs w:val="24"/>
                    </w:rPr>
                    <w:t>ome to Nadi and we hope you find your stay in Fiji both enjoyable and productive.</w:t>
                  </w:r>
                </w:p>
                <w:p w:rsidR="00704F0B" w:rsidRDefault="00704F0B" w:rsidP="00704F0B">
                  <w:pPr>
                    <w:rPr>
                      <w:rFonts w:asciiTheme="majorHAnsi" w:hAnsiTheme="majorHAnsi"/>
                      <w:sz w:val="24"/>
                      <w:szCs w:val="24"/>
                    </w:rPr>
                  </w:pPr>
                  <w:r>
                    <w:rPr>
                      <w:rFonts w:asciiTheme="majorHAnsi" w:hAnsiTheme="majorHAnsi"/>
                      <w:sz w:val="24"/>
                      <w:szCs w:val="24"/>
                    </w:rPr>
                    <w:t xml:space="preserve">This workshop promises to be productive, beneficial to the countries and a pleasant working experience. The International Telecommunications Union (ITU) and the Asia Pacific </w:t>
                  </w:r>
                  <w:proofErr w:type="spellStart"/>
                  <w:r>
                    <w:rPr>
                      <w:rFonts w:asciiTheme="majorHAnsi" w:hAnsiTheme="majorHAnsi"/>
                      <w:sz w:val="24"/>
                      <w:szCs w:val="24"/>
                    </w:rPr>
                    <w:t>Telecommunity</w:t>
                  </w:r>
                  <w:proofErr w:type="spellEnd"/>
                  <w:r>
                    <w:rPr>
                      <w:rFonts w:asciiTheme="majorHAnsi" w:hAnsiTheme="majorHAnsi"/>
                      <w:sz w:val="24"/>
                      <w:szCs w:val="24"/>
                    </w:rPr>
                    <w:t xml:space="preserve"> (APT) have provided top experts in the field and the participants themselves are the countries specialists. This provides a mix that would allow you to have a great networking experience. Take the opportunity to find out from your colleagues and the experts possible solutions to your problems and to build the support network to serve you in the future.</w:t>
                  </w:r>
                </w:p>
                <w:p w:rsidR="00704F0B" w:rsidRDefault="00704F0B" w:rsidP="00704F0B">
                  <w:pPr>
                    <w:rPr>
                      <w:rFonts w:asciiTheme="majorHAnsi" w:hAnsiTheme="majorHAnsi"/>
                      <w:sz w:val="24"/>
                      <w:szCs w:val="24"/>
                    </w:rPr>
                  </w:pPr>
                  <w:r w:rsidRPr="00370507">
                    <w:rPr>
                      <w:rFonts w:asciiTheme="majorHAnsi" w:hAnsiTheme="majorHAnsi"/>
                      <w:sz w:val="24"/>
                      <w:szCs w:val="24"/>
                    </w:rPr>
                    <w:t>PiRRC is proud t</w:t>
                  </w:r>
                  <w:r>
                    <w:rPr>
                      <w:rFonts w:asciiTheme="majorHAnsi" w:hAnsiTheme="majorHAnsi"/>
                      <w:sz w:val="24"/>
                      <w:szCs w:val="24"/>
                    </w:rPr>
                    <w:t xml:space="preserve">o be associated with ITU, Ministry of Science and ICT of the Republic of Korea, Ministry of Communications of Fiji </w:t>
                  </w:r>
                  <w:r w:rsidRPr="00370507">
                    <w:rPr>
                      <w:rFonts w:asciiTheme="majorHAnsi" w:hAnsiTheme="majorHAnsi"/>
                      <w:sz w:val="24"/>
                      <w:szCs w:val="24"/>
                    </w:rPr>
                    <w:t xml:space="preserve">and </w:t>
                  </w:r>
                  <w:r>
                    <w:rPr>
                      <w:rFonts w:asciiTheme="majorHAnsi" w:hAnsiTheme="majorHAnsi"/>
                      <w:sz w:val="24"/>
                      <w:szCs w:val="24"/>
                    </w:rPr>
                    <w:t xml:space="preserve">the </w:t>
                  </w:r>
                  <w:r w:rsidRPr="00370507">
                    <w:rPr>
                      <w:rFonts w:asciiTheme="majorHAnsi" w:hAnsiTheme="majorHAnsi"/>
                      <w:sz w:val="24"/>
                      <w:szCs w:val="24"/>
                    </w:rPr>
                    <w:t>APT in the</w:t>
                  </w:r>
                  <w:r>
                    <w:rPr>
                      <w:rFonts w:asciiTheme="majorHAnsi" w:hAnsiTheme="majorHAnsi"/>
                      <w:sz w:val="24"/>
                      <w:szCs w:val="24"/>
                    </w:rPr>
                    <w:t xml:space="preserve"> presentation of this event; </w:t>
                  </w:r>
                  <w:r w:rsidRPr="00370507">
                    <w:rPr>
                      <w:rFonts w:asciiTheme="majorHAnsi" w:hAnsiTheme="majorHAnsi"/>
                      <w:sz w:val="24"/>
                      <w:szCs w:val="24"/>
                    </w:rPr>
                    <w:t xml:space="preserve">through our joint action we </w:t>
                  </w:r>
                  <w:r>
                    <w:rPr>
                      <w:rFonts w:asciiTheme="majorHAnsi" w:hAnsiTheme="majorHAnsi"/>
                      <w:sz w:val="24"/>
                      <w:szCs w:val="24"/>
                    </w:rPr>
                    <w:t xml:space="preserve">are </w:t>
                  </w:r>
                  <w:r w:rsidRPr="00370507">
                    <w:rPr>
                      <w:rFonts w:asciiTheme="majorHAnsi" w:hAnsiTheme="majorHAnsi"/>
                      <w:sz w:val="24"/>
                      <w:szCs w:val="24"/>
                    </w:rPr>
                    <w:t>able</w:t>
                  </w:r>
                  <w:r>
                    <w:rPr>
                      <w:rFonts w:asciiTheme="majorHAnsi" w:hAnsiTheme="majorHAnsi"/>
                      <w:sz w:val="24"/>
                      <w:szCs w:val="24"/>
                    </w:rPr>
                    <w:t>, not only</w:t>
                  </w:r>
                  <w:r w:rsidRPr="00370507">
                    <w:rPr>
                      <w:rFonts w:asciiTheme="majorHAnsi" w:hAnsiTheme="majorHAnsi"/>
                      <w:sz w:val="24"/>
                      <w:szCs w:val="24"/>
                    </w:rPr>
                    <w:t xml:space="preserve"> to assemble the impressive team of experts but also to ensure that most of our </w:t>
                  </w:r>
                  <w:r>
                    <w:rPr>
                      <w:rFonts w:asciiTheme="majorHAnsi" w:hAnsiTheme="majorHAnsi"/>
                      <w:sz w:val="24"/>
                      <w:szCs w:val="24"/>
                    </w:rPr>
                    <w:t xml:space="preserve">participating </w:t>
                  </w:r>
                  <w:r w:rsidRPr="00370507">
                    <w:rPr>
                      <w:rFonts w:asciiTheme="majorHAnsi" w:hAnsiTheme="majorHAnsi"/>
                      <w:sz w:val="24"/>
                      <w:szCs w:val="24"/>
                    </w:rPr>
                    <w:t>countries are represented.</w:t>
                  </w:r>
                </w:p>
                <w:p w:rsidR="00704F0B" w:rsidRPr="00822153" w:rsidRDefault="00704F0B" w:rsidP="00704F0B">
                  <w:pPr>
                    <w:pStyle w:val="ListParagraph"/>
                    <w:numPr>
                      <w:ilvl w:val="0"/>
                      <w:numId w:val="2"/>
                    </w:numPr>
                    <w:rPr>
                      <w:rFonts w:asciiTheme="majorHAnsi" w:hAnsiTheme="majorHAnsi" w:cs="Arial"/>
                      <w:b/>
                      <w:lang w:val="en"/>
                    </w:rPr>
                  </w:pPr>
                  <w:r w:rsidRPr="00822153">
                    <w:rPr>
                      <w:rFonts w:asciiTheme="majorHAnsi" w:hAnsiTheme="majorHAnsi"/>
                      <w:b/>
                      <w:bCs/>
                    </w:rPr>
                    <w:t>Introduction</w:t>
                  </w:r>
                </w:p>
                <w:p w:rsidR="00704F0B" w:rsidRPr="00370507" w:rsidRDefault="00704F0B" w:rsidP="00704F0B">
                  <w:pPr>
                    <w:pStyle w:val="NoSpacing"/>
                    <w:rPr>
                      <w:rFonts w:asciiTheme="majorHAnsi" w:hAnsiTheme="majorHAnsi"/>
                      <w:sz w:val="24"/>
                      <w:szCs w:val="24"/>
                    </w:rPr>
                  </w:pPr>
                  <w:r w:rsidRPr="00370507">
                    <w:rPr>
                      <w:rFonts w:asciiTheme="majorHAnsi" w:hAnsiTheme="majorHAnsi"/>
                      <w:sz w:val="24"/>
                      <w:szCs w:val="24"/>
                    </w:rPr>
                    <w:t xml:space="preserve">The Ministers of the Pacific responsible for Information &amp; Communication Technology, in a meeting held on 18 June 2010 in Nuku’alofa, Tonga, endorsed the establishment of the Pacific ICT Regulatory Resource Centre (PiRRC), to be located at the University of the South Pacific (USP). After a successful two-year pilot project co-funded with ADB, the World Bank in support of this request from the Ministers approved the funding of a Pacific ICT Regional Regulatory Development Project through a </w:t>
                  </w:r>
                  <w:r>
                    <w:rPr>
                      <w:rFonts w:asciiTheme="majorHAnsi" w:hAnsiTheme="majorHAnsi"/>
                      <w:sz w:val="24"/>
                      <w:szCs w:val="24"/>
                    </w:rPr>
                    <w:t xml:space="preserve">grant established under a </w:t>
                  </w:r>
                  <w:r w:rsidRPr="00370507">
                    <w:rPr>
                      <w:rFonts w:asciiTheme="majorHAnsi" w:hAnsiTheme="majorHAnsi"/>
                      <w:sz w:val="24"/>
                      <w:szCs w:val="24"/>
                    </w:rPr>
                    <w:t>Financing Agreement between the International Development Association (IDA) and the University of the South Pacific (USP).</w:t>
                  </w:r>
                </w:p>
                <w:p w:rsidR="00704F0B" w:rsidRDefault="00704F0B" w:rsidP="00704F0B">
                  <w:pPr>
                    <w:pStyle w:val="NoSpacing"/>
                    <w:rPr>
                      <w:rFonts w:asciiTheme="majorHAnsi" w:hAnsiTheme="majorHAnsi"/>
                      <w:sz w:val="24"/>
                      <w:szCs w:val="24"/>
                    </w:rPr>
                  </w:pPr>
                  <w:r w:rsidRPr="00370507">
                    <w:rPr>
                      <w:rFonts w:asciiTheme="majorHAnsi" w:hAnsiTheme="majorHAnsi"/>
                      <w:sz w:val="24"/>
                      <w:szCs w:val="24"/>
                    </w:rPr>
                    <w:t xml:space="preserve">The development objective of the Project is to strengthen the capacity of ICT regulatory institutions in the Participating Countries (Federated States of Micronesia, Kiribati, Marshall Islands, Papua New Guinea, Samoa, Solomon Islands, Tonga, Tuvalu and Vanuatu), and enhance regional collaboration and knowledge sharing on ICT regulatory issues. </w:t>
                  </w:r>
                </w:p>
                <w:p w:rsidR="00704F0B" w:rsidRDefault="00704F0B" w:rsidP="00704F0B">
                  <w:pPr>
                    <w:pStyle w:val="NoSpacing"/>
                    <w:rPr>
                      <w:rFonts w:asciiTheme="majorHAnsi" w:hAnsiTheme="majorHAnsi"/>
                      <w:sz w:val="24"/>
                      <w:szCs w:val="24"/>
                    </w:rPr>
                  </w:pPr>
                  <w:r w:rsidRPr="006755EF">
                    <w:rPr>
                      <w:rFonts w:asciiTheme="majorHAnsi" w:hAnsiTheme="majorHAnsi"/>
                      <w:sz w:val="24"/>
                      <w:szCs w:val="24"/>
                    </w:rPr>
                    <w:t>The primary beneficiaries of the Project are the nine Pacific island regulatory institutions that are</w:t>
                  </w:r>
                  <w:r>
                    <w:rPr>
                      <w:rFonts w:asciiTheme="majorHAnsi" w:hAnsiTheme="majorHAnsi"/>
                      <w:sz w:val="24"/>
                      <w:szCs w:val="24"/>
                    </w:rPr>
                    <w:t xml:space="preserve"> referred to in the Financing Agreement as</w:t>
                  </w:r>
                  <w:r w:rsidRPr="006755EF">
                    <w:rPr>
                      <w:rFonts w:asciiTheme="majorHAnsi" w:hAnsiTheme="majorHAnsi"/>
                      <w:sz w:val="24"/>
                      <w:szCs w:val="24"/>
                    </w:rPr>
                    <w:t xml:space="preserve"> Participating Counties. Indirect </w:t>
                  </w:r>
                  <w:proofErr w:type="gramStart"/>
                  <w:r w:rsidRPr="006755EF">
                    <w:rPr>
                      <w:rFonts w:asciiTheme="majorHAnsi" w:hAnsiTheme="majorHAnsi"/>
                      <w:sz w:val="24"/>
                      <w:szCs w:val="24"/>
                    </w:rPr>
                    <w:t>beneficiaries  include</w:t>
                  </w:r>
                  <w:proofErr w:type="gramEnd"/>
                  <w:r w:rsidRPr="006755EF">
                    <w:rPr>
                      <w:rFonts w:asciiTheme="majorHAnsi" w:hAnsiTheme="majorHAnsi"/>
                      <w:sz w:val="24"/>
                      <w:szCs w:val="24"/>
                    </w:rPr>
                    <w:t xml:space="preserve"> other Pacific Island governments that will have access to most Project outputs, consumers, businesses (including telecommunications operators), government agencies, researchers/academia and communities</w:t>
                  </w:r>
                  <w:r>
                    <w:rPr>
                      <w:rFonts w:asciiTheme="majorHAnsi" w:hAnsiTheme="majorHAnsi"/>
                      <w:sz w:val="24"/>
                      <w:szCs w:val="24"/>
                    </w:rPr>
                    <w:t xml:space="preserve">. All </w:t>
                  </w:r>
                  <w:proofErr w:type="gramStart"/>
                  <w:r>
                    <w:rPr>
                      <w:rFonts w:asciiTheme="majorHAnsi" w:hAnsiTheme="majorHAnsi"/>
                      <w:sz w:val="24"/>
                      <w:szCs w:val="24"/>
                    </w:rPr>
                    <w:t xml:space="preserve">should </w:t>
                  </w:r>
                  <w:r w:rsidRPr="006755EF">
                    <w:rPr>
                      <w:rFonts w:asciiTheme="majorHAnsi" w:hAnsiTheme="majorHAnsi"/>
                      <w:sz w:val="24"/>
                      <w:szCs w:val="24"/>
                    </w:rPr>
                    <w:t xml:space="preserve"> </w:t>
                  </w:r>
                  <w:r>
                    <w:rPr>
                      <w:rFonts w:asciiTheme="majorHAnsi" w:hAnsiTheme="majorHAnsi"/>
                      <w:sz w:val="24"/>
                      <w:szCs w:val="24"/>
                    </w:rPr>
                    <w:t>eventually</w:t>
                  </w:r>
                  <w:proofErr w:type="gramEnd"/>
                  <w:r>
                    <w:rPr>
                      <w:rFonts w:asciiTheme="majorHAnsi" w:hAnsiTheme="majorHAnsi"/>
                      <w:sz w:val="24"/>
                      <w:szCs w:val="24"/>
                    </w:rPr>
                    <w:t xml:space="preserve"> </w:t>
                  </w:r>
                  <w:r w:rsidRPr="006755EF">
                    <w:rPr>
                      <w:rFonts w:asciiTheme="majorHAnsi" w:hAnsiTheme="majorHAnsi"/>
                      <w:sz w:val="24"/>
                      <w:szCs w:val="24"/>
                    </w:rPr>
                    <w:t>receiv</w:t>
                  </w:r>
                  <w:r>
                    <w:rPr>
                      <w:rFonts w:asciiTheme="majorHAnsi" w:hAnsiTheme="majorHAnsi"/>
                      <w:sz w:val="24"/>
                      <w:szCs w:val="24"/>
                    </w:rPr>
                    <w:t xml:space="preserve">e </w:t>
                  </w:r>
                  <w:r w:rsidRPr="006755EF">
                    <w:rPr>
                      <w:rFonts w:asciiTheme="majorHAnsi" w:hAnsiTheme="majorHAnsi"/>
                      <w:sz w:val="24"/>
                      <w:szCs w:val="24"/>
                    </w:rPr>
                    <w:t xml:space="preserve"> improved ICT services as a result of enhanced regulatory outcomes</w:t>
                  </w:r>
                  <w:r>
                    <w:rPr>
                      <w:rFonts w:asciiTheme="majorHAnsi" w:hAnsiTheme="majorHAnsi"/>
                      <w:sz w:val="24"/>
                      <w:szCs w:val="24"/>
                    </w:rPr>
                    <w:t xml:space="preserve"> derived from the Project</w:t>
                  </w:r>
                  <w:r w:rsidRPr="006755EF">
                    <w:rPr>
                      <w:rFonts w:asciiTheme="majorHAnsi" w:hAnsiTheme="majorHAnsi"/>
                      <w:sz w:val="24"/>
                      <w:szCs w:val="24"/>
                    </w:rPr>
                    <w:t>.</w:t>
                  </w:r>
                </w:p>
                <w:p w:rsidR="00704F0B" w:rsidRDefault="00704F0B" w:rsidP="00704F0B">
                  <w:pPr>
                    <w:pStyle w:val="NoSpacing"/>
                    <w:rPr>
                      <w:rFonts w:asciiTheme="majorHAnsi" w:hAnsiTheme="majorHAnsi"/>
                      <w:sz w:val="24"/>
                      <w:szCs w:val="24"/>
                    </w:rPr>
                  </w:pPr>
                </w:p>
                <w:p w:rsidR="00704F0B" w:rsidRDefault="00704F0B" w:rsidP="00704F0B">
                  <w:pPr>
                    <w:pStyle w:val="NoSpacing"/>
                    <w:rPr>
                      <w:rFonts w:asciiTheme="majorHAnsi" w:hAnsiTheme="majorHAnsi"/>
                      <w:sz w:val="24"/>
                      <w:szCs w:val="24"/>
                    </w:rPr>
                  </w:pPr>
                  <w:r>
                    <w:rPr>
                      <w:rFonts w:asciiTheme="majorHAnsi" w:hAnsiTheme="majorHAnsi"/>
                      <w:sz w:val="24"/>
                      <w:szCs w:val="24"/>
                    </w:rPr>
                    <w:t>PiRRC has a developed a work program that includes data collection, spectrum management, disaster management &amp; mitigation, Internet governance, open access, regulation of OTTs, quality of service standards for broadband and digital readiness. In spectrum management the approach is first to determine the countries’ needs, the problems they face and then provide possible solutions. In the belief that no one size fits all, the various options/solutions presented will always take into account the various stages of development in each of the Project’s Participating Countries.</w:t>
                  </w:r>
                </w:p>
                <w:p w:rsidR="00704F0B" w:rsidRPr="00822153" w:rsidRDefault="00704F0B" w:rsidP="00704F0B">
                  <w:pPr>
                    <w:pStyle w:val="NoSpacing"/>
                    <w:rPr>
                      <w:rFonts w:asciiTheme="majorHAnsi" w:hAnsiTheme="majorHAnsi"/>
                      <w:sz w:val="24"/>
                      <w:szCs w:val="24"/>
                    </w:rPr>
                  </w:pPr>
                  <w:r>
                    <w:rPr>
                      <w:rFonts w:asciiTheme="majorHAnsi" w:hAnsiTheme="majorHAnsi"/>
                      <w:sz w:val="24"/>
                      <w:szCs w:val="24"/>
                    </w:rPr>
                    <w:t xml:space="preserve">In spectrum management </w:t>
                  </w:r>
                  <w:r w:rsidRPr="00822153">
                    <w:rPr>
                      <w:rFonts w:asciiTheme="majorHAnsi" w:hAnsiTheme="majorHAnsi"/>
                      <w:sz w:val="24"/>
                      <w:szCs w:val="24"/>
                    </w:rPr>
                    <w:t>PiRRC involvement is guided by the countries</w:t>
                  </w:r>
                  <w:r>
                    <w:rPr>
                      <w:rFonts w:asciiTheme="majorHAnsi" w:hAnsiTheme="majorHAnsi"/>
                      <w:sz w:val="24"/>
                      <w:szCs w:val="24"/>
                    </w:rPr>
                    <w:t>’</w:t>
                  </w:r>
                  <w:r w:rsidRPr="00822153">
                    <w:rPr>
                      <w:rFonts w:asciiTheme="majorHAnsi" w:hAnsiTheme="majorHAnsi"/>
                      <w:sz w:val="24"/>
                      <w:szCs w:val="24"/>
                    </w:rPr>
                    <w:t xml:space="preserve"> need for effective intervention to improve sp</w:t>
                  </w:r>
                  <w:r>
                    <w:rPr>
                      <w:rFonts w:asciiTheme="majorHAnsi" w:hAnsiTheme="majorHAnsi"/>
                      <w:sz w:val="24"/>
                      <w:szCs w:val="24"/>
                    </w:rPr>
                    <w:t>ectrum management</w:t>
                  </w:r>
                  <w:r w:rsidRPr="00822153">
                    <w:rPr>
                      <w:rFonts w:asciiTheme="majorHAnsi" w:hAnsiTheme="majorHAnsi"/>
                      <w:sz w:val="24"/>
                      <w:szCs w:val="24"/>
                    </w:rPr>
                    <w:t xml:space="preserve"> and forms part of the overall strategy of capacity building in the offices of the Regulators. </w:t>
                  </w:r>
                  <w:r>
                    <w:rPr>
                      <w:rFonts w:asciiTheme="majorHAnsi" w:hAnsiTheme="majorHAnsi"/>
                      <w:sz w:val="24"/>
                      <w:szCs w:val="24"/>
                    </w:rPr>
                    <w:t>PiRRC has engaged the services of experts to address spectrum harmonization and spectrum management.</w:t>
                  </w:r>
                </w:p>
                <w:p w:rsidR="00704F0B" w:rsidRPr="00822153" w:rsidRDefault="00704F0B" w:rsidP="00704F0B">
                  <w:pPr>
                    <w:pStyle w:val="NoSpacing"/>
                    <w:rPr>
                      <w:rFonts w:asciiTheme="majorHAnsi" w:hAnsiTheme="majorHAnsi"/>
                      <w:sz w:val="24"/>
                      <w:szCs w:val="24"/>
                    </w:rPr>
                  </w:pPr>
                  <w:r w:rsidRPr="00822153">
                    <w:rPr>
                      <w:rFonts w:asciiTheme="majorHAnsi" w:hAnsiTheme="majorHAnsi"/>
                      <w:sz w:val="24"/>
                      <w:szCs w:val="24"/>
                    </w:rPr>
                    <w:t xml:space="preserve">In spectrum management PiRRC has decided to utilize SMS4DC as the most </w:t>
                  </w:r>
                  <w:proofErr w:type="gramStart"/>
                  <w:r w:rsidRPr="00822153">
                    <w:rPr>
                      <w:rFonts w:asciiTheme="majorHAnsi" w:hAnsiTheme="majorHAnsi"/>
                      <w:sz w:val="24"/>
                      <w:szCs w:val="24"/>
                    </w:rPr>
                    <w:t>cost effective</w:t>
                  </w:r>
                  <w:proofErr w:type="gramEnd"/>
                  <w:r w:rsidRPr="00822153">
                    <w:rPr>
                      <w:rFonts w:asciiTheme="majorHAnsi" w:hAnsiTheme="majorHAnsi"/>
                      <w:sz w:val="24"/>
                      <w:szCs w:val="24"/>
                    </w:rPr>
                    <w:t xml:space="preserve"> spectrum management tool fo</w:t>
                  </w:r>
                  <w:r>
                    <w:rPr>
                      <w:rFonts w:asciiTheme="majorHAnsi" w:hAnsiTheme="majorHAnsi"/>
                      <w:sz w:val="24"/>
                      <w:szCs w:val="24"/>
                    </w:rPr>
                    <w:t>r the smaller Pacific Countries and the PiRRC intervention</w:t>
                  </w:r>
                  <w:r w:rsidRPr="00822153">
                    <w:rPr>
                      <w:rFonts w:asciiTheme="majorHAnsi" w:hAnsiTheme="majorHAnsi"/>
                      <w:sz w:val="24"/>
                      <w:szCs w:val="24"/>
                    </w:rPr>
                    <w:t xml:space="preserve"> includes:</w:t>
                  </w:r>
                  <w:r>
                    <w:rPr>
                      <w:rFonts w:asciiTheme="majorHAnsi" w:hAnsiTheme="majorHAnsi"/>
                      <w:sz w:val="24"/>
                      <w:szCs w:val="24"/>
                    </w:rPr>
                    <w:t xml:space="preserve"> 1) Spectrum Harmonization; 2) SMS4DC; and 3) National Emergency Telecommunications Plans.</w:t>
                  </w:r>
                </w:p>
                <w:p w:rsidR="00704F0B" w:rsidRPr="00822153" w:rsidRDefault="00704F0B" w:rsidP="00704F0B">
                  <w:pPr>
                    <w:pStyle w:val="NoSpacing"/>
                    <w:rPr>
                      <w:rFonts w:asciiTheme="majorHAnsi" w:hAnsiTheme="majorHAnsi"/>
                      <w:sz w:val="24"/>
                      <w:szCs w:val="24"/>
                    </w:rPr>
                  </w:pPr>
                </w:p>
                <w:p w:rsidR="00704F0B" w:rsidRPr="0055579F" w:rsidRDefault="00704F0B" w:rsidP="00704F0B">
                  <w:pPr>
                    <w:pStyle w:val="ListParagraph"/>
                    <w:numPr>
                      <w:ilvl w:val="0"/>
                      <w:numId w:val="2"/>
                    </w:numPr>
                    <w:rPr>
                      <w:rFonts w:asciiTheme="majorHAnsi" w:hAnsiTheme="majorHAnsi" w:cs="Arial"/>
                      <w:b/>
                      <w:lang w:val="en"/>
                    </w:rPr>
                  </w:pPr>
                  <w:r>
                    <w:rPr>
                      <w:rFonts w:asciiTheme="majorHAnsi" w:hAnsiTheme="majorHAnsi"/>
                      <w:b/>
                      <w:bCs/>
                    </w:rPr>
                    <w:t>Spectrum Harmonization</w:t>
                  </w:r>
                </w:p>
                <w:p w:rsidR="00704F0B" w:rsidRPr="00943278" w:rsidRDefault="00704F0B" w:rsidP="00704F0B">
                  <w:pPr>
                    <w:rPr>
                      <w:rFonts w:asciiTheme="majorHAnsi" w:hAnsiTheme="majorHAnsi" w:cs="Arial"/>
                      <w:lang w:val="en"/>
                    </w:rPr>
                  </w:pPr>
                  <w:r>
                    <w:rPr>
                      <w:rFonts w:asciiTheme="majorHAnsi" w:eastAsiaTheme="minorEastAsia" w:hAnsiTheme="majorHAnsi" w:cs="Arial"/>
                      <w:sz w:val="24"/>
                      <w:szCs w:val="24"/>
                      <w:lang w:val="en"/>
                    </w:rPr>
                    <w:t xml:space="preserve"> The Project contracted the services of Dr. Andrew </w:t>
                  </w:r>
                  <w:proofErr w:type="spellStart"/>
                  <w:r>
                    <w:rPr>
                      <w:rFonts w:asciiTheme="majorHAnsi" w:eastAsiaTheme="minorEastAsia" w:hAnsiTheme="majorHAnsi" w:cs="Arial"/>
                      <w:sz w:val="24"/>
                      <w:szCs w:val="24"/>
                      <w:lang w:val="en"/>
                    </w:rPr>
                    <w:t>Kerans</w:t>
                  </w:r>
                  <w:proofErr w:type="spellEnd"/>
                  <w:r>
                    <w:rPr>
                      <w:rFonts w:asciiTheme="majorHAnsi" w:eastAsiaTheme="minorEastAsia" w:hAnsiTheme="majorHAnsi" w:cs="Arial"/>
                      <w:sz w:val="24"/>
                      <w:szCs w:val="24"/>
                      <w:lang w:val="en"/>
                    </w:rPr>
                    <w:t xml:space="preserve"> for spectrum harmonization and his deliverables are</w:t>
                  </w:r>
                  <w:r>
                    <w:rPr>
                      <w:rFonts w:asciiTheme="majorHAnsi" w:hAnsiTheme="majorHAnsi" w:cs="Arial"/>
                      <w:lang w:val="en"/>
                    </w:rPr>
                    <w:t>:</w:t>
                  </w:r>
                </w:p>
                <w:p w:rsidR="00704F0B" w:rsidRPr="00943278" w:rsidRDefault="00704F0B" w:rsidP="00704F0B">
                  <w:pPr>
                    <w:pStyle w:val="ListParagraph"/>
                    <w:rPr>
                      <w:rFonts w:asciiTheme="majorHAnsi" w:hAnsiTheme="majorHAnsi" w:cs="Arial"/>
                      <w:lang w:val="en"/>
                    </w:rPr>
                  </w:pPr>
                  <w:r w:rsidRPr="00943278">
                    <w:rPr>
                      <w:rFonts w:asciiTheme="majorHAnsi" w:hAnsiTheme="majorHAnsi" w:cs="Arial"/>
                      <w:lang w:val="en"/>
                    </w:rPr>
                    <w:t>a)</w:t>
                  </w:r>
                  <w:r w:rsidRPr="00943278">
                    <w:rPr>
                      <w:rFonts w:asciiTheme="majorHAnsi" w:hAnsiTheme="majorHAnsi" w:cs="Arial"/>
                      <w:lang w:val="en"/>
                    </w:rPr>
                    <w:tab/>
                    <w:t xml:space="preserve">Compilation and review of existing National Spectrum Plans in participating countries; </w:t>
                  </w:r>
                </w:p>
                <w:p w:rsidR="00704F0B" w:rsidRPr="00943278" w:rsidRDefault="00704F0B" w:rsidP="00704F0B">
                  <w:pPr>
                    <w:pStyle w:val="ListParagraph"/>
                    <w:rPr>
                      <w:rFonts w:asciiTheme="majorHAnsi" w:hAnsiTheme="majorHAnsi" w:cs="Arial"/>
                      <w:lang w:val="en"/>
                    </w:rPr>
                  </w:pPr>
                  <w:r w:rsidRPr="00943278">
                    <w:rPr>
                      <w:rFonts w:asciiTheme="majorHAnsi" w:hAnsiTheme="majorHAnsi" w:cs="Arial"/>
                      <w:lang w:val="en"/>
                    </w:rPr>
                    <w:t>b)</w:t>
                  </w:r>
                  <w:r w:rsidRPr="00943278">
                    <w:rPr>
                      <w:rFonts w:asciiTheme="majorHAnsi" w:hAnsiTheme="majorHAnsi" w:cs="Arial"/>
                      <w:lang w:val="en"/>
                    </w:rPr>
                    <w:tab/>
                    <w:t>Report on a strategy for a harmonized approach to spectrum management in the region;</w:t>
                  </w:r>
                </w:p>
                <w:p w:rsidR="00704F0B" w:rsidRPr="00943278" w:rsidRDefault="00704F0B" w:rsidP="00704F0B">
                  <w:pPr>
                    <w:pStyle w:val="ListParagraph"/>
                    <w:rPr>
                      <w:rFonts w:asciiTheme="majorHAnsi" w:hAnsiTheme="majorHAnsi" w:cs="Arial"/>
                      <w:lang w:val="en"/>
                    </w:rPr>
                  </w:pPr>
                  <w:r w:rsidRPr="00943278">
                    <w:rPr>
                      <w:rFonts w:asciiTheme="majorHAnsi" w:hAnsiTheme="majorHAnsi" w:cs="Arial"/>
                      <w:lang w:val="en"/>
                    </w:rPr>
                    <w:t>c)</w:t>
                  </w:r>
                  <w:r w:rsidRPr="00943278">
                    <w:rPr>
                      <w:rFonts w:asciiTheme="majorHAnsi" w:hAnsiTheme="majorHAnsi" w:cs="Arial"/>
                      <w:lang w:val="en"/>
                    </w:rPr>
                    <w:tab/>
                    <w:t xml:space="preserve">Preparation of a Report highlighting considerations for participating countries for national/regional approaches for upcoming World Radio Conferences; </w:t>
                  </w:r>
                </w:p>
                <w:p w:rsidR="00704F0B" w:rsidRPr="00943278" w:rsidRDefault="00704F0B" w:rsidP="00704F0B">
                  <w:pPr>
                    <w:pStyle w:val="ListParagraph"/>
                    <w:rPr>
                      <w:rFonts w:asciiTheme="majorHAnsi" w:hAnsiTheme="majorHAnsi" w:cs="Arial"/>
                      <w:lang w:val="en"/>
                    </w:rPr>
                  </w:pPr>
                  <w:r w:rsidRPr="00943278">
                    <w:rPr>
                      <w:rFonts w:asciiTheme="majorHAnsi" w:hAnsiTheme="majorHAnsi" w:cs="Arial"/>
                      <w:lang w:val="en"/>
                    </w:rPr>
                    <w:t>d)</w:t>
                  </w:r>
                  <w:r w:rsidRPr="00943278">
                    <w:rPr>
                      <w:rFonts w:asciiTheme="majorHAnsi" w:hAnsiTheme="majorHAnsi" w:cs="Arial"/>
                      <w:lang w:val="en"/>
                    </w:rPr>
                    <w:tab/>
                    <w:t>Development of a regionally harmonized Spectrum Plan with Frequency Allocations.</w:t>
                  </w:r>
                </w:p>
                <w:p w:rsidR="00704F0B" w:rsidRPr="00943278" w:rsidRDefault="00704F0B" w:rsidP="00704F0B">
                  <w:pPr>
                    <w:pStyle w:val="ListParagraph"/>
                    <w:rPr>
                      <w:rFonts w:asciiTheme="majorHAnsi" w:hAnsiTheme="majorHAnsi" w:cs="Arial"/>
                      <w:lang w:val="en"/>
                    </w:rPr>
                  </w:pPr>
                  <w:r w:rsidRPr="00943278">
                    <w:rPr>
                      <w:rFonts w:asciiTheme="majorHAnsi" w:hAnsiTheme="majorHAnsi" w:cs="Arial"/>
                      <w:lang w:val="en"/>
                    </w:rPr>
                    <w:t>e)</w:t>
                  </w:r>
                  <w:r w:rsidRPr="00943278">
                    <w:rPr>
                      <w:rFonts w:asciiTheme="majorHAnsi" w:hAnsiTheme="majorHAnsi" w:cs="Arial"/>
                      <w:lang w:val="en"/>
                    </w:rPr>
                    <w:tab/>
                    <w:t>Provision of training through a regional workshop for regulators on spectrum management and best practices in harmonizing frequency allocations;</w:t>
                  </w:r>
                </w:p>
                <w:p w:rsidR="00704F0B" w:rsidRPr="00943278" w:rsidRDefault="00704F0B" w:rsidP="00704F0B">
                  <w:pPr>
                    <w:pStyle w:val="ListParagraph"/>
                    <w:rPr>
                      <w:rFonts w:asciiTheme="majorHAnsi" w:hAnsiTheme="majorHAnsi" w:cs="Arial"/>
                      <w:lang w:val="en"/>
                    </w:rPr>
                  </w:pPr>
                </w:p>
                <w:p w:rsidR="00704F0B" w:rsidRDefault="00704F0B" w:rsidP="00704F0B">
                  <w:pPr>
                    <w:rPr>
                      <w:rFonts w:asciiTheme="majorHAnsi" w:hAnsiTheme="majorHAnsi" w:cs="Arial"/>
                      <w:lang w:val="en"/>
                    </w:rPr>
                  </w:pPr>
                  <w:r w:rsidRPr="00943278">
                    <w:rPr>
                      <w:rFonts w:asciiTheme="majorHAnsi" w:hAnsiTheme="majorHAnsi" w:cs="Arial"/>
                      <w:lang w:val="en"/>
                    </w:rPr>
                    <w:t xml:space="preserve">The current workshop is part </w:t>
                  </w:r>
                  <w:r>
                    <w:rPr>
                      <w:rFonts w:asciiTheme="majorHAnsi" w:hAnsiTheme="majorHAnsi" w:cs="Arial"/>
                      <w:lang w:val="en"/>
                    </w:rPr>
                    <w:t>of the work on spectrum harmonization and in keeping with our stated objectives of collaboration, this is being done with ITU and APT.</w:t>
                  </w:r>
                </w:p>
                <w:p w:rsidR="00704F0B" w:rsidRPr="00943278" w:rsidRDefault="00704F0B" w:rsidP="00704F0B">
                  <w:pPr>
                    <w:rPr>
                      <w:rFonts w:asciiTheme="majorHAnsi" w:hAnsiTheme="majorHAnsi" w:cs="Arial"/>
                      <w:lang w:val="en"/>
                    </w:rPr>
                  </w:pPr>
                  <w:r>
                    <w:rPr>
                      <w:rFonts w:asciiTheme="majorHAnsi" w:hAnsiTheme="majorHAnsi" w:cs="Arial"/>
                      <w:lang w:val="en"/>
                    </w:rPr>
                    <w:t xml:space="preserve">It is expected that in the first quarter of 2018 a follow up workshop on spectrum harmonization to discuss the deliverables from Dr. </w:t>
                  </w:r>
                  <w:proofErr w:type="spellStart"/>
                  <w:r>
                    <w:rPr>
                      <w:rFonts w:asciiTheme="majorHAnsi" w:hAnsiTheme="majorHAnsi" w:cs="Arial"/>
                      <w:lang w:val="en"/>
                    </w:rPr>
                    <w:t>Kerans</w:t>
                  </w:r>
                  <w:proofErr w:type="spellEnd"/>
                  <w:r>
                    <w:rPr>
                      <w:rFonts w:asciiTheme="majorHAnsi" w:hAnsiTheme="majorHAnsi" w:cs="Arial"/>
                      <w:lang w:val="en"/>
                    </w:rPr>
                    <w:t xml:space="preserve"> will be held; most likely in Fiji.</w:t>
                  </w:r>
                </w:p>
                <w:p w:rsidR="00704F0B" w:rsidRDefault="00704F0B" w:rsidP="00704F0B">
                  <w:pPr>
                    <w:pStyle w:val="ListParagraph"/>
                    <w:rPr>
                      <w:rFonts w:asciiTheme="majorHAnsi" w:hAnsiTheme="majorHAnsi" w:cs="Arial"/>
                      <w:b/>
                      <w:lang w:val="en"/>
                    </w:rPr>
                  </w:pPr>
                </w:p>
                <w:p w:rsidR="00704F0B" w:rsidRDefault="00704F0B" w:rsidP="00704F0B">
                  <w:pPr>
                    <w:pStyle w:val="ListParagraph"/>
                    <w:rPr>
                      <w:rFonts w:asciiTheme="majorHAnsi" w:hAnsiTheme="majorHAnsi" w:cs="Arial"/>
                      <w:b/>
                      <w:lang w:val="en"/>
                    </w:rPr>
                  </w:pPr>
                </w:p>
                <w:p w:rsidR="00704F0B" w:rsidRDefault="00704F0B" w:rsidP="00704F0B">
                  <w:pPr>
                    <w:pStyle w:val="ListParagraph"/>
                    <w:rPr>
                      <w:rFonts w:asciiTheme="majorHAnsi" w:hAnsiTheme="majorHAnsi" w:cs="Arial"/>
                      <w:b/>
                      <w:lang w:val="en"/>
                    </w:rPr>
                  </w:pPr>
                </w:p>
                <w:p w:rsidR="00704F0B" w:rsidRDefault="00704F0B" w:rsidP="00704F0B">
                  <w:pPr>
                    <w:pStyle w:val="ListParagraph"/>
                    <w:rPr>
                      <w:rFonts w:asciiTheme="majorHAnsi" w:hAnsiTheme="majorHAnsi" w:cs="Arial"/>
                      <w:b/>
                      <w:lang w:val="en"/>
                    </w:rPr>
                  </w:pPr>
                </w:p>
                <w:p w:rsidR="00704F0B" w:rsidRPr="0055579F" w:rsidRDefault="00704F0B" w:rsidP="00704F0B">
                  <w:pPr>
                    <w:pStyle w:val="ListParagraph"/>
                    <w:rPr>
                      <w:rFonts w:asciiTheme="majorHAnsi" w:hAnsiTheme="majorHAnsi" w:cs="Arial"/>
                      <w:b/>
                      <w:lang w:val="en"/>
                    </w:rPr>
                  </w:pPr>
                </w:p>
                <w:p w:rsidR="00704F0B" w:rsidRPr="0055579F" w:rsidRDefault="00704F0B" w:rsidP="00704F0B">
                  <w:pPr>
                    <w:pStyle w:val="ListParagraph"/>
                    <w:numPr>
                      <w:ilvl w:val="0"/>
                      <w:numId w:val="2"/>
                    </w:numPr>
                    <w:rPr>
                      <w:rFonts w:asciiTheme="majorHAnsi" w:hAnsiTheme="majorHAnsi" w:cs="Arial"/>
                      <w:b/>
                      <w:lang w:val="en"/>
                    </w:rPr>
                  </w:pPr>
                  <w:r>
                    <w:rPr>
                      <w:rFonts w:asciiTheme="majorHAnsi" w:hAnsiTheme="majorHAnsi"/>
                      <w:b/>
                      <w:bCs/>
                    </w:rPr>
                    <w:t>SMS4DC</w:t>
                  </w:r>
                </w:p>
                <w:p w:rsidR="00704F0B" w:rsidRPr="00AE5EE7" w:rsidRDefault="00704F0B" w:rsidP="00704F0B">
                  <w:pPr>
                    <w:pStyle w:val="ListParagraph"/>
                    <w:rPr>
                      <w:rFonts w:asciiTheme="majorHAnsi" w:hAnsiTheme="majorHAnsi" w:cs="Arial"/>
                      <w:lang w:val="en"/>
                    </w:rPr>
                  </w:pPr>
                  <w:r w:rsidRPr="00AE5EE7">
                    <w:rPr>
                      <w:rFonts w:asciiTheme="majorHAnsi" w:hAnsiTheme="majorHAnsi" w:cs="Arial"/>
                      <w:lang w:val="en"/>
                    </w:rPr>
                    <w:t xml:space="preserve">PiRRC </w:t>
                  </w:r>
                  <w:r>
                    <w:rPr>
                      <w:rFonts w:asciiTheme="majorHAnsi" w:hAnsiTheme="majorHAnsi" w:cs="Arial"/>
                      <w:lang w:val="en"/>
                    </w:rPr>
                    <w:t>contracted the services of Dale Stacey of SAT Pty Ltd to provide assistance to the countries in the application of SMS4DC as a spectrum management software.</w:t>
                  </w:r>
                </w:p>
                <w:p w:rsidR="00704F0B" w:rsidRPr="00AE5EE7" w:rsidRDefault="00704F0B" w:rsidP="00704F0B">
                  <w:pPr>
                    <w:pStyle w:val="ListParagraph"/>
                    <w:rPr>
                      <w:rFonts w:asciiTheme="majorHAnsi" w:hAnsiTheme="majorHAnsi" w:cs="Arial"/>
                      <w:lang w:val="en"/>
                    </w:rPr>
                  </w:pPr>
                  <w:r>
                    <w:rPr>
                      <w:rFonts w:asciiTheme="majorHAnsi" w:hAnsiTheme="majorHAnsi" w:cs="Arial"/>
                      <w:lang w:val="en"/>
                    </w:rPr>
                    <w:t>His scope of work included</w:t>
                  </w:r>
                  <w:r w:rsidRPr="00AE5EE7">
                    <w:rPr>
                      <w:rFonts w:asciiTheme="majorHAnsi" w:hAnsiTheme="majorHAnsi" w:cs="Arial"/>
                      <w:lang w:val="en"/>
                    </w:rPr>
                    <w:t>:</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 xml:space="preserve">Advice on and coordination of activities relevant for the successful deployment and use of the SMS4DC system in the participating countries.  </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Assessing the participating countries</w:t>
                  </w:r>
                  <w:r>
                    <w:rPr>
                      <w:rFonts w:asciiTheme="majorHAnsi" w:hAnsiTheme="majorHAnsi" w:cs="Arial"/>
                      <w:lang w:val="en"/>
                    </w:rPr>
                    <w:t>’</w:t>
                  </w:r>
                  <w:r w:rsidRPr="00E94E1C">
                    <w:rPr>
                      <w:rFonts w:asciiTheme="majorHAnsi" w:hAnsiTheme="majorHAnsi" w:cs="Arial"/>
                      <w:lang w:val="en"/>
                    </w:rPr>
                    <w:t xml:space="preserve"> long term requirement for frequency assignments taking into account new emerging telecommunication technologies and National and International Frequency Allocations and </w:t>
                  </w:r>
                  <w:proofErr w:type="gramStart"/>
                  <w:r w:rsidRPr="00E94E1C">
                    <w:rPr>
                      <w:rFonts w:asciiTheme="majorHAnsi" w:hAnsiTheme="majorHAnsi" w:cs="Arial"/>
                      <w:lang w:val="en"/>
                    </w:rPr>
                    <w:t>configur</w:t>
                  </w:r>
                  <w:r>
                    <w:rPr>
                      <w:rFonts w:asciiTheme="majorHAnsi" w:hAnsiTheme="majorHAnsi" w:cs="Arial"/>
                      <w:lang w:val="en"/>
                    </w:rPr>
                    <w:t xml:space="preserve">ing </w:t>
                  </w:r>
                  <w:r w:rsidRPr="00E94E1C">
                    <w:rPr>
                      <w:rFonts w:asciiTheme="majorHAnsi" w:hAnsiTheme="majorHAnsi" w:cs="Arial"/>
                      <w:lang w:val="en"/>
                    </w:rPr>
                    <w:t xml:space="preserve"> the</w:t>
                  </w:r>
                  <w:proofErr w:type="gramEnd"/>
                  <w:r w:rsidRPr="00E94E1C">
                    <w:rPr>
                      <w:rFonts w:asciiTheme="majorHAnsi" w:hAnsiTheme="majorHAnsi" w:cs="Arial"/>
                      <w:lang w:val="en"/>
                    </w:rPr>
                    <w:t xml:space="preserve"> SMS4DC system to accommodate the requirement</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Set</w:t>
                  </w:r>
                  <w:r>
                    <w:rPr>
                      <w:rFonts w:asciiTheme="majorHAnsi" w:hAnsiTheme="majorHAnsi" w:cs="Arial"/>
                      <w:lang w:val="en"/>
                    </w:rPr>
                    <w:t xml:space="preserve">ting </w:t>
                  </w:r>
                  <w:r w:rsidRPr="00E94E1C">
                    <w:rPr>
                      <w:rFonts w:asciiTheme="majorHAnsi" w:hAnsiTheme="majorHAnsi" w:cs="Arial"/>
                      <w:lang w:val="en"/>
                    </w:rPr>
                    <w:t xml:space="preserve">up </w:t>
                  </w:r>
                  <w:r>
                    <w:rPr>
                      <w:rFonts w:asciiTheme="majorHAnsi" w:hAnsiTheme="majorHAnsi" w:cs="Arial"/>
                      <w:lang w:val="en"/>
                    </w:rPr>
                    <w:t xml:space="preserve">the </w:t>
                  </w:r>
                  <w:r w:rsidRPr="00E94E1C">
                    <w:rPr>
                      <w:rFonts w:asciiTheme="majorHAnsi" w:hAnsiTheme="majorHAnsi" w:cs="Arial"/>
                      <w:lang w:val="en"/>
                    </w:rPr>
                    <w:t>operating systems and relevant software (purchased to ITU specification for SMS4DC Version 4.0 - Spectrum Management System for Developing Countries Edition 2012); install</w:t>
                  </w:r>
                  <w:r>
                    <w:rPr>
                      <w:rFonts w:asciiTheme="majorHAnsi" w:hAnsiTheme="majorHAnsi" w:cs="Arial"/>
                      <w:lang w:val="en"/>
                    </w:rPr>
                    <w:t>ation</w:t>
                  </w:r>
                  <w:r w:rsidRPr="00E94E1C">
                    <w:rPr>
                      <w:rFonts w:asciiTheme="majorHAnsi" w:hAnsiTheme="majorHAnsi" w:cs="Arial"/>
                      <w:lang w:val="en"/>
                    </w:rPr>
                    <w:t>, configur</w:t>
                  </w:r>
                  <w:r>
                    <w:rPr>
                      <w:rFonts w:asciiTheme="majorHAnsi" w:hAnsiTheme="majorHAnsi" w:cs="Arial"/>
                      <w:lang w:val="en"/>
                    </w:rPr>
                    <w:t>ation</w:t>
                  </w:r>
                  <w:r w:rsidRPr="00E94E1C">
                    <w:rPr>
                      <w:rFonts w:asciiTheme="majorHAnsi" w:hAnsiTheme="majorHAnsi" w:cs="Arial"/>
                      <w:lang w:val="en"/>
                    </w:rPr>
                    <w:t xml:space="preserve"> and if required, customiz</w:t>
                  </w:r>
                  <w:r>
                    <w:rPr>
                      <w:rFonts w:asciiTheme="majorHAnsi" w:hAnsiTheme="majorHAnsi" w:cs="Arial"/>
                      <w:lang w:val="en"/>
                    </w:rPr>
                    <w:t xml:space="preserve">ation </w:t>
                  </w:r>
                  <w:proofErr w:type="gramStart"/>
                  <w:r>
                    <w:rPr>
                      <w:rFonts w:asciiTheme="majorHAnsi" w:hAnsiTheme="majorHAnsi" w:cs="Arial"/>
                      <w:lang w:val="en"/>
                    </w:rPr>
                    <w:t xml:space="preserve">of </w:t>
                  </w:r>
                  <w:r w:rsidRPr="00E94E1C">
                    <w:rPr>
                      <w:rFonts w:asciiTheme="majorHAnsi" w:hAnsiTheme="majorHAnsi" w:cs="Arial"/>
                      <w:lang w:val="en"/>
                    </w:rPr>
                    <w:t xml:space="preserve"> the</w:t>
                  </w:r>
                  <w:proofErr w:type="gramEnd"/>
                  <w:r w:rsidRPr="00E94E1C">
                    <w:rPr>
                      <w:rFonts w:asciiTheme="majorHAnsi" w:hAnsiTheme="majorHAnsi" w:cs="Arial"/>
                      <w:lang w:val="en"/>
                    </w:rPr>
                    <w:t xml:space="preserve"> SMS4DC software for the circumstances of spectrum management and frequency assignment in the participating country.</w:t>
                  </w:r>
                </w:p>
                <w:p w:rsidR="00704F0B" w:rsidRPr="00E94E1C" w:rsidRDefault="00704F0B" w:rsidP="00704F0B">
                  <w:pPr>
                    <w:pStyle w:val="ListParagraph"/>
                    <w:numPr>
                      <w:ilvl w:val="0"/>
                      <w:numId w:val="9"/>
                    </w:numPr>
                    <w:rPr>
                      <w:rFonts w:asciiTheme="majorHAnsi" w:hAnsiTheme="majorHAnsi" w:cs="Arial"/>
                      <w:lang w:val="en"/>
                    </w:rPr>
                  </w:pPr>
                  <w:proofErr w:type="gramStart"/>
                  <w:r w:rsidRPr="00E94E1C">
                    <w:rPr>
                      <w:rFonts w:asciiTheme="majorHAnsi" w:hAnsiTheme="majorHAnsi" w:cs="Arial"/>
                      <w:lang w:val="en"/>
                    </w:rPr>
                    <w:t>Transfer</w:t>
                  </w:r>
                  <w:r>
                    <w:rPr>
                      <w:rFonts w:asciiTheme="majorHAnsi" w:hAnsiTheme="majorHAnsi" w:cs="Arial"/>
                      <w:lang w:val="en"/>
                    </w:rPr>
                    <w:t xml:space="preserve">ring </w:t>
                  </w:r>
                  <w:r w:rsidRPr="00E94E1C">
                    <w:rPr>
                      <w:rFonts w:asciiTheme="majorHAnsi" w:hAnsiTheme="majorHAnsi" w:cs="Arial"/>
                      <w:lang w:val="en"/>
                    </w:rPr>
                    <w:t xml:space="preserve"> existing</w:t>
                  </w:r>
                  <w:proofErr w:type="gramEnd"/>
                  <w:r w:rsidRPr="00E94E1C">
                    <w:rPr>
                      <w:rFonts w:asciiTheme="majorHAnsi" w:hAnsiTheme="majorHAnsi" w:cs="Arial"/>
                      <w:lang w:val="en"/>
                    </w:rPr>
                    <w:t xml:space="preserve"> data from the presently used systems and local records to SMS4DC, and commission</w:t>
                  </w:r>
                  <w:r>
                    <w:rPr>
                      <w:rFonts w:asciiTheme="majorHAnsi" w:hAnsiTheme="majorHAnsi" w:cs="Arial"/>
                      <w:lang w:val="en"/>
                    </w:rPr>
                    <w:t>ing</w:t>
                  </w:r>
                  <w:r w:rsidRPr="00E94E1C">
                    <w:rPr>
                      <w:rFonts w:asciiTheme="majorHAnsi" w:hAnsiTheme="majorHAnsi" w:cs="Arial"/>
                      <w:lang w:val="en"/>
                    </w:rPr>
                    <w:t xml:space="preserve"> the SMS4DC system into use.</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Develop</w:t>
                  </w:r>
                  <w:r>
                    <w:rPr>
                      <w:rFonts w:asciiTheme="majorHAnsi" w:hAnsiTheme="majorHAnsi" w:cs="Arial"/>
                      <w:lang w:val="en"/>
                    </w:rPr>
                    <w:t>ment</w:t>
                  </w:r>
                  <w:r w:rsidRPr="00E94E1C">
                    <w:rPr>
                      <w:rFonts w:asciiTheme="majorHAnsi" w:hAnsiTheme="majorHAnsi" w:cs="Arial"/>
                      <w:lang w:val="en"/>
                    </w:rPr>
                    <w:t xml:space="preserve"> or if it exists use, </w:t>
                  </w:r>
                  <w:r>
                    <w:rPr>
                      <w:rFonts w:asciiTheme="majorHAnsi" w:hAnsiTheme="majorHAnsi" w:cs="Arial"/>
                      <w:lang w:val="en"/>
                    </w:rPr>
                    <w:t xml:space="preserve">of </w:t>
                  </w:r>
                  <w:r w:rsidRPr="00E94E1C">
                    <w:rPr>
                      <w:rFonts w:asciiTheme="majorHAnsi" w:hAnsiTheme="majorHAnsi" w:cs="Arial"/>
                      <w:lang w:val="en"/>
                    </w:rPr>
                    <w:t>a National Frequency Allocation Table / Spectrum Plan, based on existing practices, frequency assignments, likely future spectrum demands and latest ITU-R radio regulations and if available, separately provided draft policy, and radio regulations, and incorporate into the SMS4DC system.</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Propose and develop supplementary tools as required for the circumstances.</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Train local staff on frequency assignment mechanisms, coordination, interference calculation, determination of Satellite Earth Station coordination zone and microwave link budget calculation and the other related subjects relevant to use of SMS4DC features and functions and any developed tools.</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Prepare separate reports for each country and a consolidated report with comparative study for all participating countries to be submitted on the completed work to the Director of the Project.</w:t>
                  </w:r>
                </w:p>
                <w:p w:rsidR="00704F0B" w:rsidRPr="00E94E1C" w:rsidRDefault="00704F0B" w:rsidP="00704F0B">
                  <w:pPr>
                    <w:pStyle w:val="ListParagraph"/>
                    <w:numPr>
                      <w:ilvl w:val="0"/>
                      <w:numId w:val="9"/>
                    </w:numPr>
                    <w:rPr>
                      <w:rFonts w:asciiTheme="majorHAnsi" w:hAnsiTheme="majorHAnsi" w:cs="Arial"/>
                      <w:lang w:val="en"/>
                    </w:rPr>
                  </w:pPr>
                  <w:r w:rsidRPr="00E94E1C">
                    <w:rPr>
                      <w:rFonts w:asciiTheme="majorHAnsi" w:hAnsiTheme="majorHAnsi" w:cs="Arial"/>
                      <w:lang w:val="en"/>
                    </w:rPr>
                    <w:t>Conduct a regional workshop on the use and application of SMS4DC</w:t>
                  </w:r>
                </w:p>
                <w:p w:rsidR="00704F0B" w:rsidRPr="00AE5EE7" w:rsidRDefault="00704F0B" w:rsidP="00704F0B">
                  <w:pPr>
                    <w:pStyle w:val="ListParagraph"/>
                    <w:rPr>
                      <w:rFonts w:asciiTheme="majorHAnsi" w:hAnsiTheme="majorHAnsi" w:cs="Arial"/>
                      <w:lang w:val="en"/>
                    </w:rPr>
                  </w:pPr>
                  <w:r>
                    <w:rPr>
                      <w:rFonts w:asciiTheme="majorHAnsi" w:hAnsiTheme="majorHAnsi" w:cs="Arial"/>
                      <w:lang w:val="en"/>
                    </w:rPr>
                    <w:t xml:space="preserve">The deliverables </w:t>
                  </w:r>
                  <w:r w:rsidRPr="00AE5EE7">
                    <w:rPr>
                      <w:rFonts w:asciiTheme="majorHAnsi" w:hAnsiTheme="majorHAnsi" w:cs="Arial"/>
                      <w:lang w:val="en"/>
                    </w:rPr>
                    <w:t xml:space="preserve">for the assignment are: </w:t>
                  </w:r>
                </w:p>
                <w:p w:rsidR="00704F0B" w:rsidRPr="00AE5EE7" w:rsidRDefault="00704F0B" w:rsidP="00704F0B">
                  <w:pPr>
                    <w:pStyle w:val="ListParagraph"/>
                    <w:numPr>
                      <w:ilvl w:val="0"/>
                      <w:numId w:val="10"/>
                    </w:numPr>
                    <w:rPr>
                      <w:rFonts w:asciiTheme="majorHAnsi" w:hAnsiTheme="majorHAnsi" w:cs="Arial"/>
                      <w:lang w:val="en"/>
                    </w:rPr>
                  </w:pPr>
                  <w:r w:rsidRPr="00AE5EE7">
                    <w:rPr>
                      <w:rFonts w:asciiTheme="majorHAnsi" w:hAnsiTheme="majorHAnsi" w:cs="Arial"/>
                      <w:lang w:val="en"/>
                    </w:rPr>
                    <w:t>A configured and functioning SMS4DC system for three workstations in each participating country</w:t>
                  </w:r>
                </w:p>
                <w:p w:rsidR="00704F0B" w:rsidRPr="00AE5EE7" w:rsidRDefault="00704F0B" w:rsidP="00704F0B">
                  <w:pPr>
                    <w:pStyle w:val="ListParagraph"/>
                    <w:numPr>
                      <w:ilvl w:val="0"/>
                      <w:numId w:val="10"/>
                    </w:numPr>
                    <w:rPr>
                      <w:rFonts w:asciiTheme="majorHAnsi" w:hAnsiTheme="majorHAnsi" w:cs="Arial"/>
                      <w:lang w:val="en"/>
                    </w:rPr>
                  </w:pPr>
                  <w:r w:rsidRPr="00AE5EE7">
                    <w:rPr>
                      <w:rFonts w:asciiTheme="majorHAnsi" w:hAnsiTheme="majorHAnsi" w:cs="Arial"/>
                      <w:lang w:val="en"/>
                    </w:rPr>
                    <w:t>Transfer of all existing accessible data into the SMS4DC system instrument and database for recording numbers allocated or otherwise in use.</w:t>
                  </w:r>
                </w:p>
                <w:p w:rsidR="00704F0B" w:rsidRPr="00AE5EE7" w:rsidRDefault="00704F0B" w:rsidP="00704F0B">
                  <w:pPr>
                    <w:pStyle w:val="ListParagraph"/>
                    <w:numPr>
                      <w:ilvl w:val="0"/>
                      <w:numId w:val="10"/>
                    </w:numPr>
                    <w:rPr>
                      <w:rFonts w:asciiTheme="majorHAnsi" w:hAnsiTheme="majorHAnsi" w:cs="Arial"/>
                      <w:lang w:val="en"/>
                    </w:rPr>
                  </w:pPr>
                  <w:r w:rsidRPr="00AE5EE7">
                    <w:rPr>
                      <w:rFonts w:asciiTheme="majorHAnsi" w:hAnsiTheme="majorHAnsi" w:cs="Arial"/>
                      <w:lang w:val="en"/>
                    </w:rPr>
                    <w:t>A National Frequency Allocation Table / Spectrum Plan incorporated into the SMS4DC system</w:t>
                  </w:r>
                </w:p>
                <w:p w:rsidR="00704F0B" w:rsidRPr="00AE5EE7" w:rsidRDefault="00704F0B" w:rsidP="00704F0B">
                  <w:pPr>
                    <w:pStyle w:val="ListParagraph"/>
                    <w:numPr>
                      <w:ilvl w:val="0"/>
                      <w:numId w:val="10"/>
                    </w:numPr>
                    <w:rPr>
                      <w:rFonts w:asciiTheme="majorHAnsi" w:hAnsiTheme="majorHAnsi" w:cs="Arial"/>
                      <w:lang w:val="en"/>
                    </w:rPr>
                  </w:pPr>
                  <w:r w:rsidRPr="00AE5EE7">
                    <w:rPr>
                      <w:rFonts w:asciiTheme="majorHAnsi" w:hAnsiTheme="majorHAnsi" w:cs="Arial"/>
                      <w:lang w:val="en"/>
                    </w:rPr>
                    <w:t>A report for the regulator on completed work and advice about any further work that is relevant including capacity-building/training.</w:t>
                  </w:r>
                </w:p>
                <w:p w:rsidR="00704F0B" w:rsidRPr="00AE5EE7" w:rsidRDefault="00704F0B" w:rsidP="00704F0B">
                  <w:pPr>
                    <w:pStyle w:val="ListParagraph"/>
                    <w:numPr>
                      <w:ilvl w:val="0"/>
                      <w:numId w:val="10"/>
                    </w:numPr>
                    <w:rPr>
                      <w:rFonts w:asciiTheme="majorHAnsi" w:hAnsiTheme="majorHAnsi" w:cs="Arial"/>
                      <w:lang w:val="en"/>
                    </w:rPr>
                  </w:pPr>
                  <w:r w:rsidRPr="00AE5EE7">
                    <w:rPr>
                      <w:rFonts w:asciiTheme="majorHAnsi" w:hAnsiTheme="majorHAnsi" w:cs="Arial"/>
                      <w:lang w:val="en"/>
                    </w:rPr>
                    <w:lastRenderedPageBreak/>
                    <w:t>Skills transfer on spectrum management and regulation.</w:t>
                  </w:r>
                </w:p>
                <w:p w:rsidR="00704F0B" w:rsidRDefault="00704F0B" w:rsidP="00704F0B">
                  <w:pPr>
                    <w:pStyle w:val="ListParagraph"/>
                    <w:rPr>
                      <w:rFonts w:asciiTheme="majorHAnsi" w:hAnsiTheme="majorHAnsi" w:cs="Arial"/>
                      <w:b/>
                      <w:lang w:val="en"/>
                    </w:rPr>
                  </w:pPr>
                </w:p>
                <w:p w:rsidR="00704F0B" w:rsidRPr="0055579F" w:rsidRDefault="00704F0B" w:rsidP="00704F0B">
                  <w:pPr>
                    <w:rPr>
                      <w:rFonts w:asciiTheme="majorHAnsi" w:hAnsiTheme="majorHAnsi" w:cs="Arial"/>
                      <w:b/>
                      <w:lang w:val="en"/>
                    </w:rPr>
                  </w:pPr>
                  <w:r>
                    <w:rPr>
                      <w:rFonts w:asciiTheme="majorHAnsi" w:hAnsiTheme="majorHAnsi" w:cs="Arial"/>
                      <w:lang w:val="en"/>
                    </w:rPr>
                    <w:t>Countries are encouraged to submit their frequency allocations/assignments so that the databases in the network can be populated.</w:t>
                  </w:r>
                </w:p>
                <w:p w:rsidR="00704F0B" w:rsidRPr="0055579F" w:rsidRDefault="00704F0B" w:rsidP="00704F0B">
                  <w:pPr>
                    <w:pStyle w:val="ListParagraph"/>
                    <w:numPr>
                      <w:ilvl w:val="0"/>
                      <w:numId w:val="2"/>
                    </w:numPr>
                    <w:rPr>
                      <w:rFonts w:asciiTheme="majorHAnsi" w:hAnsiTheme="majorHAnsi" w:cs="Arial"/>
                      <w:b/>
                      <w:lang w:val="en"/>
                    </w:rPr>
                  </w:pPr>
                  <w:r>
                    <w:rPr>
                      <w:rFonts w:asciiTheme="majorHAnsi" w:hAnsiTheme="majorHAnsi"/>
                      <w:b/>
                      <w:bCs/>
                    </w:rPr>
                    <w:t>National Emergency Telecommunications Plans</w:t>
                  </w:r>
                </w:p>
                <w:p w:rsidR="00704F0B" w:rsidRPr="0055579F" w:rsidRDefault="00704F0B" w:rsidP="00704F0B">
                  <w:pPr>
                    <w:pStyle w:val="ListParagraph"/>
                    <w:rPr>
                      <w:rFonts w:asciiTheme="majorHAnsi" w:hAnsiTheme="majorHAnsi" w:cs="Arial"/>
                      <w:b/>
                      <w:lang w:val="en"/>
                    </w:rPr>
                  </w:pPr>
                </w:p>
                <w:p w:rsidR="00704F0B" w:rsidRDefault="00704F0B" w:rsidP="00704F0B">
                  <w:pPr>
                    <w:rPr>
                      <w:rFonts w:asciiTheme="majorHAnsi" w:hAnsiTheme="majorHAnsi" w:cs="Arial"/>
                      <w:lang w:val="en"/>
                    </w:rPr>
                  </w:pPr>
                  <w:r>
                    <w:rPr>
                      <w:rFonts w:asciiTheme="majorHAnsi" w:hAnsiTheme="majorHAnsi" w:cs="Arial"/>
                      <w:lang w:val="en"/>
                    </w:rPr>
                    <w:t>Don Wallace was engaged to assist countries in the preparation of their national Emergency Telecommunications Plans (NETP). He has since provided an a</w:t>
                  </w:r>
                  <w:r w:rsidRPr="001A0EA1">
                    <w:rPr>
                      <w:rFonts w:asciiTheme="majorHAnsi" w:hAnsiTheme="majorHAnsi" w:cs="Arial"/>
                      <w:lang w:val="en"/>
                    </w:rPr>
                    <w:t>nalysis of the use of the Telecom/ICTs in Emergency and Disaster Management in Pacific regi</w:t>
                  </w:r>
                  <w:r>
                    <w:rPr>
                      <w:rFonts w:asciiTheme="majorHAnsi" w:hAnsiTheme="majorHAnsi" w:cs="Arial"/>
                      <w:lang w:val="en"/>
                    </w:rPr>
                    <w:t xml:space="preserve">on including national practices and produced </w:t>
                  </w:r>
                  <w:r w:rsidRPr="001A0EA1">
                    <w:rPr>
                      <w:rFonts w:asciiTheme="majorHAnsi" w:hAnsiTheme="majorHAnsi" w:cs="Arial"/>
                      <w:lang w:val="en"/>
                    </w:rPr>
                    <w:t>a comprehensive report on “A Model on how to develop National Emergency Telecommunication Plans (NETPs) in Pacific Island States</w:t>
                  </w:r>
                  <w:r>
                    <w:rPr>
                      <w:rFonts w:asciiTheme="majorHAnsi" w:hAnsiTheme="majorHAnsi" w:cs="Arial"/>
                      <w:lang w:val="en"/>
                    </w:rPr>
                    <w:t xml:space="preserve">.” Countries participated in a </w:t>
                  </w:r>
                  <w:r w:rsidRPr="001A0EA1">
                    <w:rPr>
                      <w:rFonts w:asciiTheme="majorHAnsi" w:hAnsiTheme="majorHAnsi" w:cs="Arial"/>
                      <w:lang w:val="en"/>
                    </w:rPr>
                    <w:t>knowledge sharing event on best practices in developing National Eme</w:t>
                  </w:r>
                  <w:r>
                    <w:rPr>
                      <w:rFonts w:asciiTheme="majorHAnsi" w:hAnsiTheme="majorHAnsi" w:cs="Arial"/>
                      <w:lang w:val="en"/>
                    </w:rPr>
                    <w:t xml:space="preserve">rgency Telecommunications Plans and are now working on developing their own national plans.  The draft plan discusses the </w:t>
                  </w:r>
                  <w:r w:rsidRPr="001A0EA1">
                    <w:rPr>
                      <w:rFonts w:asciiTheme="majorHAnsi" w:hAnsiTheme="majorHAnsi" w:cs="Arial"/>
                      <w:lang w:val="en"/>
                    </w:rPr>
                    <w:t>alignment of existin</w:t>
                  </w:r>
                  <w:r>
                    <w:rPr>
                      <w:rFonts w:asciiTheme="majorHAnsi" w:hAnsiTheme="majorHAnsi" w:cs="Arial"/>
                      <w:lang w:val="en"/>
                    </w:rPr>
                    <w:t xml:space="preserve">g NETPs with Tampere Convention and </w:t>
                  </w:r>
                  <w:proofErr w:type="gramStart"/>
                  <w:r>
                    <w:rPr>
                      <w:rFonts w:asciiTheme="majorHAnsi" w:hAnsiTheme="majorHAnsi" w:cs="Arial"/>
                      <w:lang w:val="en"/>
                    </w:rPr>
                    <w:t>proposes  r</w:t>
                  </w:r>
                  <w:r w:rsidRPr="001A0EA1">
                    <w:rPr>
                      <w:rFonts w:asciiTheme="majorHAnsi" w:hAnsiTheme="majorHAnsi" w:cs="Arial"/>
                      <w:lang w:val="en"/>
                    </w:rPr>
                    <w:t>egionally</w:t>
                  </w:r>
                  <w:proofErr w:type="gramEnd"/>
                  <w:r w:rsidRPr="001A0EA1">
                    <w:rPr>
                      <w:rFonts w:asciiTheme="majorHAnsi" w:hAnsiTheme="majorHAnsi" w:cs="Arial"/>
                      <w:lang w:val="en"/>
                    </w:rPr>
                    <w:t xml:space="preserve"> coordinated frequency allocations/assignments f</w:t>
                  </w:r>
                  <w:r>
                    <w:rPr>
                      <w:rFonts w:asciiTheme="majorHAnsi" w:hAnsiTheme="majorHAnsi" w:cs="Arial"/>
                      <w:lang w:val="en"/>
                    </w:rPr>
                    <w:t>or emergency communications.</w:t>
                  </w:r>
                  <w:r w:rsidRPr="001A0EA1">
                    <w:rPr>
                      <w:rFonts w:asciiTheme="majorHAnsi" w:hAnsiTheme="majorHAnsi" w:cs="Arial"/>
                      <w:lang w:val="en"/>
                    </w:rPr>
                    <w:t xml:space="preserve"> countries.</w:t>
                  </w:r>
                </w:p>
                <w:p w:rsidR="00704F0B" w:rsidRPr="0055579F" w:rsidRDefault="00704F0B" w:rsidP="00704F0B">
                  <w:pPr>
                    <w:pStyle w:val="ListParagraph"/>
                    <w:numPr>
                      <w:ilvl w:val="0"/>
                      <w:numId w:val="2"/>
                    </w:numPr>
                    <w:rPr>
                      <w:rFonts w:asciiTheme="majorHAnsi" w:hAnsiTheme="majorHAnsi" w:cs="Arial"/>
                      <w:b/>
                      <w:lang w:val="en"/>
                    </w:rPr>
                  </w:pPr>
                  <w:r>
                    <w:rPr>
                      <w:rFonts w:asciiTheme="majorHAnsi" w:hAnsiTheme="majorHAnsi"/>
                      <w:b/>
                      <w:bCs/>
                    </w:rPr>
                    <w:t>Other initiatives</w:t>
                  </w:r>
                </w:p>
                <w:p w:rsidR="00704F0B" w:rsidRDefault="00704F0B" w:rsidP="00704F0B">
                  <w:pPr>
                    <w:pStyle w:val="ListParagraph"/>
                    <w:rPr>
                      <w:rFonts w:asciiTheme="majorHAnsi" w:hAnsiTheme="majorHAnsi" w:cs="Arial"/>
                      <w:lang w:val="en"/>
                    </w:rPr>
                  </w:pPr>
                  <w:r w:rsidRPr="00A4787C">
                    <w:rPr>
                      <w:rFonts w:asciiTheme="majorHAnsi" w:hAnsiTheme="majorHAnsi" w:cs="Arial"/>
                      <w:lang w:val="en"/>
                    </w:rPr>
                    <w:t xml:space="preserve">In addition to the </w:t>
                  </w:r>
                  <w:proofErr w:type="gramStart"/>
                  <w:r w:rsidRPr="00A4787C">
                    <w:rPr>
                      <w:rFonts w:asciiTheme="majorHAnsi" w:hAnsiTheme="majorHAnsi" w:cs="Arial"/>
                      <w:lang w:val="en"/>
                    </w:rPr>
                    <w:t>above mentioned</w:t>
                  </w:r>
                  <w:proofErr w:type="gramEnd"/>
                  <w:r w:rsidRPr="00A4787C">
                    <w:rPr>
                      <w:rFonts w:asciiTheme="majorHAnsi" w:hAnsiTheme="majorHAnsi" w:cs="Arial"/>
                      <w:lang w:val="en"/>
                    </w:rPr>
                    <w:t xml:space="preserve"> </w:t>
                  </w:r>
                  <w:r>
                    <w:rPr>
                      <w:rFonts w:asciiTheme="majorHAnsi" w:hAnsiTheme="majorHAnsi" w:cs="Arial"/>
                      <w:lang w:val="en"/>
                    </w:rPr>
                    <w:t>activities, PiRRC will procure the services of a specialist firm to assist the member countries in:</w:t>
                  </w:r>
                </w:p>
                <w:p w:rsidR="00704F0B" w:rsidRPr="00A4787C" w:rsidRDefault="00704F0B" w:rsidP="00704F0B">
                  <w:pPr>
                    <w:pStyle w:val="ListParagraph"/>
                    <w:numPr>
                      <w:ilvl w:val="0"/>
                      <w:numId w:val="12"/>
                    </w:numPr>
                    <w:rPr>
                      <w:rFonts w:asciiTheme="majorHAnsi" w:hAnsiTheme="majorHAnsi" w:cs="Arial"/>
                      <w:lang w:val="en"/>
                    </w:rPr>
                  </w:pPr>
                  <w:r w:rsidRPr="00A4787C">
                    <w:rPr>
                      <w:rFonts w:asciiTheme="majorHAnsi" w:hAnsiTheme="majorHAnsi" w:cs="Arial"/>
                      <w:lang w:val="en"/>
                    </w:rPr>
                    <w:t>Quality of service Benchmarks and Measurement methodologies for mobile broadband</w:t>
                  </w:r>
                  <w:r>
                    <w:t>;</w:t>
                  </w:r>
                </w:p>
                <w:p w:rsidR="00704F0B" w:rsidRPr="00A4787C" w:rsidRDefault="00704F0B" w:rsidP="00704F0B">
                  <w:pPr>
                    <w:pStyle w:val="ListParagraph"/>
                    <w:numPr>
                      <w:ilvl w:val="0"/>
                      <w:numId w:val="12"/>
                    </w:numPr>
                    <w:rPr>
                      <w:rFonts w:asciiTheme="majorHAnsi" w:hAnsiTheme="majorHAnsi" w:cs="Arial"/>
                      <w:lang w:val="en"/>
                    </w:rPr>
                  </w:pPr>
                  <w:r>
                    <w:rPr>
                      <w:rFonts w:asciiTheme="majorHAnsi" w:hAnsiTheme="majorHAnsi" w:cs="Arial"/>
                      <w:lang w:val="en"/>
                    </w:rPr>
                    <w:t xml:space="preserve">Understanding Options for </w:t>
                  </w:r>
                  <w:r w:rsidRPr="00A4787C">
                    <w:rPr>
                      <w:rFonts w:asciiTheme="majorHAnsi" w:hAnsiTheme="majorHAnsi" w:cs="Arial"/>
                      <w:lang w:val="en"/>
                    </w:rPr>
                    <w:t>Regulation of OTT services</w:t>
                  </w:r>
                  <w:r>
                    <w:t>;</w:t>
                  </w:r>
                </w:p>
                <w:p w:rsidR="00704F0B" w:rsidRDefault="00704F0B" w:rsidP="00704F0B">
                  <w:pPr>
                    <w:pStyle w:val="ListParagraph"/>
                    <w:numPr>
                      <w:ilvl w:val="0"/>
                      <w:numId w:val="12"/>
                    </w:numPr>
                    <w:rPr>
                      <w:rFonts w:asciiTheme="majorHAnsi" w:hAnsiTheme="majorHAnsi" w:cs="Arial"/>
                      <w:lang w:val="en"/>
                    </w:rPr>
                  </w:pPr>
                  <w:r w:rsidRPr="00A4787C">
                    <w:rPr>
                      <w:rFonts w:asciiTheme="majorHAnsi" w:hAnsiTheme="majorHAnsi" w:cs="Arial"/>
                      <w:lang w:val="en"/>
                    </w:rPr>
                    <w:t>Regional Strat</w:t>
                  </w:r>
                  <w:r>
                    <w:rPr>
                      <w:rFonts w:asciiTheme="majorHAnsi" w:hAnsiTheme="majorHAnsi" w:cs="Arial"/>
                      <w:lang w:val="en"/>
                    </w:rPr>
                    <w:t>egy for critical infrastructure;</w:t>
                  </w:r>
                </w:p>
                <w:p w:rsidR="00704F0B" w:rsidRPr="00A4787C" w:rsidRDefault="00704F0B" w:rsidP="00704F0B">
                  <w:pPr>
                    <w:pStyle w:val="ListParagraph"/>
                    <w:numPr>
                      <w:ilvl w:val="0"/>
                      <w:numId w:val="12"/>
                    </w:numPr>
                    <w:rPr>
                      <w:rFonts w:asciiTheme="majorHAnsi" w:hAnsiTheme="majorHAnsi" w:cs="Arial"/>
                      <w:lang w:val="en"/>
                    </w:rPr>
                  </w:pPr>
                  <w:r w:rsidRPr="00A4787C">
                    <w:rPr>
                      <w:rFonts w:asciiTheme="majorHAnsi" w:hAnsiTheme="majorHAnsi"/>
                      <w:bCs/>
                    </w:rPr>
                    <w:t>Broadband Price /cost analysis &amp; affordability</w:t>
                  </w:r>
                  <w:r>
                    <w:t>;</w:t>
                  </w:r>
                </w:p>
                <w:p w:rsidR="00704F0B" w:rsidRPr="00A4787C" w:rsidRDefault="00704F0B" w:rsidP="00704F0B">
                  <w:pPr>
                    <w:pStyle w:val="ListParagraph"/>
                    <w:numPr>
                      <w:ilvl w:val="0"/>
                      <w:numId w:val="12"/>
                    </w:numPr>
                    <w:rPr>
                      <w:rFonts w:asciiTheme="majorHAnsi" w:hAnsiTheme="majorHAnsi" w:cs="Arial"/>
                      <w:lang w:val="en"/>
                    </w:rPr>
                  </w:pPr>
                  <w:r w:rsidRPr="00A4787C">
                    <w:rPr>
                      <w:rFonts w:asciiTheme="majorHAnsi" w:hAnsiTheme="majorHAnsi"/>
                      <w:bCs/>
                    </w:rPr>
                    <w:t>Wholesale price analysis</w:t>
                  </w:r>
                  <w:r>
                    <w:t xml:space="preserve"> and </w:t>
                  </w:r>
                </w:p>
                <w:p w:rsidR="00704F0B" w:rsidRPr="00A4787C" w:rsidRDefault="00704F0B" w:rsidP="00704F0B">
                  <w:pPr>
                    <w:pStyle w:val="ListParagraph"/>
                    <w:numPr>
                      <w:ilvl w:val="0"/>
                      <w:numId w:val="12"/>
                    </w:numPr>
                    <w:rPr>
                      <w:rFonts w:asciiTheme="majorHAnsi" w:hAnsiTheme="majorHAnsi" w:cs="Arial"/>
                      <w:lang w:val="en"/>
                    </w:rPr>
                  </w:pPr>
                  <w:r w:rsidRPr="00A4787C">
                    <w:rPr>
                      <w:rFonts w:asciiTheme="majorHAnsi" w:hAnsiTheme="majorHAnsi"/>
                      <w:bCs/>
                    </w:rPr>
                    <w:t xml:space="preserve"> Regional Digital Readiness</w:t>
                  </w:r>
                </w:p>
                <w:p w:rsidR="00704F0B" w:rsidRDefault="00704F0B" w:rsidP="00704F0B">
                  <w:pPr>
                    <w:pStyle w:val="ListParagraph"/>
                    <w:rPr>
                      <w:rFonts w:asciiTheme="majorHAnsi" w:hAnsiTheme="majorHAnsi" w:cs="Arial"/>
                      <w:lang w:val="en"/>
                    </w:rPr>
                  </w:pPr>
                  <w:r>
                    <w:rPr>
                      <w:rFonts w:asciiTheme="majorHAnsi" w:hAnsiTheme="majorHAnsi" w:cs="Arial"/>
                      <w:lang w:val="en"/>
                    </w:rPr>
                    <w:t>Collaboration is also being worked out with ICANN, ISOC, GSMA, ITU and PITA for addressing the issues of:</w:t>
                  </w:r>
                </w:p>
                <w:p w:rsidR="00704F0B" w:rsidRPr="00181E00"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On-line child protection</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Open Access</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Mobile Money and Financial Inclusion</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Mobile Privacy Guidelines development</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Radio Signals and Health</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Regulation in the Digital Age</w:t>
                  </w:r>
                </w:p>
                <w:p w:rsidR="00704F0B" w:rsidRDefault="00704F0B" w:rsidP="00704F0B">
                  <w:pPr>
                    <w:pStyle w:val="ListParagraph"/>
                    <w:numPr>
                      <w:ilvl w:val="0"/>
                      <w:numId w:val="13"/>
                    </w:numPr>
                    <w:rPr>
                      <w:rFonts w:asciiTheme="majorHAnsi" w:hAnsiTheme="majorHAnsi" w:cs="Arial"/>
                      <w:lang w:val="en"/>
                    </w:rPr>
                  </w:pPr>
                  <w:r w:rsidRPr="00181E00">
                    <w:rPr>
                      <w:rFonts w:asciiTheme="majorHAnsi" w:hAnsiTheme="majorHAnsi" w:cs="Arial"/>
                      <w:lang w:val="en"/>
                    </w:rPr>
                    <w:t>Women in Mobile</w:t>
                  </w:r>
                </w:p>
                <w:p w:rsidR="00704F0B" w:rsidRDefault="00704F0B" w:rsidP="00704F0B">
                  <w:pPr>
                    <w:pStyle w:val="ListParagraph"/>
                    <w:rPr>
                      <w:rFonts w:asciiTheme="majorHAnsi" w:hAnsiTheme="majorHAnsi" w:cs="Arial"/>
                      <w:lang w:val="en"/>
                    </w:rPr>
                  </w:pPr>
                </w:p>
                <w:p w:rsidR="00704F0B" w:rsidRDefault="00704F0B" w:rsidP="00704F0B">
                  <w:pPr>
                    <w:pStyle w:val="ListParagraph"/>
                    <w:rPr>
                      <w:rFonts w:asciiTheme="majorHAnsi" w:hAnsiTheme="majorHAnsi" w:cs="Arial"/>
                      <w:lang w:val="en"/>
                    </w:rPr>
                  </w:pPr>
                </w:p>
                <w:p w:rsidR="00704F0B" w:rsidRDefault="00704F0B" w:rsidP="00704F0B">
                  <w:pPr>
                    <w:pStyle w:val="ListParagraph"/>
                    <w:rPr>
                      <w:rFonts w:asciiTheme="majorHAnsi" w:hAnsiTheme="majorHAnsi" w:cs="Arial"/>
                      <w:lang w:val="en"/>
                    </w:rPr>
                  </w:pPr>
                </w:p>
                <w:p w:rsidR="00704F0B" w:rsidRDefault="00704F0B" w:rsidP="00704F0B">
                  <w:pPr>
                    <w:pStyle w:val="ListParagraph"/>
                    <w:rPr>
                      <w:rFonts w:asciiTheme="majorHAnsi" w:hAnsiTheme="majorHAnsi" w:cs="Arial"/>
                      <w:lang w:val="en"/>
                    </w:rPr>
                  </w:pPr>
                </w:p>
                <w:p w:rsidR="00704F0B" w:rsidRDefault="00704F0B" w:rsidP="00704F0B">
                  <w:pPr>
                    <w:pStyle w:val="ListParagraph"/>
                    <w:rPr>
                      <w:rFonts w:asciiTheme="majorHAnsi" w:hAnsiTheme="majorHAnsi" w:cs="Arial"/>
                      <w:lang w:val="en"/>
                    </w:rPr>
                  </w:pPr>
                </w:p>
                <w:p w:rsidR="00704F0B" w:rsidRPr="00181E00" w:rsidRDefault="00704F0B" w:rsidP="00704F0B">
                  <w:pPr>
                    <w:pStyle w:val="ListParagraph"/>
                    <w:numPr>
                      <w:ilvl w:val="0"/>
                      <w:numId w:val="2"/>
                    </w:numPr>
                    <w:rPr>
                      <w:rFonts w:asciiTheme="majorHAnsi" w:hAnsiTheme="majorHAnsi" w:cs="Arial"/>
                      <w:b/>
                      <w:lang w:val="en"/>
                    </w:rPr>
                  </w:pPr>
                  <w:r>
                    <w:rPr>
                      <w:rFonts w:asciiTheme="majorHAnsi" w:hAnsiTheme="majorHAnsi"/>
                      <w:b/>
                      <w:bCs/>
                    </w:rPr>
                    <w:t>Conclusion</w:t>
                  </w:r>
                </w:p>
                <w:p w:rsidR="00704F0B" w:rsidRDefault="00704F0B" w:rsidP="00704F0B">
                  <w:pPr>
                    <w:ind w:left="360"/>
                    <w:rPr>
                      <w:rFonts w:asciiTheme="majorHAnsi" w:hAnsiTheme="majorHAnsi" w:cs="Arial"/>
                      <w:lang w:val="en"/>
                    </w:rPr>
                  </w:pPr>
                  <w:r>
                    <w:rPr>
                      <w:rFonts w:asciiTheme="majorHAnsi" w:hAnsiTheme="majorHAnsi" w:cs="Arial"/>
                      <w:lang w:val="en"/>
                    </w:rPr>
                    <w:t xml:space="preserve">Considering that all of this has to happen before project closure in August 2019 we have a busy schedule ahead. The input from countries is critical for success and you are invited to volunteer to host workshops on any of the </w:t>
                  </w:r>
                  <w:bookmarkStart w:id="0" w:name="_GoBack"/>
                  <w:bookmarkEnd w:id="0"/>
                  <w:r>
                    <w:rPr>
                      <w:rFonts w:asciiTheme="majorHAnsi" w:hAnsiTheme="majorHAnsi" w:cs="Arial"/>
                      <w:lang w:val="en"/>
                    </w:rPr>
                    <w:t>above-mentioned</w:t>
                  </w:r>
                  <w:r>
                    <w:rPr>
                      <w:rFonts w:asciiTheme="majorHAnsi" w:hAnsiTheme="majorHAnsi" w:cs="Arial"/>
                      <w:lang w:val="en"/>
                    </w:rPr>
                    <w:t xml:space="preserve"> activities.</w:t>
                  </w:r>
                </w:p>
                <w:p w:rsidR="00704F0B" w:rsidRDefault="00704F0B" w:rsidP="00704F0B">
                  <w:pPr>
                    <w:ind w:left="360"/>
                    <w:rPr>
                      <w:rFonts w:asciiTheme="majorHAnsi" w:hAnsiTheme="majorHAnsi" w:cs="Arial"/>
                      <w:lang w:val="en"/>
                    </w:rPr>
                  </w:pPr>
                  <w:r>
                    <w:rPr>
                      <w:rFonts w:asciiTheme="majorHAnsi" w:hAnsiTheme="majorHAnsi" w:cs="Arial"/>
                      <w:lang w:val="en"/>
                    </w:rPr>
                    <w:t>Returning to the reason why we are here. Spectrum harmonization can only be achieved if first we agree to collaborate and also agree on standardization.</w:t>
                  </w:r>
                </w:p>
                <w:p w:rsidR="00704F0B" w:rsidRDefault="00704F0B" w:rsidP="00704F0B">
                  <w:pPr>
                    <w:ind w:left="360"/>
                    <w:rPr>
                      <w:rFonts w:asciiTheme="majorHAnsi" w:hAnsiTheme="majorHAnsi" w:cs="Arial"/>
                      <w:lang w:val="en"/>
                    </w:rPr>
                  </w:pPr>
                  <w:r>
                    <w:rPr>
                      <w:rFonts w:asciiTheme="majorHAnsi" w:hAnsiTheme="majorHAnsi" w:cs="Arial"/>
                      <w:lang w:val="en"/>
                    </w:rPr>
                    <w:t>Your input is critical and the success of our workshop depends largely on you.</w:t>
                  </w:r>
                </w:p>
                <w:p w:rsidR="00704F0B" w:rsidRDefault="00704F0B" w:rsidP="00704F0B">
                  <w:pPr>
                    <w:ind w:left="360"/>
                    <w:rPr>
                      <w:rFonts w:asciiTheme="majorHAnsi" w:hAnsiTheme="majorHAnsi" w:cs="Arial"/>
                      <w:lang w:val="en"/>
                    </w:rPr>
                  </w:pPr>
                  <w:r>
                    <w:rPr>
                      <w:rFonts w:asciiTheme="majorHAnsi" w:hAnsiTheme="majorHAnsi" w:cs="Arial"/>
                      <w:lang w:val="en"/>
                    </w:rPr>
                    <w:t>Be involved and we welcome your comments and input.</w:t>
                  </w:r>
                </w:p>
                <w:p w:rsidR="00704F0B" w:rsidRDefault="00704F0B" w:rsidP="00704F0B">
                  <w:pPr>
                    <w:ind w:left="360"/>
                    <w:rPr>
                      <w:rFonts w:asciiTheme="majorHAnsi" w:hAnsiTheme="majorHAnsi" w:cs="Arial"/>
                      <w:lang w:val="en"/>
                    </w:rPr>
                  </w:pPr>
                </w:p>
                <w:p w:rsidR="00704F0B" w:rsidRDefault="00704F0B" w:rsidP="00704F0B">
                  <w:pPr>
                    <w:ind w:left="360"/>
                    <w:rPr>
                      <w:rFonts w:asciiTheme="majorHAnsi" w:hAnsiTheme="majorHAnsi" w:cs="Arial"/>
                      <w:lang w:val="en"/>
                    </w:rPr>
                  </w:pPr>
                  <w:r>
                    <w:rPr>
                      <w:rFonts w:asciiTheme="majorHAnsi" w:hAnsiTheme="majorHAnsi" w:cs="Arial"/>
                      <w:lang w:val="en"/>
                    </w:rPr>
                    <w:t>Thank you</w:t>
                  </w:r>
                  <w:r>
                    <w:rPr>
                      <w:rFonts w:asciiTheme="majorHAnsi" w:hAnsiTheme="majorHAnsi" w:cs="Arial"/>
                      <w:lang w:val="en"/>
                    </w:rPr>
                    <w:t>,</w:t>
                  </w:r>
                </w:p>
                <w:p w:rsidR="00704F0B" w:rsidRDefault="00704F0B" w:rsidP="00704F0B">
                  <w:pPr>
                    <w:ind w:left="360"/>
                    <w:rPr>
                      <w:rFonts w:asciiTheme="majorHAnsi" w:hAnsiTheme="majorHAnsi" w:cs="Arial"/>
                      <w:lang w:val="en"/>
                    </w:rPr>
                  </w:pPr>
                </w:p>
                <w:p w:rsidR="00704F0B" w:rsidRDefault="00704F0B" w:rsidP="00704F0B">
                  <w:pPr>
                    <w:ind w:left="360"/>
                    <w:rPr>
                      <w:rFonts w:asciiTheme="majorHAnsi" w:hAnsiTheme="majorHAnsi" w:cs="Arial"/>
                      <w:lang w:val="en"/>
                    </w:rPr>
                  </w:pPr>
                  <w:r>
                    <w:rPr>
                      <w:rFonts w:asciiTheme="majorHAnsi" w:hAnsiTheme="majorHAnsi" w:cs="Arial"/>
                      <w:lang w:val="en"/>
                    </w:rPr>
                    <w:t>Donnie Defreitas</w:t>
                  </w:r>
                </w:p>
                <w:p w:rsidR="00704F0B" w:rsidRPr="00181E00" w:rsidRDefault="00704F0B" w:rsidP="00704F0B">
                  <w:pPr>
                    <w:ind w:left="360"/>
                    <w:rPr>
                      <w:rFonts w:asciiTheme="majorHAnsi" w:hAnsiTheme="majorHAnsi" w:cs="Arial"/>
                      <w:lang w:val="en"/>
                    </w:rPr>
                  </w:pPr>
                  <w:r>
                    <w:rPr>
                      <w:rFonts w:asciiTheme="majorHAnsi" w:hAnsiTheme="majorHAnsi" w:cs="Arial"/>
                      <w:lang w:val="en"/>
                    </w:rPr>
                    <w:t>Project Director</w:t>
                  </w:r>
                </w:p>
              </w:tc>
            </w:tr>
            <w:tr w:rsidR="00704F0B" w:rsidRPr="00822153" w:rsidTr="00B77B38">
              <w:tc>
                <w:tcPr>
                  <w:tcW w:w="10130" w:type="dxa"/>
                  <w:tcBorders>
                    <w:top w:val="nil"/>
                    <w:left w:val="nil"/>
                    <w:bottom w:val="nil"/>
                    <w:right w:val="nil"/>
                  </w:tcBorders>
                  <w:shd w:val="clear" w:color="auto" w:fill="FFFFFF"/>
                  <w:tcMar>
                    <w:top w:w="50" w:type="dxa"/>
                    <w:left w:w="50" w:type="dxa"/>
                    <w:bottom w:w="50" w:type="dxa"/>
                    <w:right w:w="50" w:type="dxa"/>
                  </w:tcMar>
                  <w:vAlign w:val="center"/>
                </w:tcPr>
                <w:p w:rsidR="00704F0B" w:rsidRPr="00181E00" w:rsidRDefault="00704F0B" w:rsidP="00704F0B">
                  <w:pPr>
                    <w:rPr>
                      <w:rFonts w:asciiTheme="majorHAnsi" w:hAnsiTheme="majorHAnsi" w:cs="Arial"/>
                      <w:b/>
                      <w:lang w:val="en"/>
                    </w:rPr>
                  </w:pPr>
                </w:p>
              </w:tc>
            </w:tr>
          </w:tbl>
          <w:p w:rsidR="00704F0B" w:rsidRPr="00822153" w:rsidRDefault="00704F0B" w:rsidP="00704F0B">
            <w:pPr>
              <w:tabs>
                <w:tab w:val="left" w:pos="8445"/>
              </w:tabs>
              <w:rPr>
                <w:rFonts w:asciiTheme="majorHAnsi" w:hAnsiTheme="majorHAnsi"/>
                <w:sz w:val="24"/>
                <w:szCs w:val="24"/>
              </w:rPr>
            </w:pPr>
            <w:r w:rsidRPr="00822153">
              <w:rPr>
                <w:rFonts w:asciiTheme="majorHAnsi" w:hAnsiTheme="majorHAnsi"/>
                <w:sz w:val="24"/>
                <w:szCs w:val="24"/>
              </w:rPr>
              <w:tab/>
            </w:r>
          </w:p>
          <w:p w:rsidR="00E75584" w:rsidRPr="00181E00" w:rsidRDefault="00E75584" w:rsidP="00704F0B">
            <w:pPr>
              <w:ind w:left="360"/>
              <w:rPr>
                <w:rFonts w:asciiTheme="majorHAnsi" w:hAnsiTheme="majorHAnsi" w:cs="Arial"/>
                <w:lang w:val="en"/>
              </w:rPr>
            </w:pPr>
          </w:p>
        </w:tc>
      </w:tr>
      <w:tr w:rsidR="00E75584" w:rsidRPr="00822153" w:rsidTr="00704F0B">
        <w:tc>
          <w:tcPr>
            <w:tcW w:w="10130" w:type="dxa"/>
            <w:tcBorders>
              <w:top w:val="nil"/>
              <w:left w:val="nil"/>
              <w:bottom w:val="nil"/>
              <w:right w:val="nil"/>
            </w:tcBorders>
            <w:shd w:val="clear" w:color="auto" w:fill="FFFFFF"/>
            <w:tcMar>
              <w:top w:w="50" w:type="dxa"/>
              <w:left w:w="50" w:type="dxa"/>
              <w:bottom w:w="50" w:type="dxa"/>
              <w:right w:w="50" w:type="dxa"/>
            </w:tcMar>
            <w:vAlign w:val="center"/>
          </w:tcPr>
          <w:p w:rsidR="00E75584" w:rsidRPr="00181E00" w:rsidRDefault="00E75584" w:rsidP="00704F0B">
            <w:pPr>
              <w:rPr>
                <w:rFonts w:asciiTheme="majorHAnsi" w:hAnsiTheme="majorHAnsi" w:cs="Arial"/>
                <w:b/>
                <w:lang w:val="en"/>
              </w:rPr>
            </w:pPr>
          </w:p>
        </w:tc>
      </w:tr>
    </w:tbl>
    <w:p w:rsidR="00FC6A39" w:rsidRDefault="00FC6A39"/>
    <w:p w:rsidR="002801C5" w:rsidRPr="00822153" w:rsidRDefault="00FC6A39" w:rsidP="00FC6A39">
      <w:pPr>
        <w:tabs>
          <w:tab w:val="left" w:pos="8445"/>
        </w:tabs>
        <w:rPr>
          <w:rFonts w:asciiTheme="majorHAnsi" w:hAnsiTheme="majorHAnsi"/>
          <w:sz w:val="24"/>
          <w:szCs w:val="24"/>
        </w:rPr>
      </w:pPr>
      <w:r w:rsidRPr="00822153">
        <w:rPr>
          <w:rFonts w:asciiTheme="majorHAnsi" w:hAnsiTheme="majorHAnsi"/>
          <w:sz w:val="24"/>
          <w:szCs w:val="24"/>
        </w:rPr>
        <w:tab/>
      </w:r>
    </w:p>
    <w:sectPr w:rsidR="002801C5" w:rsidRPr="008221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03" w:rsidRDefault="00962503" w:rsidP="004C63BA">
      <w:pPr>
        <w:spacing w:after="0" w:line="240" w:lineRule="auto"/>
      </w:pPr>
      <w:r>
        <w:separator/>
      </w:r>
    </w:p>
  </w:endnote>
  <w:endnote w:type="continuationSeparator" w:id="0">
    <w:p w:rsidR="00962503" w:rsidRDefault="00962503" w:rsidP="004C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A" w:rsidRDefault="00E75584">
    <w:pPr>
      <w:pStyle w:val="Footer"/>
    </w:pPr>
    <w:r w:rsidRPr="00E75584">
      <w:rPr>
        <w:noProof/>
      </w:rPr>
      <w:drawing>
        <wp:inline distT="0" distB="0" distL="0" distR="0" wp14:anchorId="16C5EBF2" wp14:editId="0FEC4922">
          <wp:extent cx="6448425" cy="695325"/>
          <wp:effectExtent l="0" t="0" r="9525"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695325"/>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03" w:rsidRDefault="00962503" w:rsidP="004C63BA">
      <w:pPr>
        <w:spacing w:after="0" w:line="240" w:lineRule="auto"/>
      </w:pPr>
      <w:r>
        <w:separator/>
      </w:r>
    </w:p>
  </w:footnote>
  <w:footnote w:type="continuationSeparator" w:id="0">
    <w:p w:rsidR="00962503" w:rsidRDefault="00962503" w:rsidP="004C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A" w:rsidRPr="00FC6A39" w:rsidRDefault="00E75584" w:rsidP="00E75584">
    <w:pPr>
      <w:pStyle w:val="Footer"/>
      <w:ind w:left="720"/>
      <w:jc w:val="center"/>
      <w:rPr>
        <w:rFonts w:ascii="Tempus Sans ITC" w:hAnsi="Tempus Sans ITC"/>
        <w:sz w:val="30"/>
        <w:szCs w:val="30"/>
      </w:rPr>
    </w:pPr>
    <w:r w:rsidRPr="00E75584">
      <w:rPr>
        <w:rFonts w:ascii="Tempus Sans ITC" w:hAnsi="Tempus Sans ITC"/>
        <w:b/>
        <w:noProof/>
        <w:sz w:val="30"/>
        <w:szCs w:val="30"/>
      </w:rPr>
      <w:drawing>
        <wp:inline distT="0" distB="0" distL="0" distR="0" wp14:anchorId="1D6F318E" wp14:editId="4DCCC583">
          <wp:extent cx="5381625" cy="1028700"/>
          <wp:effectExtent l="0" t="0" r="9525"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8959" cy="105304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F9"/>
    <w:multiLevelType w:val="hybridMultilevel"/>
    <w:tmpl w:val="28DCD7DC"/>
    <w:lvl w:ilvl="0" w:tplc="0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0D202D7D"/>
    <w:multiLevelType w:val="hybridMultilevel"/>
    <w:tmpl w:val="8FB0C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D506E"/>
    <w:multiLevelType w:val="hybridMultilevel"/>
    <w:tmpl w:val="A456E4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C6D92"/>
    <w:multiLevelType w:val="hybridMultilevel"/>
    <w:tmpl w:val="93D837F4"/>
    <w:lvl w:ilvl="0" w:tplc="0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 w15:restartNumberingAfterBreak="0">
    <w:nsid w:val="18A82BB0"/>
    <w:multiLevelType w:val="hybridMultilevel"/>
    <w:tmpl w:val="149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A717D"/>
    <w:multiLevelType w:val="hybridMultilevel"/>
    <w:tmpl w:val="573615C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A68178C"/>
    <w:multiLevelType w:val="hybridMultilevel"/>
    <w:tmpl w:val="491A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C5187"/>
    <w:multiLevelType w:val="hybridMultilevel"/>
    <w:tmpl w:val="E2E62CB2"/>
    <w:lvl w:ilvl="0" w:tplc="0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46CD7B83"/>
    <w:multiLevelType w:val="hybridMultilevel"/>
    <w:tmpl w:val="4B4650BE"/>
    <w:lvl w:ilvl="0" w:tplc="0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5466021B"/>
    <w:multiLevelType w:val="hybridMultilevel"/>
    <w:tmpl w:val="E19EE71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90F6575"/>
    <w:multiLevelType w:val="hybridMultilevel"/>
    <w:tmpl w:val="ED9881A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1" w15:restartNumberingAfterBreak="0">
    <w:nsid w:val="5CE04F86"/>
    <w:multiLevelType w:val="hybridMultilevel"/>
    <w:tmpl w:val="77F47206"/>
    <w:lvl w:ilvl="0" w:tplc="871266B4">
      <w:numFmt w:val="bullet"/>
      <w:lvlText w:val="•"/>
      <w:lvlJc w:val="left"/>
      <w:pPr>
        <w:ind w:left="1440" w:hanging="720"/>
      </w:pPr>
      <w:rPr>
        <w:rFonts w:ascii="Cambria" w:eastAsiaTheme="minorEastAsia" w:hAnsi="Cambria" w:cs="Aria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70E845EF"/>
    <w:multiLevelType w:val="hybridMultilevel"/>
    <w:tmpl w:val="524A59A8"/>
    <w:lvl w:ilvl="0" w:tplc="4F828C34">
      <w:numFmt w:val="bullet"/>
      <w:lvlText w:val="•"/>
      <w:lvlJc w:val="left"/>
      <w:pPr>
        <w:ind w:left="1440" w:hanging="720"/>
      </w:pPr>
      <w:rPr>
        <w:rFonts w:ascii="Cambria" w:eastAsiaTheme="minorEastAsia" w:hAnsi="Cambria" w:cs="Aria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3" w15:restartNumberingAfterBreak="0">
    <w:nsid w:val="7C603FFC"/>
    <w:multiLevelType w:val="hybridMultilevel"/>
    <w:tmpl w:val="E19EE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13"/>
  </w:num>
  <w:num w:numId="6">
    <w:abstractNumId w:val="5"/>
  </w:num>
  <w:num w:numId="7">
    <w:abstractNumId w:val="10"/>
  </w:num>
  <w:num w:numId="8">
    <w:abstractNumId w:val="11"/>
  </w:num>
  <w:num w:numId="9">
    <w:abstractNumId w:val="7"/>
  </w:num>
  <w:num w:numId="10">
    <w:abstractNumId w:val="3"/>
  </w:num>
  <w:num w:numId="11">
    <w:abstractNumId w:val="12"/>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A"/>
    <w:rsid w:val="00181E00"/>
    <w:rsid w:val="001A0EA1"/>
    <w:rsid w:val="002801C5"/>
    <w:rsid w:val="00370507"/>
    <w:rsid w:val="0037288E"/>
    <w:rsid w:val="003E19C6"/>
    <w:rsid w:val="00443F37"/>
    <w:rsid w:val="004C63BA"/>
    <w:rsid w:val="00515AC0"/>
    <w:rsid w:val="0055579F"/>
    <w:rsid w:val="00574BE3"/>
    <w:rsid w:val="006755EF"/>
    <w:rsid w:val="00704F0B"/>
    <w:rsid w:val="00822153"/>
    <w:rsid w:val="0086351A"/>
    <w:rsid w:val="008F08A0"/>
    <w:rsid w:val="00943278"/>
    <w:rsid w:val="00962503"/>
    <w:rsid w:val="009A1533"/>
    <w:rsid w:val="009A289E"/>
    <w:rsid w:val="009B6AC7"/>
    <w:rsid w:val="00A4787C"/>
    <w:rsid w:val="00AB4D98"/>
    <w:rsid w:val="00AE5EE7"/>
    <w:rsid w:val="00B36161"/>
    <w:rsid w:val="00B9035B"/>
    <w:rsid w:val="00C47510"/>
    <w:rsid w:val="00C85568"/>
    <w:rsid w:val="00CC5971"/>
    <w:rsid w:val="00DB5250"/>
    <w:rsid w:val="00E37C9C"/>
    <w:rsid w:val="00E75584"/>
    <w:rsid w:val="00E834DF"/>
    <w:rsid w:val="00E94E1C"/>
    <w:rsid w:val="00FC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895CF"/>
  <w15:docId w15:val="{C54D7941-9CBB-4936-B364-FEF44CA8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BA"/>
  </w:style>
  <w:style w:type="paragraph" w:styleId="Footer">
    <w:name w:val="footer"/>
    <w:basedOn w:val="Normal"/>
    <w:link w:val="FooterChar"/>
    <w:uiPriority w:val="99"/>
    <w:unhideWhenUsed/>
    <w:rsid w:val="004C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BA"/>
  </w:style>
  <w:style w:type="paragraph" w:styleId="BalloonText">
    <w:name w:val="Balloon Text"/>
    <w:basedOn w:val="Normal"/>
    <w:link w:val="BalloonTextChar"/>
    <w:uiPriority w:val="99"/>
    <w:semiHidden/>
    <w:unhideWhenUsed/>
    <w:rsid w:val="004C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BA"/>
    <w:rPr>
      <w:rFonts w:ascii="Tahoma" w:hAnsi="Tahoma" w:cs="Tahoma"/>
      <w:sz w:val="16"/>
      <w:szCs w:val="16"/>
    </w:rPr>
  </w:style>
  <w:style w:type="paragraph" w:styleId="ListParagraph">
    <w:name w:val="List Paragraph"/>
    <w:basedOn w:val="Normal"/>
    <w:uiPriority w:val="34"/>
    <w:qFormat/>
    <w:rsid w:val="009A1533"/>
    <w:pPr>
      <w:spacing w:after="0" w:line="240" w:lineRule="auto"/>
      <w:ind w:left="720"/>
      <w:contextualSpacing/>
    </w:pPr>
    <w:rPr>
      <w:rFonts w:eastAsiaTheme="minorEastAsia"/>
      <w:sz w:val="24"/>
      <w:szCs w:val="24"/>
    </w:rPr>
  </w:style>
  <w:style w:type="table" w:styleId="TableGrid">
    <w:name w:val="Table Grid"/>
    <w:basedOn w:val="TableNormal"/>
    <w:uiPriority w:val="59"/>
    <w:rsid w:val="009A153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A90B8-993F-4864-9979-0C6DE2C8A4F2}"/>
</file>

<file path=customXml/itemProps2.xml><?xml version="1.0" encoding="utf-8"?>
<ds:datastoreItem xmlns:ds="http://schemas.openxmlformats.org/officeDocument/2006/customXml" ds:itemID="{E5462CBF-63B9-417D-B689-FFC36A089B9F}"/>
</file>

<file path=customXml/itemProps3.xml><?xml version="1.0" encoding="utf-8"?>
<ds:datastoreItem xmlns:ds="http://schemas.openxmlformats.org/officeDocument/2006/customXml" ds:itemID="{B9DE4BD8-311B-4EAC-8368-7FD045AED902}"/>
</file>

<file path=customXml/itemProps4.xml><?xml version="1.0" encoding="utf-8"?>
<ds:datastoreItem xmlns:ds="http://schemas.openxmlformats.org/officeDocument/2006/customXml" ds:itemID="{656CAEB6-40B0-4DA1-B1CD-7190BA543764}"/>
</file>

<file path=docProps/app.xml><?xml version="1.0" encoding="utf-8"?>
<Properties xmlns="http://schemas.openxmlformats.org/officeDocument/2006/extended-properties" xmlns:vt="http://schemas.openxmlformats.org/officeDocument/2006/docPropsVTypes">
  <Template>Normal</Template>
  <TotalTime>288</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Kamanalagi</dc:creator>
  <cp:lastModifiedBy>Donnie Defreitas</cp:lastModifiedBy>
  <cp:revision>7</cp:revision>
  <dcterms:created xsi:type="dcterms:W3CDTF">2017-11-27T09:49:00Z</dcterms:created>
  <dcterms:modified xsi:type="dcterms:W3CDTF">2017-11-30T03:01:00Z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