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9" w:type="dxa"/>
        <w:jc w:val="center"/>
        <w:tblLayout w:type="fixed"/>
        <w:tblLook w:val="00A0" w:firstRow="1" w:lastRow="0" w:firstColumn="1" w:lastColumn="0" w:noHBand="0" w:noVBand="0"/>
      </w:tblPr>
      <w:tblGrid>
        <w:gridCol w:w="2054"/>
        <w:gridCol w:w="6528"/>
        <w:gridCol w:w="1837"/>
      </w:tblGrid>
      <w:tr w:rsidR="00E9542B" w:rsidRPr="00E9542B" w:rsidTr="00F07B55">
        <w:trPr>
          <w:trHeight w:val="1539"/>
          <w:jc w:val="center"/>
        </w:trPr>
        <w:tc>
          <w:tcPr>
            <w:tcW w:w="2054" w:type="dxa"/>
            <w:vAlign w:val="center"/>
          </w:tcPr>
          <w:p w:rsidR="00E9542B" w:rsidRPr="00E9542B" w:rsidRDefault="00E9542B" w:rsidP="00E954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E9542B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67910" cy="752717"/>
                  <wp:effectExtent l="0" t="0" r="0" b="0"/>
                  <wp:docPr id="2" name="Picture 2" descr="C:\Users\modethes\Documents\WWWWorks\Admin\ITU Logo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ethes\Documents\WWWWorks\Admin\ITU Logo\sigleIT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6" cy="75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vAlign w:val="center"/>
          </w:tcPr>
          <w:p w:rsidR="00E9542B" w:rsidRPr="00E9542B" w:rsidRDefault="00E9542B" w:rsidP="00E9542B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outlineLvl w:val="0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 xml:space="preserve">ITU-TRAI </w:t>
            </w:r>
            <w:r w:rsidRPr="00E9542B">
              <w:rPr>
                <w:rFonts w:ascii="Trebuchet MS Bold" w:hAnsi="Trebuchet MS Bold" w:cs="Times New Roman Bold"/>
                <w:b/>
                <w:bCs/>
                <w:caps/>
                <w:color w:val="002060"/>
                <w:sz w:val="28"/>
                <w:szCs w:val="28"/>
                <w:lang w:val="en-GB"/>
              </w:rPr>
              <w:t>Training on Consumer Protection</w:t>
            </w: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</w:p>
          <w:p w:rsidR="00E9542B" w:rsidRPr="00E9542B" w:rsidRDefault="00E9542B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21 – 23 March 2016</w:t>
            </w:r>
          </w:p>
          <w:p w:rsidR="00E9542B" w:rsidRDefault="00E9542B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New Delhi, INDIA</w:t>
            </w:r>
          </w:p>
          <w:p w:rsidR="00120A1D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:rsidR="00120A1D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:rsidR="00120A1D" w:rsidRPr="00E9542B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BIOGRAPHY</w:t>
            </w:r>
          </w:p>
        </w:tc>
        <w:tc>
          <w:tcPr>
            <w:tcW w:w="1837" w:type="dxa"/>
            <w:vAlign w:val="center"/>
          </w:tcPr>
          <w:p w:rsidR="00E9542B" w:rsidRPr="00E9542B" w:rsidRDefault="00E9542B" w:rsidP="00E954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noProof/>
                <w:color w:val="002060"/>
                <w:sz w:val="28"/>
                <w:szCs w:val="28"/>
                <w:lang w:eastAsia="zh-CN"/>
              </w:rPr>
              <w:drawing>
                <wp:inline distT="0" distB="0" distL="0" distR="0">
                  <wp:extent cx="1181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4CB" w:rsidRDefault="003264CB">
      <w:pPr>
        <w:rPr>
          <w:rFonts w:ascii="Trebuchet MS" w:hAnsi="Trebuchet MS"/>
        </w:rPr>
      </w:pPr>
    </w:p>
    <w:p w:rsidR="00E9542B" w:rsidRPr="003264CB" w:rsidRDefault="00E9542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81"/>
        <w:gridCol w:w="5703"/>
      </w:tblGrid>
      <w:tr w:rsidR="00EE766A" w:rsidRPr="00F37CB9" w:rsidTr="00E9542B">
        <w:trPr>
          <w:tblCellSpacing w:w="7" w:type="dxa"/>
        </w:trPr>
        <w:tc>
          <w:tcPr>
            <w:tcW w:w="207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 xml:space="preserve">Session </w:t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090B44" w:rsidRPr="00F37CB9" w:rsidRDefault="00C9581A" w:rsidP="00353CA0">
            <w:pPr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Day 2 (22 March 2016)</w:t>
            </w:r>
          </w:p>
        </w:tc>
      </w:tr>
      <w:tr w:rsidR="00EE766A" w:rsidRPr="00F37CB9" w:rsidTr="00E9542B">
        <w:trPr>
          <w:tblCellSpacing w:w="7" w:type="dxa"/>
        </w:trPr>
        <w:tc>
          <w:tcPr>
            <w:tcW w:w="207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090B44" w:rsidRPr="00F37CB9" w:rsidRDefault="00C9581A" w:rsidP="00C9581A">
            <w:pPr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Regulatory Initiatives on Quality of Service and Consumer Protection in Thailand</w:t>
            </w:r>
          </w:p>
        </w:tc>
      </w:tr>
      <w:tr w:rsidR="00EE766A" w:rsidRPr="00F37CB9" w:rsidTr="00E9542B">
        <w:trPr>
          <w:tblCellSpacing w:w="7" w:type="dxa"/>
        </w:trPr>
        <w:tc>
          <w:tcPr>
            <w:tcW w:w="2075" w:type="pct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C9581A" w:rsidRDefault="00C9581A" w:rsidP="00353CA0">
            <w:pPr>
              <w:rPr>
                <w:rFonts w:ascii="Trebuchet MS" w:eastAsia="SimSun" w:hAnsi="Trebuchet MS"/>
                <w:noProof/>
                <w:color w:val="000000"/>
                <w:lang w:eastAsia="zh-CN"/>
              </w:rPr>
            </w:pPr>
          </w:p>
          <w:p w:rsidR="00EE766A" w:rsidRPr="00F37CB9" w:rsidRDefault="00C9581A" w:rsidP="00C9581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noProof/>
                <w:color w:val="000000"/>
                <w:lang w:eastAsia="zh-CN"/>
              </w:rPr>
              <w:drawing>
                <wp:inline distT="0" distB="0" distL="0" distR="0">
                  <wp:extent cx="1428750" cy="2019300"/>
                  <wp:effectExtent l="19050" t="0" r="0" b="0"/>
                  <wp:docPr id="1" name="Picture 0" descr="tako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or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353CA0" w:rsidRDefault="00353CA0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>[Name]</w:t>
            </w:r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proofErr w:type="spellStart"/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>Mr</w:t>
            </w:r>
            <w:proofErr w:type="spellEnd"/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proofErr w:type="spellStart"/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>Takorn</w:t>
            </w:r>
            <w:proofErr w:type="spellEnd"/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proofErr w:type="spellStart"/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>Tantasith</w:t>
            </w:r>
            <w:proofErr w:type="spellEnd"/>
          </w:p>
          <w:p w:rsidR="00353CA0" w:rsidRDefault="00353CA0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>[Title]</w:t>
            </w:r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 xml:space="preserve"> Secretary-General</w:t>
            </w:r>
          </w:p>
          <w:p w:rsidR="00411A06" w:rsidRPr="00F37CB9" w:rsidRDefault="00353CA0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>[Organization Name]</w:t>
            </w:r>
            <w:r w:rsidR="00411A06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r w:rsidR="00C9581A">
              <w:rPr>
                <w:rFonts w:ascii="Trebuchet MS" w:eastAsia="SimSun" w:hAnsi="Trebuchet MS"/>
                <w:color w:val="000000"/>
                <w:lang w:eastAsia="zh-CN"/>
              </w:rPr>
              <w:t>Office of the National Broadcasting and Telecommunications (NBTC), Thailand</w:t>
            </w:r>
          </w:p>
        </w:tc>
      </w:tr>
      <w:tr w:rsidR="00EE766A" w:rsidRPr="003264CB" w:rsidTr="00CA3DC2">
        <w:trPr>
          <w:trHeight w:val="7051"/>
          <w:tblCellSpacing w:w="7" w:type="dxa"/>
        </w:trPr>
        <w:tc>
          <w:tcPr>
            <w:tcW w:w="2075" w:type="pct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EE766A" w:rsidP="00411A06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D3302E" w:rsidRDefault="00D3302E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Mr </w:t>
            </w:r>
            <w:proofErr w:type="spellStart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>Takorn</w:t>
            </w:r>
            <w:proofErr w:type="spellEnd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proofErr w:type="spellStart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>Tantasith</w:t>
            </w:r>
            <w:proofErr w:type="spellEnd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is the first and current Secretary-General of the National Broadcasting and Telecommunications Commission (NBTC), Thailand. Since 2012, </w:t>
            </w:r>
            <w:proofErr w:type="spellStart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>Takorn</w:t>
            </w:r>
            <w:proofErr w:type="spellEnd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has overseen the Office of the NBTC through many regulatory milestones amidst the challenging, fast-</w:t>
            </w:r>
            <w:r w:rsidR="00CA3DC2">
              <w:rPr>
                <w:rFonts w:ascii="Trebuchet MS" w:eastAsia="SimSun" w:hAnsi="Trebuchet MS"/>
                <w:color w:val="000000"/>
                <w:lang w:val="en-GB" w:eastAsia="zh-CN"/>
              </w:rPr>
              <w:t>changing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environment of the Thai ICT sector. Recent notable achievements</w:t>
            </w:r>
            <w:r w:rsidR="00C47B5C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of the NBTC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include holding t</w:t>
            </w:r>
            <w:r w:rsidR="00C47B5C">
              <w:rPr>
                <w:rFonts w:ascii="Trebuchet MS" w:eastAsia="SimSun" w:hAnsi="Trebuchet MS"/>
                <w:color w:val="000000"/>
                <w:lang w:val="en-GB" w:eastAsia="zh-CN"/>
              </w:rPr>
              <w:t>he country’s first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spectrum auctions</w:t>
            </w:r>
            <w:r w:rsidR="00C47B5C">
              <w:rPr>
                <w:rFonts w:ascii="Trebuchet MS" w:eastAsia="SimSun" w:hAnsi="Trebuchet MS"/>
                <w:color w:val="000000"/>
                <w:lang w:val="en-GB" w:eastAsia="zh-CN"/>
              </w:rPr>
              <w:t>, registering mobile SIM cards nationwide, and starting the transition from analogue to digital broadcasting.</w:t>
            </w:r>
          </w:p>
          <w:p w:rsidR="00D3302E" w:rsidRPr="00D3302E" w:rsidRDefault="00D3302E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</w:p>
          <w:p w:rsidR="00D3302E" w:rsidRDefault="00D3302E" w:rsidP="00D3302E">
            <w:pPr>
              <w:rPr>
                <w:rFonts w:ascii="Trebuchet MS" w:hAnsi="Trebuchet MS" w:cs="TH SarabunPSK"/>
              </w:rPr>
            </w:pPr>
            <w:r w:rsidRPr="00D3302E">
              <w:rPr>
                <w:rFonts w:ascii="Trebuchet MS" w:hAnsi="Trebuchet MS" w:cs="TH SarabunPSK"/>
              </w:rPr>
              <w:t xml:space="preserve">Prior to joining the Office of the NBTC, </w:t>
            </w:r>
            <w:proofErr w:type="spellStart"/>
            <w:r w:rsidRPr="00D3302E">
              <w:rPr>
                <w:rFonts w:ascii="Trebuchet MS" w:hAnsi="Trebuchet MS" w:cs="TH SarabunPSK"/>
              </w:rPr>
              <w:t>Takorn</w:t>
            </w:r>
            <w:proofErr w:type="spellEnd"/>
            <w:r w:rsidRPr="00D3302E">
              <w:rPr>
                <w:rFonts w:ascii="Trebuchet MS" w:hAnsi="Trebuchet MS" w:cs="TH SarabunPSK"/>
              </w:rPr>
              <w:t xml:space="preserve"> </w:t>
            </w:r>
            <w:r w:rsidR="00CA3DC2">
              <w:rPr>
                <w:rFonts w:ascii="Trebuchet MS" w:hAnsi="Trebuchet MS" w:cs="TH SarabunPSK"/>
              </w:rPr>
              <w:t>held senior positions</w:t>
            </w:r>
            <w:r w:rsidRPr="00D3302E">
              <w:rPr>
                <w:rFonts w:ascii="Trebuchet MS" w:hAnsi="Trebuchet MS" w:cs="TH SarabunPSK"/>
              </w:rPr>
              <w:t xml:space="preserve"> in the Bureau of the Budget and the Office of the Auditor General of Thailand. He </w:t>
            </w:r>
            <w:r w:rsidR="00CA3DC2">
              <w:rPr>
                <w:rFonts w:ascii="Trebuchet MS" w:hAnsi="Trebuchet MS" w:cs="TH SarabunPSK"/>
              </w:rPr>
              <w:t>also served</w:t>
            </w:r>
            <w:r w:rsidRPr="00D3302E">
              <w:rPr>
                <w:rFonts w:ascii="Trebuchet MS" w:hAnsi="Trebuchet MS" w:cs="TH SarabunPSK"/>
              </w:rPr>
              <w:t xml:space="preserve"> as an advisor to the Senate House Committee of Communications. </w:t>
            </w:r>
          </w:p>
          <w:p w:rsidR="00C47B5C" w:rsidRDefault="00C47B5C" w:rsidP="00D3302E">
            <w:pPr>
              <w:rPr>
                <w:rFonts w:ascii="Trebuchet MS" w:hAnsi="Trebuchet MS" w:cs="TH SarabunPSK"/>
              </w:rPr>
            </w:pPr>
          </w:p>
          <w:p w:rsidR="00D3302E" w:rsidRPr="00D3302E" w:rsidRDefault="00D3302E" w:rsidP="00CA3DC2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proofErr w:type="spellStart"/>
            <w:r>
              <w:rPr>
                <w:rFonts w:ascii="Trebuchet MS" w:hAnsi="Trebuchet MS" w:cs="TH SarabunPSK"/>
              </w:rPr>
              <w:t>Takorn</w:t>
            </w:r>
            <w:proofErr w:type="spellEnd"/>
            <w:r>
              <w:rPr>
                <w:rFonts w:ascii="Trebuchet MS" w:hAnsi="Trebuchet MS" w:cs="TH SarabunPSK"/>
              </w:rPr>
              <w:t xml:space="preserve"> holds a law degree from </w:t>
            </w:r>
            <w:proofErr w:type="spellStart"/>
            <w:proofErr w:type="gramStart"/>
            <w:r>
              <w:rPr>
                <w:rFonts w:ascii="Trebuchet MS" w:hAnsi="Trebuchet MS" w:cs="TH SarabunPSK"/>
              </w:rPr>
              <w:t>Ramkhamhaeng</w:t>
            </w:r>
            <w:proofErr w:type="spellEnd"/>
            <w:r>
              <w:rPr>
                <w:rFonts w:ascii="Trebuchet MS" w:hAnsi="Trebuchet MS" w:cs="TH SarabunPSK"/>
              </w:rPr>
              <w:t xml:space="preserve">  University</w:t>
            </w:r>
            <w:proofErr w:type="gramEnd"/>
            <w:r>
              <w:rPr>
                <w:rFonts w:ascii="Trebuchet MS" w:hAnsi="Trebuchet MS" w:cs="TH SarabunPSK"/>
              </w:rPr>
              <w:t xml:space="preserve">, Thailand, and a master’s degree in Public Administration from Detroit University, USA. In 2013, </w:t>
            </w:r>
            <w:r w:rsidR="00CA3DC2">
              <w:rPr>
                <w:rFonts w:ascii="Trebuchet MS" w:hAnsi="Trebuchet MS" w:cs="TH SarabunPSK"/>
              </w:rPr>
              <w:t>he</w:t>
            </w:r>
            <w:r>
              <w:rPr>
                <w:rFonts w:ascii="Trebuchet MS" w:hAnsi="Trebuchet MS" w:cs="TH SarabunPSK"/>
              </w:rPr>
              <w:t xml:space="preserve"> was awarded an honorary doctorate in Public Administration from the Prince of </w:t>
            </w:r>
            <w:proofErr w:type="spellStart"/>
            <w:r>
              <w:rPr>
                <w:rFonts w:ascii="Trebuchet MS" w:hAnsi="Trebuchet MS" w:cs="TH SarabunPSK"/>
              </w:rPr>
              <w:t>Songkla</w:t>
            </w:r>
            <w:proofErr w:type="spellEnd"/>
            <w:r>
              <w:rPr>
                <w:rFonts w:ascii="Trebuchet MS" w:hAnsi="Trebuchet MS" w:cs="TH SarabunPSK"/>
              </w:rPr>
              <w:t xml:space="preserve"> University, Thailand.</w:t>
            </w:r>
          </w:p>
        </w:tc>
      </w:tr>
    </w:tbl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3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27" w:rsidRDefault="00A63F27">
      <w:r>
        <w:separator/>
      </w:r>
    </w:p>
  </w:endnote>
  <w:endnote w:type="continuationSeparator" w:id="0">
    <w:p w:rsidR="00A63F27" w:rsidRDefault="00A6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roman"/>
    <w:pitch w:val="default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27" w:rsidRDefault="00A63F27">
      <w:r>
        <w:separator/>
      </w:r>
    </w:p>
  </w:footnote>
  <w:footnote w:type="continuationSeparator" w:id="0">
    <w:p w:rsidR="00A63F27" w:rsidRDefault="00A6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C449B0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C449B0">
      <w:rPr>
        <w:sz w:val="18"/>
      </w:rPr>
      <w:fldChar w:fldCharType="separate"/>
    </w:r>
    <w:r w:rsidR="00CA3DC2">
      <w:rPr>
        <w:noProof/>
        <w:sz w:val="18"/>
      </w:rPr>
      <w:t>2</w:t>
    </w:r>
    <w:r w:rsidR="00C449B0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D6"/>
    <w:rsid w:val="00006691"/>
    <w:rsid w:val="00011F82"/>
    <w:rsid w:val="00036F74"/>
    <w:rsid w:val="00044918"/>
    <w:rsid w:val="00090B44"/>
    <w:rsid w:val="00097424"/>
    <w:rsid w:val="000F7487"/>
    <w:rsid w:val="00120A1D"/>
    <w:rsid w:val="001317E2"/>
    <w:rsid w:val="00182225"/>
    <w:rsid w:val="002857DC"/>
    <w:rsid w:val="002B59B1"/>
    <w:rsid w:val="002E0E23"/>
    <w:rsid w:val="002E599F"/>
    <w:rsid w:val="002F7205"/>
    <w:rsid w:val="003264CB"/>
    <w:rsid w:val="003402F3"/>
    <w:rsid w:val="00353CA0"/>
    <w:rsid w:val="00354D27"/>
    <w:rsid w:val="00374BC8"/>
    <w:rsid w:val="003A3E1B"/>
    <w:rsid w:val="00411A06"/>
    <w:rsid w:val="004239FC"/>
    <w:rsid w:val="004E16FC"/>
    <w:rsid w:val="004F7A0F"/>
    <w:rsid w:val="005105C9"/>
    <w:rsid w:val="00510CA9"/>
    <w:rsid w:val="00517458"/>
    <w:rsid w:val="00547C8F"/>
    <w:rsid w:val="005B0478"/>
    <w:rsid w:val="005D4D64"/>
    <w:rsid w:val="006A3A4A"/>
    <w:rsid w:val="006F6C4C"/>
    <w:rsid w:val="00766311"/>
    <w:rsid w:val="007708D7"/>
    <w:rsid w:val="007F4AA4"/>
    <w:rsid w:val="008232D7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3F27"/>
    <w:rsid w:val="00A640D3"/>
    <w:rsid w:val="00AE214A"/>
    <w:rsid w:val="00AF16F5"/>
    <w:rsid w:val="00AF373B"/>
    <w:rsid w:val="00B01929"/>
    <w:rsid w:val="00B620F0"/>
    <w:rsid w:val="00BD06D7"/>
    <w:rsid w:val="00C2639B"/>
    <w:rsid w:val="00C449B0"/>
    <w:rsid w:val="00C47B5C"/>
    <w:rsid w:val="00C51FA5"/>
    <w:rsid w:val="00C8543E"/>
    <w:rsid w:val="00C9581A"/>
    <w:rsid w:val="00CA2696"/>
    <w:rsid w:val="00CA3DC2"/>
    <w:rsid w:val="00D3302E"/>
    <w:rsid w:val="00D834AA"/>
    <w:rsid w:val="00E06658"/>
    <w:rsid w:val="00E54A4E"/>
    <w:rsid w:val="00E66A8B"/>
    <w:rsid w:val="00E91E24"/>
    <w:rsid w:val="00E9542B"/>
    <w:rsid w:val="00EE766A"/>
    <w:rsid w:val="00F10F98"/>
    <w:rsid w:val="00F36FCD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2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2D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2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EB018-810C-47D6-82D2-3D98CCED8985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1393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Modethes, Porntip</cp:lastModifiedBy>
  <cp:revision>2</cp:revision>
  <cp:lastPrinted>2016-03-15T02:48:00Z</cp:lastPrinted>
  <dcterms:created xsi:type="dcterms:W3CDTF">2016-03-15T02:49:00Z</dcterms:created>
  <dcterms:modified xsi:type="dcterms:W3CDTF">2016-03-15T02:49:00Z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0x010100202BB634496EAB498A685EA26DE87D9A</vt:lpwstr>
  </property>
</Properties>
</file>