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D4786F" w14:paraId="0043AC80" w14:textId="77777777" w:rsidTr="00AD3606">
        <w:trPr>
          <w:cantSplit/>
          <w:trHeight w:val="23"/>
        </w:trPr>
        <w:tc>
          <w:tcPr>
            <w:tcW w:w="3969" w:type="dxa"/>
            <w:vMerge w:val="restart"/>
            <w:tcMar>
              <w:left w:w="0" w:type="dxa"/>
            </w:tcMar>
          </w:tcPr>
          <w:p w14:paraId="60A806D3" w14:textId="6316C87D" w:rsidR="00AD3606" w:rsidRPr="00D4786F"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5C19FB74" w:rsidR="00AD3606" w:rsidRPr="00D4786F" w:rsidRDefault="00AD3606" w:rsidP="00472BAD">
            <w:pPr>
              <w:tabs>
                <w:tab w:val="left" w:pos="851"/>
              </w:tabs>
              <w:spacing w:before="0" w:line="240" w:lineRule="atLeast"/>
              <w:jc w:val="right"/>
              <w:rPr>
                <w:b/>
              </w:rPr>
            </w:pPr>
            <w:r w:rsidRPr="00D4786F">
              <w:rPr>
                <w:b/>
              </w:rPr>
              <w:t>Document C</w:t>
            </w:r>
            <w:r w:rsidR="00A52C84" w:rsidRPr="00D4786F">
              <w:rPr>
                <w:b/>
              </w:rPr>
              <w:t>WG-</w:t>
            </w:r>
            <w:r w:rsidR="00891503" w:rsidRPr="00D4786F">
              <w:rPr>
                <w:b/>
              </w:rPr>
              <w:t>COP</w:t>
            </w:r>
            <w:r w:rsidR="00A52C84" w:rsidRPr="00D4786F">
              <w:rPr>
                <w:b/>
              </w:rPr>
              <w:t>-</w:t>
            </w:r>
            <w:r w:rsidR="00BC54CD" w:rsidRPr="00D4786F">
              <w:rPr>
                <w:b/>
              </w:rPr>
              <w:t>2</w:t>
            </w:r>
            <w:r w:rsidR="00AB31DE" w:rsidRPr="00D4786F">
              <w:rPr>
                <w:b/>
              </w:rPr>
              <w:t>1</w:t>
            </w:r>
            <w:r w:rsidRPr="00D4786F">
              <w:rPr>
                <w:b/>
              </w:rPr>
              <w:t>/</w:t>
            </w:r>
            <w:r w:rsidR="00D4786F" w:rsidRPr="00D4786F">
              <w:rPr>
                <w:b/>
              </w:rPr>
              <w:t>2</w:t>
            </w:r>
            <w:r w:rsidR="00895E47" w:rsidRPr="00D4786F">
              <w:rPr>
                <w:b/>
              </w:rPr>
              <w:t>-E</w:t>
            </w:r>
          </w:p>
        </w:tc>
      </w:tr>
      <w:tr w:rsidR="00AD3606" w:rsidRPr="00D4786F" w14:paraId="789B45BA" w14:textId="77777777" w:rsidTr="00AD3606">
        <w:trPr>
          <w:cantSplit/>
        </w:trPr>
        <w:tc>
          <w:tcPr>
            <w:tcW w:w="3969" w:type="dxa"/>
            <w:vMerge/>
          </w:tcPr>
          <w:p w14:paraId="3F3D4E17" w14:textId="77777777" w:rsidR="00AD3606" w:rsidRPr="00D4786F"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7D57B11C" w:rsidR="00AD3606" w:rsidRPr="00D4786F" w:rsidRDefault="00D4786F" w:rsidP="00AD3606">
            <w:pPr>
              <w:tabs>
                <w:tab w:val="left" w:pos="851"/>
              </w:tabs>
              <w:spacing w:before="0"/>
              <w:jc w:val="right"/>
              <w:rPr>
                <w:b/>
              </w:rPr>
            </w:pPr>
            <w:r w:rsidRPr="00D4786F">
              <w:rPr>
                <w:b/>
              </w:rPr>
              <w:t>30</w:t>
            </w:r>
            <w:r w:rsidR="00895E47" w:rsidRPr="00D4786F">
              <w:rPr>
                <w:b/>
              </w:rPr>
              <w:t xml:space="preserve"> </w:t>
            </w:r>
            <w:r w:rsidR="00AB31DE" w:rsidRPr="00D4786F">
              <w:rPr>
                <w:b/>
              </w:rPr>
              <w:t>August 2024</w:t>
            </w:r>
          </w:p>
        </w:tc>
      </w:tr>
      <w:tr w:rsidR="00AD3606" w:rsidRPr="00D4786F" w14:paraId="58A84C4A" w14:textId="77777777" w:rsidTr="00AD3606">
        <w:trPr>
          <w:cantSplit/>
          <w:trHeight w:val="23"/>
        </w:trPr>
        <w:tc>
          <w:tcPr>
            <w:tcW w:w="3969" w:type="dxa"/>
            <w:vMerge/>
          </w:tcPr>
          <w:p w14:paraId="77CEDDAA" w14:textId="77777777" w:rsidR="00AD3606" w:rsidRPr="00D4786F"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D4786F" w:rsidRDefault="00891503" w:rsidP="00AD3606">
            <w:pPr>
              <w:tabs>
                <w:tab w:val="left" w:pos="851"/>
              </w:tabs>
              <w:spacing w:before="0" w:line="240" w:lineRule="atLeast"/>
              <w:jc w:val="right"/>
              <w:rPr>
                <w:b/>
              </w:rPr>
            </w:pPr>
            <w:r w:rsidRPr="00D4786F">
              <w:rPr>
                <w:b/>
              </w:rPr>
              <w:t>English only</w:t>
            </w:r>
          </w:p>
        </w:tc>
      </w:tr>
      <w:tr w:rsidR="00472BAD" w:rsidRPr="00D4786F" w14:paraId="12C5EF5F" w14:textId="77777777" w:rsidTr="00AD3606">
        <w:trPr>
          <w:cantSplit/>
          <w:trHeight w:val="23"/>
        </w:trPr>
        <w:tc>
          <w:tcPr>
            <w:tcW w:w="3969" w:type="dxa"/>
          </w:tcPr>
          <w:p w14:paraId="4B839BA2" w14:textId="77777777" w:rsidR="00472BAD" w:rsidRPr="00D4786F" w:rsidRDefault="00472BAD" w:rsidP="00AD3606">
            <w:pPr>
              <w:tabs>
                <w:tab w:val="left" w:pos="851"/>
              </w:tabs>
              <w:spacing w:line="240" w:lineRule="atLeast"/>
              <w:rPr>
                <w:b/>
              </w:rPr>
            </w:pPr>
          </w:p>
        </w:tc>
        <w:tc>
          <w:tcPr>
            <w:tcW w:w="5245" w:type="dxa"/>
          </w:tcPr>
          <w:p w14:paraId="12F66D25" w14:textId="77777777" w:rsidR="00472BAD" w:rsidRPr="00D4786F" w:rsidRDefault="00472BAD" w:rsidP="00AD3606">
            <w:pPr>
              <w:tabs>
                <w:tab w:val="left" w:pos="851"/>
              </w:tabs>
              <w:spacing w:before="0" w:line="240" w:lineRule="atLeast"/>
              <w:jc w:val="right"/>
              <w:rPr>
                <w:b/>
              </w:rPr>
            </w:pPr>
          </w:p>
        </w:tc>
      </w:tr>
      <w:tr w:rsidR="00AD3606" w:rsidRPr="00D4786F" w14:paraId="27000B2A" w14:textId="77777777" w:rsidTr="00AD3606">
        <w:trPr>
          <w:cantSplit/>
        </w:trPr>
        <w:tc>
          <w:tcPr>
            <w:tcW w:w="9214" w:type="dxa"/>
            <w:gridSpan w:val="2"/>
            <w:tcMar>
              <w:left w:w="0" w:type="dxa"/>
            </w:tcMar>
          </w:tcPr>
          <w:p w14:paraId="4E7CDB90" w14:textId="0B40FAD7" w:rsidR="00AD3606" w:rsidRPr="00D4786F" w:rsidRDefault="00E45623" w:rsidP="004405AB">
            <w:pPr>
              <w:pStyle w:val="Source"/>
              <w:framePr w:hSpace="0" w:wrap="auto" w:vAnchor="margin" w:hAnchor="text" w:xAlign="left" w:yAlign="inline"/>
            </w:pPr>
            <w:bookmarkStart w:id="8" w:name="dsource" w:colFirst="0" w:colLast="0"/>
            <w:bookmarkEnd w:id="7"/>
            <w:r>
              <w:t>Report</w:t>
            </w:r>
            <w:r w:rsidR="00AD3606" w:rsidRPr="00D4786F">
              <w:t xml:space="preserve"> by the </w:t>
            </w:r>
            <w:r w:rsidR="00A52C84" w:rsidRPr="00D4786F">
              <w:t>secretariat</w:t>
            </w:r>
          </w:p>
        </w:tc>
      </w:tr>
      <w:tr w:rsidR="00AD3606" w:rsidRPr="00D4786F" w14:paraId="2340750D" w14:textId="77777777" w:rsidTr="00AD3606">
        <w:trPr>
          <w:cantSplit/>
        </w:trPr>
        <w:tc>
          <w:tcPr>
            <w:tcW w:w="9214" w:type="dxa"/>
            <w:gridSpan w:val="2"/>
            <w:tcMar>
              <w:left w:w="0" w:type="dxa"/>
            </w:tcMar>
          </w:tcPr>
          <w:p w14:paraId="47B91AA8" w14:textId="11669C07" w:rsidR="00AD3606" w:rsidRPr="00D4786F" w:rsidRDefault="00E91FBE" w:rsidP="00E45623">
            <w:pPr>
              <w:pStyle w:val="Subtitle1"/>
              <w:framePr w:hSpace="0" w:wrap="auto" w:xAlign="left" w:yAlign="inline"/>
            </w:pPr>
            <w:bookmarkStart w:id="9" w:name="dtitle1" w:colFirst="0" w:colLast="0"/>
            <w:bookmarkEnd w:id="8"/>
            <w:r w:rsidRPr="00D4786F">
              <w:t>UPDATE ON THE ITU CHILD ONLINE PROTECTION INITIATIVE AND THE COP GLOBAL PROGRAMME</w:t>
            </w:r>
          </w:p>
        </w:tc>
      </w:tr>
      <w:tr w:rsidR="00AD3606" w:rsidRPr="00D4786F"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D4786F" w:rsidRDefault="00F16BAB" w:rsidP="00B84436">
            <w:pPr>
              <w:pStyle w:val="Headingb"/>
              <w:rPr>
                <w:sz w:val="26"/>
                <w:szCs w:val="26"/>
              </w:rPr>
            </w:pPr>
            <w:r w:rsidRPr="00D4786F">
              <w:rPr>
                <w:sz w:val="26"/>
                <w:szCs w:val="26"/>
              </w:rPr>
              <w:t>Purpose</w:t>
            </w:r>
          </w:p>
          <w:p w14:paraId="1D617951" w14:textId="77777777" w:rsidR="00895E47" w:rsidRPr="00D4786F" w:rsidRDefault="00895E47" w:rsidP="00895E47">
            <w:pPr>
              <w:rPr>
                <w:rFonts w:asciiTheme="minorHAnsi" w:hAnsiTheme="minorHAnsi" w:cstheme="minorHAnsi"/>
              </w:rPr>
            </w:pPr>
            <w:r w:rsidRPr="00D4786F">
              <w:rPr>
                <w:rFonts w:asciiTheme="minorHAnsi" w:hAnsiTheme="minorHAnsi" w:cstheme="minorHAnsi"/>
              </w:rPr>
              <w:t>This report is intended to provide an overview on the status of the COP Initiative and the implementation of the COP Guidelines</w:t>
            </w:r>
            <w:r w:rsidRPr="00D4786F">
              <w:rPr>
                <w:rFonts w:asciiTheme="minorHAnsi" w:hAnsiTheme="minorHAnsi" w:cstheme="minorHAnsi"/>
                <w:lang w:eastAsia="zh-CN"/>
              </w:rPr>
              <w:t>.</w:t>
            </w:r>
          </w:p>
          <w:p w14:paraId="5076D5C4" w14:textId="28F00572" w:rsidR="00AD3606" w:rsidRPr="00D4786F" w:rsidRDefault="00AD3606" w:rsidP="00B84436">
            <w:pPr>
              <w:pStyle w:val="Headingb"/>
              <w:rPr>
                <w:b w:val="0"/>
                <w:bCs/>
                <w:sz w:val="26"/>
                <w:szCs w:val="26"/>
              </w:rPr>
            </w:pPr>
            <w:r w:rsidRPr="00D4786F">
              <w:rPr>
                <w:sz w:val="26"/>
                <w:szCs w:val="26"/>
              </w:rPr>
              <w:t>Action required</w:t>
            </w:r>
          </w:p>
          <w:p w14:paraId="53A776F1" w14:textId="4358140D" w:rsidR="00891503" w:rsidRPr="00D4786F" w:rsidRDefault="00895E47" w:rsidP="00895E47">
            <w:pPr>
              <w:spacing w:before="160"/>
              <w:rPr>
                <w:rFonts w:asciiTheme="minorHAnsi" w:hAnsiTheme="minorHAnsi" w:cstheme="minorBidi"/>
              </w:rPr>
            </w:pPr>
            <w:r w:rsidRPr="00D4786F">
              <w:rPr>
                <w:rFonts w:asciiTheme="minorHAnsi" w:hAnsiTheme="minorHAnsi" w:cstheme="minorBidi"/>
              </w:rPr>
              <w:t xml:space="preserve">The Council Working Group on </w:t>
            </w:r>
            <w:r w:rsidR="00E45623" w:rsidRPr="00D4786F">
              <w:rPr>
                <w:rFonts w:asciiTheme="minorHAnsi" w:hAnsiTheme="minorHAnsi" w:cstheme="minorBidi"/>
              </w:rPr>
              <w:t xml:space="preserve">child online protection </w:t>
            </w:r>
            <w:r w:rsidRPr="00D4786F">
              <w:rPr>
                <w:rFonts w:asciiTheme="minorHAnsi" w:hAnsiTheme="minorHAnsi" w:cstheme="minorBidi"/>
              </w:rPr>
              <w:t>is invited to</w:t>
            </w:r>
            <w:r w:rsidRPr="00D4786F">
              <w:rPr>
                <w:rFonts w:asciiTheme="minorHAnsi" w:hAnsiTheme="minorHAnsi" w:cstheme="minorBidi"/>
                <w:b/>
                <w:bCs/>
              </w:rPr>
              <w:t xml:space="preserve"> note</w:t>
            </w:r>
            <w:r w:rsidRPr="00D4786F">
              <w:rPr>
                <w:rFonts w:asciiTheme="minorHAnsi" w:hAnsiTheme="minorHAnsi" w:cstheme="minorBidi"/>
              </w:rPr>
              <w:t xml:space="preserve"> this report.</w:t>
            </w:r>
          </w:p>
          <w:p w14:paraId="65107921" w14:textId="77777777" w:rsidR="00B84436" w:rsidRPr="00D4786F" w:rsidRDefault="00B84436">
            <w:r w:rsidRPr="00D4786F">
              <w:t>_______________</w:t>
            </w:r>
          </w:p>
          <w:p w14:paraId="00DEE14C" w14:textId="77777777" w:rsidR="00AD3606" w:rsidRPr="00D4786F" w:rsidRDefault="00AD3606" w:rsidP="00B84436">
            <w:pPr>
              <w:pStyle w:val="Headingb"/>
              <w:rPr>
                <w:sz w:val="26"/>
                <w:szCs w:val="26"/>
              </w:rPr>
            </w:pPr>
            <w:r w:rsidRPr="00D4786F">
              <w:rPr>
                <w:sz w:val="26"/>
                <w:szCs w:val="26"/>
              </w:rPr>
              <w:t>References</w:t>
            </w:r>
          </w:p>
          <w:p w14:paraId="0175CD6C" w14:textId="04FEAB4B" w:rsidR="00AD3606" w:rsidRPr="00D4786F" w:rsidRDefault="004405AB" w:rsidP="00F16BAB">
            <w:pPr>
              <w:spacing w:after="160"/>
              <w:rPr>
                <w:i/>
                <w:iCs/>
                <w:sz w:val="22"/>
                <w:szCs w:val="22"/>
              </w:rPr>
            </w:pPr>
            <w:hyperlink r:id="rId11" w:history="1">
              <w:r w:rsidRPr="00D4786F">
                <w:rPr>
                  <w:rStyle w:val="Hyperlink"/>
                  <w:i/>
                  <w:iCs/>
                  <w:sz w:val="22"/>
                  <w:szCs w:val="22"/>
                </w:rPr>
                <w:t>CWG-COP website</w:t>
              </w:r>
            </w:hyperlink>
            <w:r w:rsidRPr="00D4786F">
              <w:rPr>
                <w:i/>
                <w:iCs/>
                <w:sz w:val="22"/>
                <w:szCs w:val="22"/>
              </w:rPr>
              <w:t>;</w:t>
            </w:r>
            <w:r w:rsidR="00895E47" w:rsidRPr="00D4786F">
              <w:rPr>
                <w:i/>
                <w:iCs/>
                <w:sz w:val="22"/>
                <w:szCs w:val="22"/>
              </w:rPr>
              <w:t xml:space="preserve"> </w:t>
            </w:r>
            <w:hyperlink r:id="rId12" w:history="1">
              <w:r w:rsidR="00D4786F">
                <w:rPr>
                  <w:rStyle w:val="Hyperlink"/>
                  <w:rFonts w:asciiTheme="minorHAnsi" w:hAnsiTheme="minorHAnsi" w:cstheme="minorHAnsi"/>
                  <w:i/>
                  <w:iCs/>
                  <w:sz w:val="22"/>
                  <w:szCs w:val="22"/>
                </w:rPr>
                <w:t>ITU-D Cybersecurity - COP</w:t>
              </w:r>
            </w:hyperlink>
          </w:p>
        </w:tc>
      </w:tr>
    </w:tbl>
    <w:p w14:paraId="4CDB8B60" w14:textId="77777777" w:rsidR="00E227F3" w:rsidRPr="00D4786F"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D4786F"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D4786F">
        <w:br w:type="page"/>
      </w:r>
    </w:p>
    <w:bookmarkEnd w:id="5"/>
    <w:bookmarkEnd w:id="10"/>
    <w:p w14:paraId="7C895047" w14:textId="77777777" w:rsidR="00A90102" w:rsidRPr="00D4786F" w:rsidRDefault="00A90102" w:rsidP="00A90102">
      <w:r w:rsidRPr="00D4786F">
        <w:lastRenderedPageBreak/>
        <w:t xml:space="preserve">The Child Online Protection initiative aims to protect children from online risks and potential </w:t>
      </w:r>
      <w:r w:rsidRPr="00D4786F">
        <w:rPr>
          <w:spacing w:val="4"/>
        </w:rPr>
        <w:t>harm and empower them to fully benefit from online opportunities through research,</w:t>
      </w:r>
      <w:r w:rsidRPr="00D4786F">
        <w:t xml:space="preserve"> in-country policy support, capacity building and technical tools.</w:t>
      </w:r>
    </w:p>
    <w:p w14:paraId="3AD99BDE" w14:textId="76848890" w:rsidR="00A90102" w:rsidRPr="00D4786F" w:rsidRDefault="00A90102" w:rsidP="00A90102">
      <w:r w:rsidRPr="00D4786F">
        <w:t>ITU Child Online Protection serves as global leadership platform with a multi-stakeholder community with proven expertise and successful technical assistance record of more than 13</w:t>
      </w:r>
      <w:r w:rsidR="00A96025" w:rsidRPr="00D4786F">
        <w:t> </w:t>
      </w:r>
      <w:r w:rsidRPr="00D4786F">
        <w:t>years on child online protection activities worldwide. Through a strong network of more than 80 knowledge partners from</w:t>
      </w:r>
      <w:r w:rsidR="00A96025" w:rsidRPr="00D4786F">
        <w:t xml:space="preserve"> </w:t>
      </w:r>
      <w:r w:rsidRPr="00D4786F">
        <w:t>leading institutions active in the ICT and child rights sectors, the Child Online Protection initiative provides resources and tools that support children’s and their families’ digital skills development and provide support to industry and government stakeholders in the development of corporate and national child online protection strategies and frameworks allowing countries to provide a safer online environment for children.</w:t>
      </w:r>
    </w:p>
    <w:p w14:paraId="493D7907" w14:textId="7585B79D" w:rsidR="00A90102" w:rsidRPr="00D4786F" w:rsidRDefault="00A90102" w:rsidP="00A90102">
      <w:pPr>
        <w:pStyle w:val="Heading1"/>
      </w:pPr>
      <w:r w:rsidRPr="00D4786F">
        <w:t>1</w:t>
      </w:r>
      <w:r w:rsidRPr="00D4786F">
        <w:tab/>
        <w:t xml:space="preserve">As part of </w:t>
      </w:r>
      <w:hyperlink r:id="rId13" w:history="1">
        <w:r w:rsidRPr="00D4786F">
          <w:rPr>
            <w:rStyle w:val="Hyperlink"/>
            <w:rFonts w:asciiTheme="minorHAnsi" w:hAnsiTheme="minorHAnsi" w:cstheme="minorBidi"/>
            <w:bCs/>
          </w:rPr>
          <w:t>ITU’s global programme (2021-2024)</w:t>
        </w:r>
      </w:hyperlink>
      <w:r w:rsidRPr="00D4786F">
        <w:t>, between January 2024 and September 2024, the following activities were undertaken</w:t>
      </w:r>
    </w:p>
    <w:p w14:paraId="5658D22A" w14:textId="60BFB622" w:rsidR="00A90102" w:rsidRPr="00D4786F" w:rsidRDefault="00A90102" w:rsidP="00A90102">
      <w:pPr>
        <w:pStyle w:val="Heading2"/>
      </w:pPr>
      <w:r w:rsidRPr="00D4786F">
        <w:t>1.1</w:t>
      </w:r>
      <w:r w:rsidRPr="00D4786F">
        <w:tab/>
        <w:t>Capacity building</w:t>
      </w:r>
    </w:p>
    <w:p w14:paraId="2883802F" w14:textId="53A1AAB0" w:rsidR="00A90102" w:rsidRPr="00D4786F" w:rsidRDefault="00A90102" w:rsidP="00A90102">
      <w:pPr>
        <w:pStyle w:val="enumlev1"/>
      </w:pPr>
      <w:r w:rsidRPr="00D4786F">
        <w:t>–</w:t>
      </w:r>
      <w:r w:rsidRPr="00D4786F">
        <w:tab/>
        <w:t>Training of Trainers for Educators in Suriname, Costa Rica, and Ecuador.</w:t>
      </w:r>
    </w:p>
    <w:p w14:paraId="57D94644" w14:textId="2E93565C" w:rsidR="00A90102" w:rsidRPr="00D4786F" w:rsidRDefault="00A90102" w:rsidP="00A90102">
      <w:pPr>
        <w:pStyle w:val="enumlev1"/>
      </w:pPr>
      <w:r w:rsidRPr="00D4786F">
        <w:t>–</w:t>
      </w:r>
      <w:r w:rsidRPr="00D4786F">
        <w:tab/>
      </w:r>
      <w:r w:rsidR="6B3FA75C" w:rsidRPr="00D4786F">
        <w:t>T</w:t>
      </w:r>
      <w:r w:rsidRPr="00D4786F">
        <w:t>raining sessions for policymakers, ICT industries, and civil society in Ecuador.</w:t>
      </w:r>
    </w:p>
    <w:p w14:paraId="45698B93" w14:textId="4F79ACC7" w:rsidR="00A90102" w:rsidRPr="00D4786F" w:rsidRDefault="00A90102" w:rsidP="00A90102">
      <w:pPr>
        <w:pStyle w:val="enumlev1"/>
      </w:pPr>
      <w:r w:rsidRPr="00D4786F">
        <w:t>–</w:t>
      </w:r>
      <w:r w:rsidRPr="00D4786F">
        <w:tab/>
        <w:t>Training of Trainers for Educators in Kyrgyzstan.</w:t>
      </w:r>
    </w:p>
    <w:p w14:paraId="7D1C5D51" w14:textId="4187AEFE" w:rsidR="00A90102" w:rsidRPr="00D4786F" w:rsidRDefault="00A90102" w:rsidP="00A90102">
      <w:pPr>
        <w:pStyle w:val="enumlev1"/>
      </w:pPr>
      <w:r w:rsidRPr="00D4786F">
        <w:t>–</w:t>
      </w:r>
      <w:r w:rsidRPr="00D4786F">
        <w:tab/>
        <w:t>The girls in ICT Day held in Mansoura, Egypt, showcased of girls' leading role in spreading awareness of digital citizenship to empower young girls to become advocates for digital citizenship, drawing inspiration from influential peer role models.</w:t>
      </w:r>
    </w:p>
    <w:p w14:paraId="4434E13D" w14:textId="6876AAC9" w:rsidR="00A90102" w:rsidRPr="00D4786F" w:rsidRDefault="00A90102" w:rsidP="00A90102">
      <w:pPr>
        <w:pStyle w:val="Heading2"/>
      </w:pPr>
      <w:r w:rsidRPr="00D4786F">
        <w:t>1.2</w:t>
      </w:r>
      <w:r w:rsidRPr="00D4786F">
        <w:tab/>
        <w:t>Translation of the COP Guidelines</w:t>
      </w:r>
    </w:p>
    <w:p w14:paraId="3BB1C1E5" w14:textId="0D510DC2" w:rsidR="00A90102" w:rsidRPr="00D4786F" w:rsidRDefault="00A90102" w:rsidP="00A90102">
      <w:pPr>
        <w:pStyle w:val="enumlev1"/>
      </w:pPr>
      <w:r w:rsidRPr="00D4786F">
        <w:t>–</w:t>
      </w:r>
      <w:r w:rsidRPr="00D4786F">
        <w:tab/>
        <w:t>Translation of the COP Guidelines from Spanish to Quechua for Ecuador, Aymara for Bolivia, and Dutch for Suriname.</w:t>
      </w:r>
    </w:p>
    <w:p w14:paraId="2D6834C6" w14:textId="798989E3" w:rsidR="00A90102" w:rsidRPr="00D4786F" w:rsidRDefault="00A90102" w:rsidP="00A90102">
      <w:pPr>
        <w:pStyle w:val="enumlev1"/>
      </w:pPr>
      <w:r w:rsidRPr="00D4786F">
        <w:t>–</w:t>
      </w:r>
      <w:r w:rsidRPr="00D4786F">
        <w:tab/>
        <w:t xml:space="preserve">Recruiting an agency to "Design and production of brochures and videos as part of the project to implement guidelines on online child protection in Morocco." </w:t>
      </w:r>
    </w:p>
    <w:p w14:paraId="2B2AB542" w14:textId="18BCF173" w:rsidR="00A90102" w:rsidRPr="00D4786F" w:rsidRDefault="00A90102" w:rsidP="00A90102">
      <w:pPr>
        <w:pStyle w:val="Heading2"/>
      </w:pPr>
      <w:r w:rsidRPr="00D4786F">
        <w:t>1.3</w:t>
      </w:r>
      <w:r w:rsidRPr="00D4786F">
        <w:tab/>
        <w:t xml:space="preserve">National COP </w:t>
      </w:r>
      <w:r w:rsidR="00A96025" w:rsidRPr="00D4786F">
        <w:t>framework</w:t>
      </w:r>
    </w:p>
    <w:p w14:paraId="20785FA6" w14:textId="1CFB74F2" w:rsidR="00A90102" w:rsidRPr="00D4786F" w:rsidRDefault="00A90102" w:rsidP="00A90102">
      <w:pPr>
        <w:pStyle w:val="enumlev1"/>
      </w:pPr>
      <w:r w:rsidRPr="00D4786F">
        <w:t>–</w:t>
      </w:r>
      <w:r w:rsidRPr="00D4786F">
        <w:tab/>
        <w:t xml:space="preserve">Delivered a </w:t>
      </w:r>
      <w:r w:rsidR="00A96025" w:rsidRPr="00D4786F">
        <w:t xml:space="preserve">national </w:t>
      </w:r>
      <w:r w:rsidRPr="00D4786F">
        <w:t>COP framework for Ecuador, for Peru, and for Bolivia.</w:t>
      </w:r>
    </w:p>
    <w:p w14:paraId="44FA1F66" w14:textId="5AE3FBAE" w:rsidR="00A90102" w:rsidRPr="00D4786F" w:rsidRDefault="00A90102" w:rsidP="00A90102">
      <w:pPr>
        <w:pStyle w:val="Heading2"/>
      </w:pPr>
      <w:r w:rsidRPr="00D4786F">
        <w:t>1.4</w:t>
      </w:r>
      <w:r w:rsidR="00A96025" w:rsidRPr="00D4786F">
        <w:tab/>
      </w:r>
      <w:r w:rsidRPr="00D4786F">
        <w:t xml:space="preserve">Child </w:t>
      </w:r>
      <w:r w:rsidR="00A96025" w:rsidRPr="00D4786F">
        <w:t>participation</w:t>
      </w:r>
    </w:p>
    <w:p w14:paraId="4A935975" w14:textId="25B7C27E" w:rsidR="00A90102" w:rsidRPr="00D4786F" w:rsidRDefault="00A90102" w:rsidP="00A90102">
      <w:pPr>
        <w:pStyle w:val="enumlev1"/>
      </w:pPr>
      <w:r w:rsidRPr="00D4786F">
        <w:t>–</w:t>
      </w:r>
      <w:r w:rsidRPr="00D4786F">
        <w:tab/>
        <w:t>A collaboration with the Western Sydney University to set up national taskforces was established.</w:t>
      </w:r>
    </w:p>
    <w:p w14:paraId="11DBA956" w14:textId="15AD13F9" w:rsidR="00A90102" w:rsidRPr="00D4786F" w:rsidRDefault="00A90102" w:rsidP="00A90102">
      <w:pPr>
        <w:pStyle w:val="enumlev1"/>
      </w:pPr>
      <w:r w:rsidRPr="00D4786F">
        <w:t>–</w:t>
      </w:r>
      <w:r w:rsidRPr="00D4786F">
        <w:tab/>
        <w:t>Within this context, children from Lebanon have been recruited to participate in the Youth taskforce. Two workshops are envisaged.</w:t>
      </w:r>
    </w:p>
    <w:p w14:paraId="32FBF4D3" w14:textId="364D0443" w:rsidR="00A90102" w:rsidRPr="00D4786F" w:rsidRDefault="00A90102" w:rsidP="00A90102">
      <w:pPr>
        <w:pStyle w:val="enumlev1"/>
      </w:pPr>
      <w:r w:rsidRPr="00D4786F">
        <w:t>–</w:t>
      </w:r>
      <w:r w:rsidRPr="00D4786F">
        <w:tab/>
        <w:t xml:space="preserve">Additionally, in Malawi, children will be engaged </w:t>
      </w:r>
      <w:r w:rsidR="00A96025" w:rsidRPr="00D4786F">
        <w:t>through</w:t>
      </w:r>
      <w:r w:rsidRPr="00D4786F">
        <w:t xml:space="preserve"> local partner  in the </w:t>
      </w:r>
      <w:r w:rsidR="00A96025" w:rsidRPr="00D4786F">
        <w:t>setup</w:t>
      </w:r>
      <w:r w:rsidRPr="00D4786F">
        <w:t xml:space="preserve"> of the youth right task force. </w:t>
      </w:r>
    </w:p>
    <w:p w14:paraId="06EC1F6B" w14:textId="7DEC7705" w:rsidR="00A90102" w:rsidRPr="00D4786F" w:rsidRDefault="00A90102" w:rsidP="00A90102">
      <w:pPr>
        <w:pStyle w:val="Heading2"/>
      </w:pPr>
      <w:r w:rsidRPr="00D4786F">
        <w:lastRenderedPageBreak/>
        <w:t>1.5</w:t>
      </w:r>
      <w:r w:rsidR="00A96025" w:rsidRPr="00D4786F">
        <w:tab/>
      </w:r>
      <w:r w:rsidRPr="00D4786F">
        <w:t xml:space="preserve">Country </w:t>
      </w:r>
      <w:r w:rsidR="00A96025" w:rsidRPr="00D4786F">
        <w:t>engagement</w:t>
      </w:r>
    </w:p>
    <w:p w14:paraId="2B7DFA67" w14:textId="630BD53C" w:rsidR="00A90102" w:rsidRPr="00D4786F" w:rsidRDefault="00A90102" w:rsidP="00A90102">
      <w:pPr>
        <w:pStyle w:val="enumlev1"/>
      </w:pPr>
      <w:r w:rsidRPr="00D4786F">
        <w:t>–</w:t>
      </w:r>
      <w:r w:rsidRPr="00D4786F">
        <w:tab/>
        <w:t xml:space="preserve">Consultation meeting on COP with Cambodia and Nepal to deploy COP training and localization work in the country, the Ministry of Posts and Communications (MPTC) plans to translate COP Guidelines into Khmer. </w:t>
      </w:r>
      <w:proofErr w:type="spellStart"/>
      <w:r w:rsidRPr="00D4786F">
        <w:t>ChildSafeNet</w:t>
      </w:r>
      <w:proofErr w:type="spellEnd"/>
      <w:r w:rsidRPr="00D4786F">
        <w:t>, Nepal has made a pledge on COP training during the Partner2Connect (P2C) National Roundtable for Cambodia took place from 8-9 July 2024 in Phnom Penh.</w:t>
      </w:r>
    </w:p>
    <w:p w14:paraId="1AFC138B" w14:textId="580044A0" w:rsidR="00A90102" w:rsidRPr="00D4786F" w:rsidRDefault="00A90102" w:rsidP="00A90102">
      <w:pPr>
        <w:pStyle w:val="enumlev1"/>
      </w:pPr>
      <w:r w:rsidRPr="00D4786F">
        <w:t>–</w:t>
      </w:r>
      <w:r w:rsidRPr="00D4786F">
        <w:tab/>
        <w:t xml:space="preserve">ITU Office for Europe supported the roll-out of the COP Guidelines in Serbia in February 2024 that included the dissemination campaign and the presentation of the translated into national language materials.  The campaign reached out to 957 children and 60 teachers, pedagogues, and psychologists. </w:t>
      </w:r>
    </w:p>
    <w:p w14:paraId="538671F8" w14:textId="6022B726" w:rsidR="00A90102" w:rsidRPr="00D4786F" w:rsidRDefault="00A90102" w:rsidP="00A90102">
      <w:pPr>
        <w:pStyle w:val="Heading1"/>
      </w:pPr>
      <w:r w:rsidRPr="00D4786F">
        <w:t>2</w:t>
      </w:r>
      <w:r w:rsidRPr="00D4786F">
        <w:tab/>
        <w:t>Collaborating across sectors, the ITU COP Initiative took further actions:</w:t>
      </w:r>
    </w:p>
    <w:p w14:paraId="67CF12F4" w14:textId="73207112" w:rsidR="00A90102" w:rsidRPr="00D4786F" w:rsidRDefault="00A90102" w:rsidP="00A90102">
      <w:pPr>
        <w:pStyle w:val="Heading2"/>
      </w:pPr>
      <w:r w:rsidRPr="00D4786F">
        <w:t>2.1</w:t>
      </w:r>
      <w:r w:rsidRPr="00D4786F">
        <w:tab/>
        <w:t>Online Safety at GIGA</w:t>
      </w:r>
    </w:p>
    <w:p w14:paraId="0E170F02" w14:textId="1D558232" w:rsidR="00A90102" w:rsidRPr="00D4786F" w:rsidRDefault="00A90102" w:rsidP="00A90102">
      <w:pPr>
        <w:pStyle w:val="enumlev1"/>
      </w:pPr>
      <w:r w:rsidRPr="00D4786F">
        <w:t>–</w:t>
      </w:r>
      <w:r w:rsidRPr="00D4786F">
        <w:tab/>
        <w:t xml:space="preserve">With the support of Child Online Protection partners such as Safe Online, several panel discussion were held at part of the Giga Connectivity Forum. </w:t>
      </w:r>
    </w:p>
    <w:p w14:paraId="25A77693" w14:textId="74708A5C" w:rsidR="00A90102" w:rsidRPr="00D4786F" w:rsidRDefault="00A90102" w:rsidP="00A90102">
      <w:pPr>
        <w:pStyle w:val="enumlev1"/>
      </w:pPr>
      <w:r w:rsidRPr="00D4786F">
        <w:t>–</w:t>
      </w:r>
      <w:r w:rsidRPr="00D4786F">
        <w:tab/>
        <w:t xml:space="preserve">The community recognized the importance of connecting the two communities and to think strategically how to embed more COP in Giga. </w:t>
      </w:r>
    </w:p>
    <w:p w14:paraId="247CBDBF" w14:textId="77628994" w:rsidR="00A90102" w:rsidRPr="00D4786F" w:rsidRDefault="00A90102" w:rsidP="00A90102">
      <w:pPr>
        <w:pStyle w:val="Heading2"/>
        <w:rPr>
          <w:rFonts w:asciiTheme="minorHAnsi" w:hAnsiTheme="minorHAnsi" w:cstheme="minorHAnsi"/>
          <w:bCs/>
        </w:rPr>
      </w:pPr>
      <w:hyperlink r:id="rId14">
        <w:r w:rsidRPr="00D4786F">
          <w:t>2.2</w:t>
        </w:r>
        <w:r w:rsidRPr="00D4786F">
          <w:tab/>
        </w:r>
        <w:proofErr w:type="spellStart"/>
        <w:r w:rsidRPr="00D4786F">
          <w:rPr>
            <w:rFonts w:asciiTheme="minorHAnsi" w:hAnsiTheme="minorHAnsi" w:cstheme="minorHAnsi"/>
            <w:bCs/>
          </w:rPr>
          <w:t>PoP</w:t>
        </w:r>
        <w:proofErr w:type="spellEnd"/>
        <w:r w:rsidRPr="00D4786F">
          <w:rPr>
            <w:rFonts w:asciiTheme="minorHAnsi" w:hAnsiTheme="minorHAnsi" w:cstheme="minorHAnsi"/>
            <w:bCs/>
          </w:rPr>
          <w:t>: Protection through online participation</w:t>
        </w:r>
      </w:hyperlink>
    </w:p>
    <w:p w14:paraId="608801C8" w14:textId="1C78CF3B" w:rsidR="00A90102" w:rsidRPr="00D4786F" w:rsidRDefault="00A90102" w:rsidP="00A90102">
      <w:pPr>
        <w:pStyle w:val="enumlev1"/>
      </w:pPr>
      <w:r w:rsidRPr="00D4786F">
        <w:t>–</w:t>
      </w:r>
      <w:r w:rsidRPr="00D4786F">
        <w:tab/>
        <w:t>Led by ITU and the Office of the Special Representative of the Secretary-General on Violence against Children.</w:t>
      </w:r>
    </w:p>
    <w:p w14:paraId="5CB934BD" w14:textId="61B2BBCF" w:rsidR="00A90102" w:rsidRPr="00D4786F" w:rsidRDefault="00A90102" w:rsidP="00A90102">
      <w:pPr>
        <w:pStyle w:val="enumlev1"/>
      </w:pPr>
      <w:r w:rsidRPr="00D4786F">
        <w:t>–</w:t>
      </w:r>
      <w:r w:rsidRPr="00D4786F">
        <w:tab/>
        <w:t>Aims to provide insights and recommendations on the development, implementation, and improvement of online protection services that function online and address, but are not limited to addressing online risks, but also in person harms.</w:t>
      </w:r>
    </w:p>
    <w:p w14:paraId="482923C1" w14:textId="31762AD3" w:rsidR="00A90102" w:rsidRPr="00D4786F" w:rsidRDefault="00A90102" w:rsidP="00A90102">
      <w:pPr>
        <w:pStyle w:val="enumlev1"/>
      </w:pPr>
      <w:r w:rsidRPr="00D4786F">
        <w:t>–</w:t>
      </w:r>
      <w:r w:rsidRPr="00D4786F">
        <w:tab/>
        <w:t xml:space="preserve">Global partners meeting were held in Madrid in November 2023, in Brussels in </w:t>
      </w:r>
      <w:r w:rsidR="00A96025" w:rsidRPr="00D4786F">
        <w:t>March</w:t>
      </w:r>
      <w:r w:rsidRPr="00D4786F">
        <w:t xml:space="preserve"> 2024, and in Paris in June 2024 to discuss and formulate guidance principles addressing child helplines and similar services functioning online, and technology platforms.</w:t>
      </w:r>
    </w:p>
    <w:p w14:paraId="6D4D8EEF" w14:textId="2F8418E1" w:rsidR="00A90102" w:rsidRPr="00D4786F" w:rsidRDefault="00A90102" w:rsidP="00A90102">
      <w:pPr>
        <w:pStyle w:val="enumlev1"/>
      </w:pPr>
      <w:r w:rsidRPr="00D4786F">
        <w:t>–</w:t>
      </w:r>
      <w:r w:rsidRPr="00D4786F">
        <w:tab/>
        <w:t>Evidence on how systems that address children’s protection needs through online means has been collected, together with insights from children and youth, and lesson learned from the industry.</w:t>
      </w:r>
    </w:p>
    <w:p w14:paraId="53714F46" w14:textId="5C95B89D" w:rsidR="00A90102" w:rsidRPr="00D4786F" w:rsidRDefault="00A90102" w:rsidP="00A90102">
      <w:pPr>
        <w:pStyle w:val="enumlev1"/>
      </w:pPr>
      <w:r w:rsidRPr="00D4786F">
        <w:t>–</w:t>
      </w:r>
      <w:r w:rsidRPr="00D4786F">
        <w:tab/>
      </w:r>
      <w:r w:rsidR="00A96025" w:rsidRPr="00D4786F">
        <w:t>Two</w:t>
      </w:r>
      <w:r w:rsidRPr="00D4786F">
        <w:t xml:space="preserve"> sets of principles have been drafted and shared with partners for consideration and contribution.</w:t>
      </w:r>
    </w:p>
    <w:p w14:paraId="3CFB125D" w14:textId="1DB28A97" w:rsidR="00A90102" w:rsidRPr="00D4786F" w:rsidRDefault="00A90102" w:rsidP="00A90102">
      <w:pPr>
        <w:pStyle w:val="enumlev1"/>
      </w:pPr>
      <w:r w:rsidRPr="00D4786F">
        <w:t>–</w:t>
      </w:r>
      <w:r w:rsidRPr="00D4786F">
        <w:tab/>
        <w:t>In December the initiative will launch principles and recommendations for child helplines, tech platforms, and policy makers, on how to encourage protection systems that function online.</w:t>
      </w:r>
    </w:p>
    <w:p w14:paraId="06FC3CC6" w14:textId="76D859C4" w:rsidR="00A90102" w:rsidRPr="00D4786F" w:rsidRDefault="00A90102" w:rsidP="00A90102">
      <w:pPr>
        <w:pStyle w:val="enumlev1"/>
      </w:pPr>
      <w:r w:rsidRPr="00D4786F">
        <w:t>–</w:t>
      </w:r>
      <w:r w:rsidRPr="00D4786F">
        <w:tab/>
        <w:t>In 2025</w:t>
      </w:r>
      <w:r w:rsidR="00A96025" w:rsidRPr="00D4786F">
        <w:t>,</w:t>
      </w:r>
      <w:r w:rsidRPr="00D4786F">
        <w:t xml:space="preserve"> </w:t>
      </w:r>
      <w:proofErr w:type="spellStart"/>
      <w:r w:rsidRPr="00D4786F">
        <w:t>PoP</w:t>
      </w:r>
      <w:proofErr w:type="spellEnd"/>
      <w:r w:rsidRPr="00D4786F">
        <w:t xml:space="preserve"> will:</w:t>
      </w:r>
    </w:p>
    <w:p w14:paraId="15B43A3E" w14:textId="04442891" w:rsidR="00A90102" w:rsidRPr="00D4786F" w:rsidRDefault="00A90102" w:rsidP="00A90102">
      <w:pPr>
        <w:pStyle w:val="enumlev2"/>
      </w:pPr>
      <w:r w:rsidRPr="00D4786F">
        <w:t>•</w:t>
      </w:r>
      <w:r w:rsidRPr="00D4786F">
        <w:tab/>
        <w:t>Publish a digital map consolidating the collected evidence.</w:t>
      </w:r>
    </w:p>
    <w:p w14:paraId="3E2B2CD9" w14:textId="6957E123" w:rsidR="00A90102" w:rsidRPr="00D4786F" w:rsidRDefault="00A90102" w:rsidP="00A90102">
      <w:pPr>
        <w:pStyle w:val="enumlev2"/>
      </w:pPr>
      <w:r w:rsidRPr="00D4786F">
        <w:t>•</w:t>
      </w:r>
      <w:r w:rsidRPr="00D4786F">
        <w:tab/>
        <w:t>Draft principles and recommendations for gaming platforms, and A.I driven systems, on how to address children’s protection needs through online means.</w:t>
      </w:r>
    </w:p>
    <w:p w14:paraId="5F5ECC77" w14:textId="77777777" w:rsidR="00A90102" w:rsidRPr="00D4786F" w:rsidRDefault="00A90102" w:rsidP="00111C5D">
      <w:pPr>
        <w:pStyle w:val="Reasons"/>
        <w:rPr>
          <w:rFonts w:asciiTheme="minorHAnsi" w:hAnsiTheme="minorHAnsi" w:cstheme="minorHAnsi"/>
          <w:lang w:val="en-GB"/>
        </w:rPr>
      </w:pPr>
    </w:p>
    <w:p w14:paraId="257674B4" w14:textId="023CA522" w:rsidR="00A514A4" w:rsidRPr="00D4786F" w:rsidRDefault="00A90102" w:rsidP="00242FED">
      <w:pPr>
        <w:spacing w:before="0"/>
        <w:jc w:val="center"/>
      </w:pPr>
      <w:r w:rsidRPr="00D4786F">
        <w:t>______________</w:t>
      </w:r>
    </w:p>
    <w:sectPr w:rsidR="00A514A4" w:rsidRPr="00D4786F"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6793D" w14:textId="77777777" w:rsidR="004016E2" w:rsidRDefault="004016E2">
      <w:r>
        <w:separator/>
      </w:r>
    </w:p>
  </w:endnote>
  <w:endnote w:type="continuationSeparator" w:id="0">
    <w:p w14:paraId="2426169B" w14:textId="77777777" w:rsidR="004016E2" w:rsidRDefault="004016E2">
      <w:r>
        <w:continuationSeparator/>
      </w:r>
    </w:p>
  </w:endnote>
  <w:endnote w:type="continuationNotice" w:id="1">
    <w:p w14:paraId="3817FDD8" w14:textId="77777777" w:rsidR="00C02A62" w:rsidRDefault="00C02A6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C54CD">
      <w:trPr>
        <w:trHeight w:val="142"/>
        <w:jc w:val="center"/>
      </w:trPr>
      <w:tc>
        <w:tcPr>
          <w:tcW w:w="1803" w:type="dxa"/>
          <w:vAlign w:val="center"/>
        </w:tcPr>
        <w:p w14:paraId="727FD637" w14:textId="696C90B6" w:rsidR="00EE49E8" w:rsidRDefault="00EE49E8" w:rsidP="00EE49E8">
          <w:pPr>
            <w:pStyle w:val="Header"/>
            <w:jc w:val="left"/>
            <w:rPr>
              <w:noProof/>
            </w:rPr>
          </w:pPr>
        </w:p>
      </w:tc>
      <w:tc>
        <w:tcPr>
          <w:tcW w:w="8261" w:type="dxa"/>
        </w:tcPr>
        <w:p w14:paraId="2D49E76E" w14:textId="45F8D808" w:rsidR="00EE49E8" w:rsidRPr="00E06FD5" w:rsidRDefault="00EE49E8" w:rsidP="00A96025">
          <w:pPr>
            <w:pStyle w:val="Header"/>
            <w:tabs>
              <w:tab w:val="left" w:pos="6309"/>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BC54CD">
            <w:rPr>
              <w:bCs/>
            </w:rPr>
            <w:t>2</w:t>
          </w:r>
          <w:r w:rsidR="00AB31DE">
            <w:rPr>
              <w:bCs/>
            </w:rPr>
            <w:t>1</w:t>
          </w:r>
          <w:r w:rsidR="00A52C84" w:rsidRPr="00623AE3">
            <w:rPr>
              <w:bCs/>
            </w:rPr>
            <w:t>/</w:t>
          </w:r>
          <w:r w:rsidR="00D4786F">
            <w:rPr>
              <w:bCs/>
            </w:rPr>
            <w:t>2</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9C253A">
            <w:rPr>
              <w:color w:val="0070C0"/>
            </w:rPr>
            <w:t>https://council.itu.int/working-groups</w:t>
          </w:r>
        </w:p>
      </w:tc>
      <w:tc>
        <w:tcPr>
          <w:tcW w:w="6957" w:type="dxa"/>
        </w:tcPr>
        <w:p w14:paraId="3F62E0D8" w14:textId="509C3B0C"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BC54CD">
            <w:rPr>
              <w:bCs/>
            </w:rPr>
            <w:t>2</w:t>
          </w:r>
          <w:r w:rsidR="00AB31DE">
            <w:rPr>
              <w:bCs/>
            </w:rPr>
            <w:t>1</w:t>
          </w:r>
          <w:r w:rsidRPr="00623AE3">
            <w:rPr>
              <w:bCs/>
            </w:rPr>
            <w:t>/</w:t>
          </w:r>
          <w:r w:rsidR="00D4786F">
            <w:rPr>
              <w:bCs/>
            </w:rPr>
            <w:t>2</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E7B92" w14:textId="77777777" w:rsidR="004016E2" w:rsidRDefault="004016E2">
      <w:r>
        <w:t>____________________</w:t>
      </w:r>
    </w:p>
  </w:footnote>
  <w:footnote w:type="continuationSeparator" w:id="0">
    <w:p w14:paraId="36639BCA" w14:textId="77777777" w:rsidR="004016E2" w:rsidRDefault="004016E2">
      <w:r>
        <w:continuationSeparator/>
      </w:r>
    </w:p>
  </w:footnote>
  <w:footnote w:type="continuationNotice" w:id="1">
    <w:p w14:paraId="403FF1EF" w14:textId="77777777" w:rsidR="00C02A62" w:rsidRDefault="00C02A6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0768307">
                  <v:rect id="Rectangle 2"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2pt" w14:anchorId="33D9E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1C23BCE">
            <v:rect id="Rectangle 5"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530B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6AD7D646"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464CC5">
                            <w:rPr>
                              <w:b/>
                              <w:bCs/>
                              <w:szCs w:val="24"/>
                            </w:rPr>
                            <w:t>c</w:t>
                          </w:r>
                          <w:r w:rsidR="00B358B2">
                            <w:rPr>
                              <w:b/>
                              <w:bCs/>
                              <w:szCs w:val="24"/>
                            </w:rPr>
                            <w:t xml:space="preserve">hild </w:t>
                          </w:r>
                          <w:r w:rsidR="00464CC5">
                            <w:rPr>
                              <w:b/>
                              <w:bCs/>
                              <w:szCs w:val="24"/>
                            </w:rPr>
                            <w:t>o</w:t>
                          </w:r>
                          <w:r w:rsidR="00B358B2">
                            <w:rPr>
                              <w:b/>
                              <w:bCs/>
                              <w:szCs w:val="24"/>
                            </w:rPr>
                            <w:t xml:space="preserve">nline </w:t>
                          </w:r>
                          <w:r w:rsidR="00464CC5">
                            <w:rPr>
                              <w:b/>
                              <w:bCs/>
                              <w:szCs w:val="24"/>
                            </w:rPr>
                            <w:t>p</w:t>
                          </w:r>
                          <w:r w:rsidR="00B358B2">
                            <w:rPr>
                              <w:b/>
                              <w:bCs/>
                              <w:szCs w:val="24"/>
                            </w:rPr>
                            <w:t>rotection</w:t>
                          </w:r>
                          <w:r>
                            <w:br/>
                          </w:r>
                          <w:r w:rsidR="00BC54CD">
                            <w:rPr>
                              <w:sz w:val="20"/>
                            </w:rPr>
                            <w:t>Twent</w:t>
                          </w:r>
                          <w:r w:rsidR="00AB31DE">
                            <w:rPr>
                              <w:sz w:val="20"/>
                            </w:rPr>
                            <w:t>y-first</w:t>
                          </w:r>
                          <w:r w:rsidRPr="00130599">
                            <w:rPr>
                              <w:sz w:val="20"/>
                            </w:rPr>
                            <w:t xml:space="preserve"> meeting </w:t>
                          </w:r>
                          <w:r w:rsidR="00AB31DE">
                            <w:rPr>
                              <w:sz w:val="20"/>
                            </w:rPr>
                            <w:t>–</w:t>
                          </w:r>
                          <w:r w:rsidR="00B358B2">
                            <w:rPr>
                              <w:sz w:val="20"/>
                            </w:rPr>
                            <w:t xml:space="preserve"> </w:t>
                          </w:r>
                          <w:r w:rsidR="00D4035F">
                            <w:rPr>
                              <w:sz w:val="20"/>
                            </w:rPr>
                            <w:t xml:space="preserve">From </w:t>
                          </w:r>
                          <w:r w:rsidR="00AB31DE">
                            <w:rPr>
                              <w:sz w:val="20"/>
                            </w:rPr>
                            <w:t>30 September</w:t>
                          </w:r>
                          <w:r w:rsidR="009A4138">
                            <w:rPr>
                              <w:sz w:val="20"/>
                            </w:rPr>
                            <w:t xml:space="preserve"> (p.m.)</w:t>
                          </w:r>
                          <w:r w:rsidR="00D4035F">
                            <w:rPr>
                              <w:sz w:val="20"/>
                            </w:rPr>
                            <w:t xml:space="preserve"> to </w:t>
                          </w:r>
                          <w:r w:rsidR="00AB31DE">
                            <w:rPr>
                              <w:sz w:val="20"/>
                            </w:rPr>
                            <w:t>1 October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6029651">
            <v:shapetype id="_x0000_t202" coordsize="21600,21600" o:spt="202" path="m,l,21600r21600,l21600,xe" w14:anchorId="4E9A2C87">
              <v:stroke joinstyle="miter"/>
              <v:path gradientshapeok="t" o:connecttype="rect"/>
            </v:shapetype>
            <v:shape id="Text Box 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v:textbox style="mso-fit-shape-to-text:t">
                <w:txbxContent>
                  <w:p w:rsidR="00130599" w:rsidP="00130599" w:rsidRDefault="00130599" w14:paraId="7190E900" w14:textId="6AD7D646">
                    <w:pPr>
                      <w:spacing w:before="0"/>
                    </w:pPr>
                    <w:r w:rsidRPr="00F74694">
                      <w:rPr>
                        <w:b/>
                        <w:bCs/>
                        <w:szCs w:val="24"/>
                      </w:rPr>
                      <w:t xml:space="preserve">Council Working Group </w:t>
                    </w:r>
                    <w:r w:rsidRPr="00F74694" w:rsidR="00F74694">
                      <w:rPr>
                        <w:b/>
                        <w:bCs/>
                        <w:szCs w:val="24"/>
                      </w:rPr>
                      <w:br/>
                    </w:r>
                    <w:r w:rsidRPr="00F74694">
                      <w:rPr>
                        <w:b/>
                        <w:bCs/>
                        <w:szCs w:val="24"/>
                      </w:rPr>
                      <w:t xml:space="preserve">on </w:t>
                    </w:r>
                    <w:r w:rsidR="00464CC5">
                      <w:rPr>
                        <w:b/>
                        <w:bCs/>
                        <w:szCs w:val="24"/>
                      </w:rPr>
                      <w:t>c</w:t>
                    </w:r>
                    <w:r w:rsidR="00B358B2">
                      <w:rPr>
                        <w:b/>
                        <w:bCs/>
                        <w:szCs w:val="24"/>
                      </w:rPr>
                      <w:t xml:space="preserve">hild </w:t>
                    </w:r>
                    <w:r w:rsidR="00464CC5">
                      <w:rPr>
                        <w:b/>
                        <w:bCs/>
                        <w:szCs w:val="24"/>
                      </w:rPr>
                      <w:t>o</w:t>
                    </w:r>
                    <w:r w:rsidR="00B358B2">
                      <w:rPr>
                        <w:b/>
                        <w:bCs/>
                        <w:szCs w:val="24"/>
                      </w:rPr>
                      <w:t xml:space="preserve">nline </w:t>
                    </w:r>
                    <w:r w:rsidR="00464CC5">
                      <w:rPr>
                        <w:b/>
                        <w:bCs/>
                        <w:szCs w:val="24"/>
                      </w:rPr>
                      <w:t>p</w:t>
                    </w:r>
                    <w:r w:rsidR="00B358B2">
                      <w:rPr>
                        <w:b/>
                        <w:bCs/>
                        <w:szCs w:val="24"/>
                      </w:rPr>
                      <w:t>rotection</w:t>
                    </w:r>
                    <w:r>
                      <w:br/>
                    </w:r>
                    <w:r w:rsidR="00BC54CD">
                      <w:rPr>
                        <w:sz w:val="20"/>
                      </w:rPr>
                      <w:t>Twent</w:t>
                    </w:r>
                    <w:r w:rsidR="00AB31DE">
                      <w:rPr>
                        <w:sz w:val="20"/>
                      </w:rPr>
                      <w:t>y-first</w:t>
                    </w:r>
                    <w:r w:rsidRPr="00130599">
                      <w:rPr>
                        <w:sz w:val="20"/>
                      </w:rPr>
                      <w:t xml:space="preserve"> meeting </w:t>
                    </w:r>
                    <w:r w:rsidR="00AB31DE">
                      <w:rPr>
                        <w:sz w:val="20"/>
                      </w:rPr>
                      <w:t>–</w:t>
                    </w:r>
                    <w:r w:rsidR="00B358B2">
                      <w:rPr>
                        <w:sz w:val="20"/>
                      </w:rPr>
                      <w:t xml:space="preserve"> </w:t>
                    </w:r>
                    <w:r w:rsidR="00D4035F">
                      <w:rPr>
                        <w:sz w:val="20"/>
                      </w:rPr>
                      <w:t xml:space="preserve">From </w:t>
                    </w:r>
                    <w:r w:rsidR="00AB31DE">
                      <w:rPr>
                        <w:sz w:val="20"/>
                      </w:rPr>
                      <w:t>30 September</w:t>
                    </w:r>
                    <w:r w:rsidR="009A4138">
                      <w:rPr>
                        <w:sz w:val="20"/>
                      </w:rPr>
                      <w:t xml:space="preserve"> (p.m.)</w:t>
                    </w:r>
                    <w:r w:rsidR="00D4035F">
                      <w:rPr>
                        <w:sz w:val="20"/>
                      </w:rPr>
                      <w:t xml:space="preserve"> to </w:t>
                    </w:r>
                    <w:r w:rsidR="00AB31DE">
                      <w:rPr>
                        <w:sz w:val="20"/>
                      </w:rPr>
                      <w:t>1 October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EE4D2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7411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78D1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00F5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F45B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8EA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4CF0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1641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52F6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982F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F97D1F"/>
    <w:multiLevelType w:val="hybridMultilevel"/>
    <w:tmpl w:val="DA66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43305"/>
    <w:multiLevelType w:val="hybridMultilevel"/>
    <w:tmpl w:val="9CB44AA6"/>
    <w:lvl w:ilvl="0" w:tplc="761478AA">
      <w:start w:val="2"/>
      <w:numFmt w:val="bullet"/>
      <w:lvlText w:val="-"/>
      <w:lvlJc w:val="left"/>
      <w:pPr>
        <w:ind w:left="1080" w:hanging="360"/>
      </w:pPr>
      <w:rPr>
        <w:rFonts w:ascii="Calibri" w:eastAsia="SimSu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CAD76CE"/>
    <w:multiLevelType w:val="hybridMultilevel"/>
    <w:tmpl w:val="00A8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51A69"/>
    <w:multiLevelType w:val="hybridMultilevel"/>
    <w:tmpl w:val="0BA88C0C"/>
    <w:lvl w:ilvl="0" w:tplc="13FE3C3C">
      <w:start w:val="1"/>
      <w:numFmt w:val="bullet"/>
      <w:lvlText w:val=""/>
      <w:lvlJc w:val="left"/>
      <w:pPr>
        <w:ind w:left="720" w:hanging="360"/>
      </w:pPr>
      <w:rPr>
        <w:rFonts w:ascii="Symbol" w:hAnsi="Symbol" w:hint="default"/>
      </w:rPr>
    </w:lvl>
    <w:lvl w:ilvl="1" w:tplc="56DCD0C8">
      <w:start w:val="1"/>
      <w:numFmt w:val="bullet"/>
      <w:lvlText w:val="o"/>
      <w:lvlJc w:val="left"/>
      <w:pPr>
        <w:ind w:left="1440" w:hanging="360"/>
      </w:pPr>
      <w:rPr>
        <w:rFonts w:ascii="Courier New" w:hAnsi="Courier New" w:hint="default"/>
      </w:rPr>
    </w:lvl>
    <w:lvl w:ilvl="2" w:tplc="2B7ECA72">
      <w:start w:val="1"/>
      <w:numFmt w:val="bullet"/>
      <w:lvlText w:val=""/>
      <w:lvlJc w:val="left"/>
      <w:pPr>
        <w:ind w:left="2160" w:hanging="360"/>
      </w:pPr>
      <w:rPr>
        <w:rFonts w:ascii="Wingdings" w:hAnsi="Wingdings" w:hint="default"/>
      </w:rPr>
    </w:lvl>
    <w:lvl w:ilvl="3" w:tplc="2BB08DBC">
      <w:start w:val="1"/>
      <w:numFmt w:val="bullet"/>
      <w:lvlText w:val=""/>
      <w:lvlJc w:val="left"/>
      <w:pPr>
        <w:ind w:left="2880" w:hanging="360"/>
      </w:pPr>
      <w:rPr>
        <w:rFonts w:ascii="Symbol" w:hAnsi="Symbol" w:hint="default"/>
      </w:rPr>
    </w:lvl>
    <w:lvl w:ilvl="4" w:tplc="0832D13C">
      <w:start w:val="1"/>
      <w:numFmt w:val="bullet"/>
      <w:lvlText w:val="o"/>
      <w:lvlJc w:val="left"/>
      <w:pPr>
        <w:ind w:left="3600" w:hanging="360"/>
      </w:pPr>
      <w:rPr>
        <w:rFonts w:ascii="Courier New" w:hAnsi="Courier New" w:hint="default"/>
      </w:rPr>
    </w:lvl>
    <w:lvl w:ilvl="5" w:tplc="9A86935A">
      <w:start w:val="1"/>
      <w:numFmt w:val="bullet"/>
      <w:lvlText w:val=""/>
      <w:lvlJc w:val="left"/>
      <w:pPr>
        <w:ind w:left="4320" w:hanging="360"/>
      </w:pPr>
      <w:rPr>
        <w:rFonts w:ascii="Wingdings" w:hAnsi="Wingdings" w:hint="default"/>
      </w:rPr>
    </w:lvl>
    <w:lvl w:ilvl="6" w:tplc="8C80B5DA">
      <w:start w:val="1"/>
      <w:numFmt w:val="bullet"/>
      <w:lvlText w:val=""/>
      <w:lvlJc w:val="left"/>
      <w:pPr>
        <w:ind w:left="5040" w:hanging="360"/>
      </w:pPr>
      <w:rPr>
        <w:rFonts w:ascii="Symbol" w:hAnsi="Symbol" w:hint="default"/>
      </w:rPr>
    </w:lvl>
    <w:lvl w:ilvl="7" w:tplc="DEAACA3E">
      <w:start w:val="1"/>
      <w:numFmt w:val="bullet"/>
      <w:lvlText w:val="o"/>
      <w:lvlJc w:val="left"/>
      <w:pPr>
        <w:ind w:left="5760" w:hanging="360"/>
      </w:pPr>
      <w:rPr>
        <w:rFonts w:ascii="Courier New" w:hAnsi="Courier New" w:hint="default"/>
      </w:rPr>
    </w:lvl>
    <w:lvl w:ilvl="8" w:tplc="24229B02">
      <w:start w:val="1"/>
      <w:numFmt w:val="bullet"/>
      <w:lvlText w:val=""/>
      <w:lvlJc w:val="left"/>
      <w:pPr>
        <w:ind w:left="6480" w:hanging="360"/>
      </w:pPr>
      <w:rPr>
        <w:rFonts w:ascii="Wingdings" w:hAnsi="Wingdings" w:hint="default"/>
      </w:rPr>
    </w:lvl>
  </w:abstractNum>
  <w:abstractNum w:abstractNumId="14" w15:restartNumberingAfterBreak="0">
    <w:nsid w:val="52886F62"/>
    <w:multiLevelType w:val="hybridMultilevel"/>
    <w:tmpl w:val="84A4E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D67FB5"/>
    <w:multiLevelType w:val="hybridMultilevel"/>
    <w:tmpl w:val="256E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BA2BCA"/>
    <w:multiLevelType w:val="multilevel"/>
    <w:tmpl w:val="324C05E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4816267">
    <w:abstractNumId w:val="9"/>
  </w:num>
  <w:num w:numId="2" w16cid:durableId="1519390473">
    <w:abstractNumId w:val="13"/>
  </w:num>
  <w:num w:numId="3" w16cid:durableId="659774897">
    <w:abstractNumId w:val="10"/>
  </w:num>
  <w:num w:numId="4" w16cid:durableId="1650095463">
    <w:abstractNumId w:val="12"/>
  </w:num>
  <w:num w:numId="5" w16cid:durableId="212622894">
    <w:abstractNumId w:val="16"/>
  </w:num>
  <w:num w:numId="6" w16cid:durableId="1471895165">
    <w:abstractNumId w:val="14"/>
  </w:num>
  <w:num w:numId="7" w16cid:durableId="329606326">
    <w:abstractNumId w:val="15"/>
  </w:num>
  <w:num w:numId="8" w16cid:durableId="691689722">
    <w:abstractNumId w:val="11"/>
  </w:num>
  <w:num w:numId="9" w16cid:durableId="1843737317">
    <w:abstractNumId w:val="7"/>
  </w:num>
  <w:num w:numId="10" w16cid:durableId="1986154579">
    <w:abstractNumId w:val="6"/>
  </w:num>
  <w:num w:numId="11" w16cid:durableId="1319844149">
    <w:abstractNumId w:val="5"/>
  </w:num>
  <w:num w:numId="12" w16cid:durableId="1314289239">
    <w:abstractNumId w:val="4"/>
  </w:num>
  <w:num w:numId="13" w16cid:durableId="859467364">
    <w:abstractNumId w:val="8"/>
  </w:num>
  <w:num w:numId="14" w16cid:durableId="381754598">
    <w:abstractNumId w:val="3"/>
  </w:num>
  <w:num w:numId="15" w16cid:durableId="665474845">
    <w:abstractNumId w:val="2"/>
  </w:num>
  <w:num w:numId="16" w16cid:durableId="1369842148">
    <w:abstractNumId w:val="1"/>
  </w:num>
  <w:num w:numId="17" w16cid:durableId="304630948">
    <w:abstractNumId w:val="0"/>
  </w:num>
  <w:num w:numId="18" w16cid:durableId="1307586693">
    <w:abstractNumId w:val="8"/>
  </w:num>
  <w:num w:numId="19" w16cid:durableId="1255554650">
    <w:abstractNumId w:val="3"/>
  </w:num>
  <w:num w:numId="20" w16cid:durableId="680594237">
    <w:abstractNumId w:val="2"/>
  </w:num>
  <w:num w:numId="21" w16cid:durableId="1465931696">
    <w:abstractNumId w:val="1"/>
  </w:num>
  <w:num w:numId="22" w16cid:durableId="437143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9C4"/>
    <w:rsid w:val="00085CF2"/>
    <w:rsid w:val="000B1705"/>
    <w:rsid w:val="000D75B2"/>
    <w:rsid w:val="00111C5D"/>
    <w:rsid w:val="001121F5"/>
    <w:rsid w:val="00130599"/>
    <w:rsid w:val="001400DC"/>
    <w:rsid w:val="00140CE1"/>
    <w:rsid w:val="0017539C"/>
    <w:rsid w:val="00175AC2"/>
    <w:rsid w:val="0017609F"/>
    <w:rsid w:val="00194145"/>
    <w:rsid w:val="001A7D1D"/>
    <w:rsid w:val="001B51DD"/>
    <w:rsid w:val="001C628E"/>
    <w:rsid w:val="001E0F7B"/>
    <w:rsid w:val="001E0FBE"/>
    <w:rsid w:val="002119FD"/>
    <w:rsid w:val="002130E0"/>
    <w:rsid w:val="00242FED"/>
    <w:rsid w:val="00244F7F"/>
    <w:rsid w:val="00264425"/>
    <w:rsid w:val="00265875"/>
    <w:rsid w:val="0027303B"/>
    <w:rsid w:val="0028109B"/>
    <w:rsid w:val="002A2188"/>
    <w:rsid w:val="002B1F58"/>
    <w:rsid w:val="002C1C7A"/>
    <w:rsid w:val="002C54E2"/>
    <w:rsid w:val="0030160F"/>
    <w:rsid w:val="00320223"/>
    <w:rsid w:val="00322D0D"/>
    <w:rsid w:val="00333D1A"/>
    <w:rsid w:val="00361465"/>
    <w:rsid w:val="003877F5"/>
    <w:rsid w:val="003942D4"/>
    <w:rsid w:val="003958A8"/>
    <w:rsid w:val="003A307A"/>
    <w:rsid w:val="003C2533"/>
    <w:rsid w:val="003D5A7F"/>
    <w:rsid w:val="004016E2"/>
    <w:rsid w:val="0040435A"/>
    <w:rsid w:val="00416A24"/>
    <w:rsid w:val="00431D9E"/>
    <w:rsid w:val="00433CE8"/>
    <w:rsid w:val="00434A5C"/>
    <w:rsid w:val="004405AB"/>
    <w:rsid w:val="004544D9"/>
    <w:rsid w:val="0045508E"/>
    <w:rsid w:val="00464CC5"/>
    <w:rsid w:val="00472BAD"/>
    <w:rsid w:val="00484009"/>
    <w:rsid w:val="00485C1C"/>
    <w:rsid w:val="00490E72"/>
    <w:rsid w:val="00491157"/>
    <w:rsid w:val="004921C8"/>
    <w:rsid w:val="00495B0B"/>
    <w:rsid w:val="004A1B8B"/>
    <w:rsid w:val="004B6A0A"/>
    <w:rsid w:val="004D1851"/>
    <w:rsid w:val="004D599D"/>
    <w:rsid w:val="004E2EA5"/>
    <w:rsid w:val="004E3AEB"/>
    <w:rsid w:val="0050223C"/>
    <w:rsid w:val="005243FF"/>
    <w:rsid w:val="005525B8"/>
    <w:rsid w:val="00557BC6"/>
    <w:rsid w:val="00564FBC"/>
    <w:rsid w:val="005800BC"/>
    <w:rsid w:val="00582442"/>
    <w:rsid w:val="00592ED2"/>
    <w:rsid w:val="00595D5F"/>
    <w:rsid w:val="005A335D"/>
    <w:rsid w:val="005D6766"/>
    <w:rsid w:val="005E2BD5"/>
    <w:rsid w:val="005F3269"/>
    <w:rsid w:val="00610DC7"/>
    <w:rsid w:val="00623AE3"/>
    <w:rsid w:val="0064737F"/>
    <w:rsid w:val="006535F1"/>
    <w:rsid w:val="0065557D"/>
    <w:rsid w:val="00660D50"/>
    <w:rsid w:val="00662984"/>
    <w:rsid w:val="006716BB"/>
    <w:rsid w:val="00687F2E"/>
    <w:rsid w:val="006B1859"/>
    <w:rsid w:val="006B6680"/>
    <w:rsid w:val="006B6DCC"/>
    <w:rsid w:val="00702DEF"/>
    <w:rsid w:val="00706861"/>
    <w:rsid w:val="0075051B"/>
    <w:rsid w:val="00775655"/>
    <w:rsid w:val="00793188"/>
    <w:rsid w:val="00794D34"/>
    <w:rsid w:val="007C6EC8"/>
    <w:rsid w:val="00813E5E"/>
    <w:rsid w:val="0083581B"/>
    <w:rsid w:val="0085741F"/>
    <w:rsid w:val="00863874"/>
    <w:rsid w:val="00864AFF"/>
    <w:rsid w:val="00865925"/>
    <w:rsid w:val="00891503"/>
    <w:rsid w:val="00895E47"/>
    <w:rsid w:val="00897F7C"/>
    <w:rsid w:val="008B4A6A"/>
    <w:rsid w:val="008C7E27"/>
    <w:rsid w:val="008D647F"/>
    <w:rsid w:val="008F7448"/>
    <w:rsid w:val="0090147A"/>
    <w:rsid w:val="009173EF"/>
    <w:rsid w:val="00932906"/>
    <w:rsid w:val="00955751"/>
    <w:rsid w:val="00961B0B"/>
    <w:rsid w:val="00962D33"/>
    <w:rsid w:val="00986192"/>
    <w:rsid w:val="00997233"/>
    <w:rsid w:val="009A4138"/>
    <w:rsid w:val="009B38C3"/>
    <w:rsid w:val="009C253A"/>
    <w:rsid w:val="009E17BD"/>
    <w:rsid w:val="009E1BB8"/>
    <w:rsid w:val="009E485A"/>
    <w:rsid w:val="009F35EC"/>
    <w:rsid w:val="00A04CEC"/>
    <w:rsid w:val="00A27F92"/>
    <w:rsid w:val="00A32257"/>
    <w:rsid w:val="00A36D20"/>
    <w:rsid w:val="00A44695"/>
    <w:rsid w:val="00A514A4"/>
    <w:rsid w:val="00A52C84"/>
    <w:rsid w:val="00A55622"/>
    <w:rsid w:val="00A83502"/>
    <w:rsid w:val="00A90102"/>
    <w:rsid w:val="00A96025"/>
    <w:rsid w:val="00AB1197"/>
    <w:rsid w:val="00AB31DE"/>
    <w:rsid w:val="00AB6A7E"/>
    <w:rsid w:val="00AD15B3"/>
    <w:rsid w:val="00AD3606"/>
    <w:rsid w:val="00AD4A3D"/>
    <w:rsid w:val="00AF6E49"/>
    <w:rsid w:val="00B04A67"/>
    <w:rsid w:val="00B0583C"/>
    <w:rsid w:val="00B358B2"/>
    <w:rsid w:val="00B375BF"/>
    <w:rsid w:val="00B40A81"/>
    <w:rsid w:val="00B44910"/>
    <w:rsid w:val="00B64669"/>
    <w:rsid w:val="00B72267"/>
    <w:rsid w:val="00B76EB6"/>
    <w:rsid w:val="00B7737B"/>
    <w:rsid w:val="00B824C8"/>
    <w:rsid w:val="00B84436"/>
    <w:rsid w:val="00B84B9D"/>
    <w:rsid w:val="00BC251A"/>
    <w:rsid w:val="00BC54CD"/>
    <w:rsid w:val="00BD032B"/>
    <w:rsid w:val="00BE2640"/>
    <w:rsid w:val="00C01189"/>
    <w:rsid w:val="00C02A62"/>
    <w:rsid w:val="00C374DE"/>
    <w:rsid w:val="00C47AD4"/>
    <w:rsid w:val="00C52D81"/>
    <w:rsid w:val="00C55198"/>
    <w:rsid w:val="00C727AE"/>
    <w:rsid w:val="00CA6393"/>
    <w:rsid w:val="00CB18FF"/>
    <w:rsid w:val="00CD0C08"/>
    <w:rsid w:val="00CD7B1C"/>
    <w:rsid w:val="00CE03FB"/>
    <w:rsid w:val="00CE433C"/>
    <w:rsid w:val="00CF0161"/>
    <w:rsid w:val="00CF33F3"/>
    <w:rsid w:val="00D06183"/>
    <w:rsid w:val="00D22C42"/>
    <w:rsid w:val="00D4035F"/>
    <w:rsid w:val="00D464CC"/>
    <w:rsid w:val="00D4786F"/>
    <w:rsid w:val="00D65041"/>
    <w:rsid w:val="00DB00D5"/>
    <w:rsid w:val="00DB1936"/>
    <w:rsid w:val="00DB384B"/>
    <w:rsid w:val="00DD52E3"/>
    <w:rsid w:val="00DF0189"/>
    <w:rsid w:val="00E06FD5"/>
    <w:rsid w:val="00E10E80"/>
    <w:rsid w:val="00E124F0"/>
    <w:rsid w:val="00E227F3"/>
    <w:rsid w:val="00E45623"/>
    <w:rsid w:val="00E545C6"/>
    <w:rsid w:val="00E60F04"/>
    <w:rsid w:val="00E65B24"/>
    <w:rsid w:val="00E854E4"/>
    <w:rsid w:val="00E86DBF"/>
    <w:rsid w:val="00E91FBE"/>
    <w:rsid w:val="00E9484C"/>
    <w:rsid w:val="00EB080F"/>
    <w:rsid w:val="00EB0D6F"/>
    <w:rsid w:val="00EB2232"/>
    <w:rsid w:val="00EC408F"/>
    <w:rsid w:val="00EC5337"/>
    <w:rsid w:val="00ED454D"/>
    <w:rsid w:val="00EE49E8"/>
    <w:rsid w:val="00F16BAB"/>
    <w:rsid w:val="00F2150A"/>
    <w:rsid w:val="00F231D8"/>
    <w:rsid w:val="00F23839"/>
    <w:rsid w:val="00F44C00"/>
    <w:rsid w:val="00F45D2C"/>
    <w:rsid w:val="00F46C5F"/>
    <w:rsid w:val="00F632C0"/>
    <w:rsid w:val="00F74694"/>
    <w:rsid w:val="00F7516B"/>
    <w:rsid w:val="00F94A63"/>
    <w:rsid w:val="00FA1C28"/>
    <w:rsid w:val="00FA64C5"/>
    <w:rsid w:val="00FB1279"/>
    <w:rsid w:val="00FB6B76"/>
    <w:rsid w:val="00FB7596"/>
    <w:rsid w:val="00FE4077"/>
    <w:rsid w:val="00FE500D"/>
    <w:rsid w:val="00FE77D2"/>
    <w:rsid w:val="16C929B9"/>
    <w:rsid w:val="6B3FA75C"/>
    <w:rsid w:val="746982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47C1E724-B302-48FF-B896-03FC0CF6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4405A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4405AB"/>
    <w:rPr>
      <w:color w:val="605E5C"/>
      <w:shd w:val="clear" w:color="auto" w:fill="E1DFDD"/>
    </w:rPr>
  </w:style>
  <w:style w:type="paragraph" w:customStyle="1" w:styleId="paragraph">
    <w:name w:val="paragraph"/>
    <w:basedOn w:val="Normal"/>
    <w:rsid w:val="00A9010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SimSun" w:hAnsi="Times New Roman"/>
      <w:szCs w:val="24"/>
      <w:lang w:eastAsia="en-GB"/>
    </w:rPr>
  </w:style>
  <w:style w:type="character" w:styleId="CommentReference">
    <w:name w:val="annotation reference"/>
    <w:basedOn w:val="DefaultParagraphFont"/>
    <w:semiHidden/>
    <w:unhideWhenUsed/>
    <w:rsid w:val="00A90102"/>
    <w:rPr>
      <w:sz w:val="16"/>
      <w:szCs w:val="16"/>
    </w:rPr>
  </w:style>
  <w:style w:type="paragraph" w:styleId="CommentText">
    <w:name w:val="annotation text"/>
    <w:basedOn w:val="Normal"/>
    <w:link w:val="CommentTextChar"/>
    <w:unhideWhenUsed/>
    <w:rsid w:val="00A90102"/>
    <w:rPr>
      <w:rFonts w:eastAsia="SimSun"/>
      <w:sz w:val="20"/>
    </w:rPr>
  </w:style>
  <w:style w:type="character" w:customStyle="1" w:styleId="CommentTextChar">
    <w:name w:val="Comment Text Char"/>
    <w:basedOn w:val="DefaultParagraphFont"/>
    <w:link w:val="CommentText"/>
    <w:rsid w:val="00A90102"/>
    <w:rPr>
      <w:rFonts w:ascii="Calibri" w:eastAsia="SimSun" w:hAnsi="Calibri"/>
      <w:lang w:val="en-GB" w:eastAsia="en-US"/>
    </w:rPr>
  </w:style>
  <w:style w:type="paragraph" w:customStyle="1" w:styleId="Reasons">
    <w:name w:val="Reasons"/>
    <w:basedOn w:val="Normal"/>
    <w:qFormat/>
    <w:rsid w:val="00A90102"/>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D/Cybersecurity/Pages/COP/COP.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en/ITU-D/Cybersecurity/Pages/COP/COP.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cop/Pages/defaul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D/Cybersecurity/Pages/COP/PO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5499E8FBA95843A6673D7F9A8CC40A" ma:contentTypeVersion="2" ma:contentTypeDescription="Create a new document." ma:contentTypeScope="" ma:versionID="9f93dd66defeee1aa42f6ad4ade2d3c3">
  <xsd:schema xmlns:xsd="http://www.w3.org/2001/XMLSchema" xmlns:xs="http://www.w3.org/2001/XMLSchema" xmlns:p="http://schemas.microsoft.com/office/2006/metadata/properties" xmlns:ns1="http://schemas.microsoft.com/sharepoint/v3" xmlns:ns2="ab416054-06d4-44bb-b647-9dee5ffebbc0" targetNamespace="http://schemas.microsoft.com/office/2006/metadata/properties" ma:root="true" ma:fieldsID="92fd9e9dff9d791cd57ae1dad0d1b259" ns1:_="" ns2:_="">
    <xsd:import namespace="http://schemas.microsoft.com/sharepoint/v3"/>
    <xsd:import namespace="ab416054-06d4-44bb-b647-9dee5ffebb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416054-06d4-44bb-b647-9dee5ffebbc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34379-CEF9-461D-81DD-0C139019D83D}"/>
</file>

<file path=customXml/itemProps2.xml><?xml version="1.0" encoding="utf-8"?>
<ds:datastoreItem xmlns:ds="http://schemas.openxmlformats.org/officeDocument/2006/customXml" ds:itemID="{AA04ED2A-FC0D-49E7-96E0-9D51C75A7578}">
  <ds:schemaRefs>
    <ds:schemaRef ds:uri="http://schemas.microsoft.com/office/infopath/2007/PartnerControls"/>
    <ds:schemaRef ds:uri="98b04e1e-0540-4930-9623-702d547a0a33"/>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085b46e1-7f22-4e81-9ba5-912dc5a5fd9a"/>
    <ds:schemaRef ds:uri="http://www.w3.org/XML/1998/namespace"/>
    <ds:schemaRef ds:uri="http://purl.org/dc/terms/"/>
  </ds:schemaRefs>
</ds:datastoreItem>
</file>

<file path=customXml/itemProps3.xml><?xml version="1.0" encoding="utf-8"?>
<ds:datastoreItem xmlns:ds="http://schemas.openxmlformats.org/officeDocument/2006/customXml" ds:itemID="{026DA86D-11F6-413E-9922-6984394F30AB}">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Council Working Group on Child Onlinie Protection</dc:subject>
  <dc:creator>LRT</dc:creator>
  <cp:keywords>CWG-COP, C24, Council-24</cp:keywords>
  <dc:description/>
  <cp:lastModifiedBy>WANG, Yuting</cp:lastModifiedBy>
  <cp:revision>2</cp:revision>
  <dcterms:created xsi:type="dcterms:W3CDTF">2024-12-02T10:28:00Z</dcterms:created>
  <dcterms:modified xsi:type="dcterms:W3CDTF">2024-12-02T10:28:00Z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0x0101006D5499E8FBA95843A6673D7F9A8CC40A</vt:lpwstr>
  </property>
  <property fmtid="{D5CDD505-2E9C-101B-9397-08002B2CF9AE}" pid="3" name="MediaServiceImageTags">
    <vt:lpwstr/>
  </property>
</Properties>
</file>