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Borders>
          <w:bottom w:val="single" w:sz="4" w:space="0" w:color="00B0F0"/>
        </w:tblBorders>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2D7D33" w:rsidRPr="00683C32" w14:paraId="64E99182" w14:textId="77777777" w:rsidTr="00437FA4">
        <w:trPr>
          <w:cantSplit/>
          <w:trHeight w:val="1134"/>
        </w:trPr>
        <w:tc>
          <w:tcPr>
            <w:tcW w:w="9888" w:type="dxa"/>
            <w:tcBorders>
              <w:bottom w:val="single" w:sz="4" w:space="0" w:color="00B0F0"/>
            </w:tcBorders>
          </w:tcPr>
          <w:p w14:paraId="1D985F2B" w14:textId="0ED54FD7" w:rsidR="002D7D33" w:rsidRPr="00194F24" w:rsidRDefault="002D7D33" w:rsidP="003143AB">
            <w:pPr>
              <w:tabs>
                <w:tab w:val="clear" w:pos="1191"/>
                <w:tab w:val="clear" w:pos="1588"/>
                <w:tab w:val="clear" w:pos="1985"/>
              </w:tabs>
              <w:spacing w:before="240"/>
              <w:ind w:left="34"/>
              <w:rPr>
                <w:b/>
                <w:bCs/>
                <w:sz w:val="40"/>
                <w:szCs w:val="40"/>
              </w:rPr>
            </w:pPr>
            <w:r w:rsidRPr="00194F24">
              <w:rPr>
                <w:noProof/>
                <w:color w:val="3399FF"/>
                <w:sz w:val="32"/>
                <w:szCs w:val="24"/>
                <w:lang w:val="en-US"/>
              </w:rPr>
              <w:drawing>
                <wp:anchor distT="0" distB="0" distL="114300" distR="114300" simplePos="0" relativeHeight="251659264" behindDoc="0" locked="0" layoutInCell="1" allowOverlap="1" wp14:anchorId="049C2C63" wp14:editId="765F7E8B">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0059775D">
              <w:rPr>
                <w:b/>
                <w:bCs/>
                <w:sz w:val="40"/>
                <w:szCs w:val="40"/>
              </w:rPr>
              <w:t xml:space="preserve">2nd </w:t>
            </w:r>
            <w:r w:rsidRPr="00194F24">
              <w:rPr>
                <w:b/>
                <w:bCs/>
                <w:sz w:val="40"/>
                <w:szCs w:val="40"/>
              </w:rPr>
              <w:t>TDAG Web Dialogue</w:t>
            </w:r>
            <w:r w:rsidR="0059775D">
              <w:rPr>
                <w:b/>
                <w:bCs/>
                <w:sz w:val="40"/>
                <w:szCs w:val="40"/>
              </w:rPr>
              <w:t xml:space="preserve"> on WTDC</w:t>
            </w:r>
          </w:p>
          <w:p w14:paraId="7987AC4A" w14:textId="63A65438" w:rsidR="002D7D33" w:rsidRPr="00683C32" w:rsidRDefault="0059775D" w:rsidP="003143AB">
            <w:pPr>
              <w:ind w:right="142"/>
            </w:pPr>
            <w:r>
              <w:rPr>
                <w:b/>
                <w:bCs/>
                <w:sz w:val="28"/>
                <w:szCs w:val="28"/>
              </w:rPr>
              <w:t>30 April</w:t>
            </w:r>
            <w:r w:rsidR="002D7D33" w:rsidRPr="00194F24">
              <w:rPr>
                <w:b/>
                <w:bCs/>
                <w:sz w:val="28"/>
                <w:szCs w:val="28"/>
              </w:rPr>
              <w:t xml:space="preserve"> 2020, </w:t>
            </w:r>
            <w:r w:rsidR="002D7D33">
              <w:rPr>
                <w:b/>
                <w:bCs/>
                <w:sz w:val="28"/>
                <w:szCs w:val="28"/>
              </w:rPr>
              <w:t>Online</w:t>
            </w:r>
          </w:p>
        </w:tc>
      </w:tr>
      <w:tr w:rsidR="002D7D33" w:rsidRPr="00997358" w14:paraId="22795730" w14:textId="77777777" w:rsidTr="00437FA4">
        <w:trPr>
          <w:cantSplit/>
        </w:trPr>
        <w:tc>
          <w:tcPr>
            <w:tcW w:w="9888" w:type="dxa"/>
            <w:tcBorders>
              <w:top w:val="single" w:sz="4" w:space="0" w:color="00B0F0"/>
              <w:bottom w:val="nil"/>
            </w:tcBorders>
          </w:tcPr>
          <w:p w14:paraId="6F802787" w14:textId="77777777" w:rsidR="002D7D33" w:rsidRPr="00997358" w:rsidRDefault="002D7D33" w:rsidP="003143AB">
            <w:pPr>
              <w:spacing w:before="80" w:after="80"/>
              <w:rPr>
                <w:b/>
                <w:bCs/>
                <w:sz w:val="20"/>
              </w:rPr>
            </w:pPr>
          </w:p>
        </w:tc>
      </w:tr>
      <w:tr w:rsidR="002D7D33" w:rsidRPr="0040216D" w14:paraId="765FF30E" w14:textId="77777777" w:rsidTr="00437FA4">
        <w:trPr>
          <w:cantSplit/>
        </w:trPr>
        <w:tc>
          <w:tcPr>
            <w:tcW w:w="9888" w:type="dxa"/>
            <w:tcBorders>
              <w:bottom w:val="nil"/>
            </w:tcBorders>
          </w:tcPr>
          <w:p w14:paraId="24128AB4" w14:textId="3709ABA5" w:rsidR="002D7D33" w:rsidRPr="001D0F49" w:rsidRDefault="00664B17" w:rsidP="006F7F45">
            <w:pPr>
              <w:spacing w:before="80" w:after="80"/>
              <w:jc w:val="both"/>
              <w:rPr>
                <w:b/>
                <w:bCs/>
                <w:szCs w:val="24"/>
                <w:lang w:val="fr-FR"/>
              </w:rPr>
            </w:pPr>
            <w:r>
              <w:rPr>
                <w:b/>
                <w:bCs/>
              </w:rPr>
              <w:t xml:space="preserve">2nd TDAG </w:t>
            </w:r>
            <w:r w:rsidRPr="003278DD">
              <w:rPr>
                <w:b/>
                <w:bCs/>
                <w:lang w:val="fr-FR"/>
              </w:rPr>
              <w:t xml:space="preserve">Web Dialogue on </w:t>
            </w:r>
            <w:r>
              <w:rPr>
                <w:b/>
                <w:bCs/>
                <w:lang w:val="fr-FR"/>
              </w:rPr>
              <w:t>WTDC</w:t>
            </w:r>
          </w:p>
        </w:tc>
      </w:tr>
      <w:tr w:rsidR="002D7D33" w:rsidRPr="00194F24" w14:paraId="3F43A872" w14:textId="77777777" w:rsidTr="00437FA4">
        <w:trPr>
          <w:cantSplit/>
        </w:trPr>
        <w:tc>
          <w:tcPr>
            <w:tcW w:w="9888" w:type="dxa"/>
            <w:tcBorders>
              <w:bottom w:val="nil"/>
            </w:tcBorders>
          </w:tcPr>
          <w:p w14:paraId="59FC4DDB" w14:textId="449AC9E1" w:rsidR="002D7D33" w:rsidRPr="00194F24" w:rsidRDefault="002D7D33" w:rsidP="006F7F45">
            <w:pPr>
              <w:spacing w:before="80" w:after="80"/>
              <w:rPr>
                <w:b/>
                <w:szCs w:val="24"/>
              </w:rPr>
            </w:pPr>
            <w:r w:rsidRPr="00711D17">
              <w:rPr>
                <w:szCs w:val="24"/>
                <w:lang w:val="en-US"/>
              </w:rPr>
              <w:t>Date:</w:t>
            </w:r>
            <w:r>
              <w:rPr>
                <w:b/>
                <w:bCs/>
                <w:szCs w:val="24"/>
                <w:lang w:val="en-US"/>
              </w:rPr>
              <w:t xml:space="preserve"> </w:t>
            </w:r>
            <w:r w:rsidR="00437FA4">
              <w:rPr>
                <w:b/>
                <w:bCs/>
                <w:szCs w:val="24"/>
                <w:lang w:val="en-US"/>
              </w:rPr>
              <w:t>13</w:t>
            </w:r>
            <w:r w:rsidR="00C070C7">
              <w:rPr>
                <w:b/>
                <w:bCs/>
                <w:szCs w:val="24"/>
                <w:lang w:val="en-US"/>
              </w:rPr>
              <w:t xml:space="preserve"> </w:t>
            </w:r>
            <w:r w:rsidR="006F7F45">
              <w:rPr>
                <w:b/>
                <w:bCs/>
                <w:szCs w:val="24"/>
                <w:lang w:val="en-US"/>
              </w:rPr>
              <w:t xml:space="preserve">May </w:t>
            </w:r>
            <w:r w:rsidRPr="00194F24">
              <w:rPr>
                <w:b/>
                <w:bCs/>
                <w:szCs w:val="24"/>
                <w:lang w:val="en-US"/>
              </w:rPr>
              <w:t>2020</w:t>
            </w:r>
            <w:bookmarkStart w:id="0" w:name="CreationDate"/>
            <w:bookmarkEnd w:id="0"/>
          </w:p>
        </w:tc>
      </w:tr>
      <w:tr w:rsidR="002D7D33" w:rsidRPr="00194F24" w14:paraId="335FFDE6" w14:textId="77777777" w:rsidTr="00437FA4">
        <w:trPr>
          <w:cantSplit/>
        </w:trPr>
        <w:tc>
          <w:tcPr>
            <w:tcW w:w="9888" w:type="dxa"/>
            <w:tcBorders>
              <w:bottom w:val="nil"/>
            </w:tcBorders>
          </w:tcPr>
          <w:p w14:paraId="651A0C8A" w14:textId="6BD3BDD9" w:rsidR="002D7D33" w:rsidRPr="002D7D33" w:rsidRDefault="002D7D33" w:rsidP="006F7F45">
            <w:pPr>
              <w:spacing w:before="80" w:after="80"/>
              <w:rPr>
                <w:b/>
                <w:bCs/>
                <w:lang w:val="en-US"/>
              </w:rPr>
            </w:pPr>
            <w:r w:rsidRPr="00711D17">
              <w:rPr>
                <w:szCs w:val="24"/>
              </w:rPr>
              <w:t xml:space="preserve">Title: </w:t>
            </w:r>
            <w:r w:rsidR="00470C66" w:rsidRPr="00711D17">
              <w:rPr>
                <w:b/>
                <w:bCs/>
                <w:szCs w:val="24"/>
              </w:rPr>
              <w:t>S</w:t>
            </w:r>
            <w:proofErr w:type="spellStart"/>
            <w:r w:rsidR="00876F54" w:rsidRPr="00711D17">
              <w:rPr>
                <w:b/>
                <w:bCs/>
                <w:lang w:val="en-US"/>
              </w:rPr>
              <w:t>ummary</w:t>
            </w:r>
            <w:proofErr w:type="spellEnd"/>
            <w:r w:rsidR="00876F54">
              <w:rPr>
                <w:b/>
                <w:bCs/>
                <w:lang w:val="en-US"/>
              </w:rPr>
              <w:t xml:space="preserve"> of </w:t>
            </w:r>
            <w:r w:rsidR="00711D17">
              <w:rPr>
                <w:b/>
                <w:bCs/>
                <w:lang w:val="en-US"/>
              </w:rPr>
              <w:t xml:space="preserve">the 2nd </w:t>
            </w:r>
            <w:r w:rsidR="00876F54">
              <w:rPr>
                <w:b/>
                <w:bCs/>
                <w:lang w:val="en-US"/>
              </w:rPr>
              <w:t xml:space="preserve">TDAG Web Dialogue on </w:t>
            </w:r>
            <w:r w:rsidR="006F7F45">
              <w:rPr>
                <w:b/>
                <w:bCs/>
                <w:lang w:val="en-US"/>
              </w:rPr>
              <w:t>WTDC</w:t>
            </w:r>
          </w:p>
        </w:tc>
      </w:tr>
      <w:tr w:rsidR="00125989" w:rsidRPr="00194F24" w14:paraId="0C00F008" w14:textId="77777777" w:rsidTr="00437FA4">
        <w:trPr>
          <w:cantSplit/>
        </w:trPr>
        <w:tc>
          <w:tcPr>
            <w:tcW w:w="9888" w:type="dxa"/>
            <w:tcBorders>
              <w:bottom w:val="single" w:sz="4" w:space="0" w:color="00B0F0"/>
            </w:tcBorders>
          </w:tcPr>
          <w:p w14:paraId="2C993131" w14:textId="48F9F31C" w:rsidR="002A0ECF" w:rsidRDefault="002A0ECF" w:rsidP="00631D82">
            <w:pPr>
              <w:keepNext/>
              <w:tabs>
                <w:tab w:val="clear" w:pos="794"/>
                <w:tab w:val="clear" w:pos="1191"/>
                <w:tab w:val="clear" w:pos="1588"/>
                <w:tab w:val="clear" w:pos="1985"/>
              </w:tabs>
              <w:overflowPunct/>
              <w:autoSpaceDE/>
              <w:autoSpaceDN/>
              <w:adjustRightInd/>
              <w:textAlignment w:val="auto"/>
              <w:rPr>
                <w:b/>
                <w:bCs/>
                <w:szCs w:val="24"/>
              </w:rPr>
            </w:pPr>
          </w:p>
        </w:tc>
      </w:tr>
    </w:tbl>
    <w:p w14:paraId="74DF1A12" w14:textId="76F0339B" w:rsidR="00631D82" w:rsidRPr="00437FA4" w:rsidRDefault="00631D82" w:rsidP="00437FA4">
      <w:pPr>
        <w:keepNext/>
        <w:pBdr>
          <w:bottom w:val="single" w:sz="4" w:space="1" w:color="00B0F0"/>
        </w:pBdr>
        <w:tabs>
          <w:tab w:val="left" w:pos="567"/>
          <w:tab w:val="left" w:pos="1134"/>
          <w:tab w:val="left" w:pos="1701"/>
        </w:tabs>
        <w:spacing w:before="480"/>
        <w:rPr>
          <w:rFonts w:cstheme="minorHAnsi"/>
          <w:b/>
          <w:bCs/>
          <w:color w:val="7F7F7F" w:themeColor="text1" w:themeTint="80"/>
          <w:szCs w:val="24"/>
        </w:rPr>
      </w:pPr>
      <w:r w:rsidRPr="00437FA4">
        <w:rPr>
          <w:rFonts w:cstheme="minorHAnsi"/>
          <w:b/>
          <w:bCs/>
          <w:color w:val="7F7F7F" w:themeColor="text1" w:themeTint="80"/>
          <w:szCs w:val="24"/>
        </w:rPr>
        <w:t>Summary</w:t>
      </w:r>
    </w:p>
    <w:p w14:paraId="1831B5C8" w14:textId="258EBDC6" w:rsidR="006F7F45" w:rsidRPr="00437FA4" w:rsidRDefault="006F7F45" w:rsidP="00437FA4">
      <w:pPr>
        <w:tabs>
          <w:tab w:val="left" w:pos="567"/>
          <w:tab w:val="left" w:pos="1134"/>
          <w:tab w:val="left" w:pos="1701"/>
        </w:tabs>
        <w:rPr>
          <w:rFonts w:cstheme="minorHAnsi"/>
          <w:szCs w:val="24"/>
        </w:rPr>
      </w:pPr>
      <w:r w:rsidRPr="00437FA4">
        <w:rPr>
          <w:rFonts w:cstheme="minorHAnsi"/>
          <w:szCs w:val="24"/>
        </w:rPr>
        <w:t xml:space="preserve">This document </w:t>
      </w:r>
      <w:r w:rsidR="00943DC9" w:rsidRPr="00437FA4">
        <w:rPr>
          <w:rFonts w:cstheme="minorHAnsi"/>
          <w:szCs w:val="24"/>
        </w:rPr>
        <w:t xml:space="preserve">provides a summary of </w:t>
      </w:r>
      <w:r w:rsidRPr="00437FA4">
        <w:rPr>
          <w:rFonts w:cstheme="minorHAnsi"/>
          <w:szCs w:val="24"/>
        </w:rPr>
        <w:t>the Second Web Dialogue on the reform of the World Telecommunication Development Conference (WTDC) held on 30 April 2020, and which attracted over 200 participants.</w:t>
      </w:r>
    </w:p>
    <w:p w14:paraId="46176617" w14:textId="77777777" w:rsidR="006F7F45" w:rsidRPr="00437FA4" w:rsidRDefault="006F7F45" w:rsidP="00437FA4">
      <w:pPr>
        <w:tabs>
          <w:tab w:val="left" w:pos="567"/>
          <w:tab w:val="left" w:pos="1134"/>
          <w:tab w:val="left" w:pos="1701"/>
        </w:tabs>
        <w:rPr>
          <w:rFonts w:cstheme="minorHAnsi"/>
          <w:szCs w:val="24"/>
        </w:rPr>
      </w:pPr>
      <w:r w:rsidRPr="00437FA4">
        <w:rPr>
          <w:rFonts w:cstheme="minorHAnsi"/>
          <w:szCs w:val="24"/>
        </w:rPr>
        <w:t>In the first Web Dialogue held on 24 March 2020, four thematic areas emerged as a focus for WTDC change.</w:t>
      </w:r>
    </w:p>
    <w:p w14:paraId="0AB44F2F" w14:textId="77777777" w:rsidR="006F7F45" w:rsidRPr="00437FA4" w:rsidRDefault="006F7F45" w:rsidP="00437FA4">
      <w:pPr>
        <w:pStyle w:val="ListParagraph"/>
        <w:numPr>
          <w:ilvl w:val="0"/>
          <w:numId w:val="13"/>
        </w:numPr>
        <w:shd w:val="clear" w:color="auto" w:fill="FFFFFF"/>
        <w:tabs>
          <w:tab w:val="clear" w:pos="1871"/>
          <w:tab w:val="clear" w:pos="2268"/>
          <w:tab w:val="left" w:pos="567"/>
          <w:tab w:val="left" w:pos="1701"/>
        </w:tabs>
        <w:overflowPunct/>
        <w:autoSpaceDE/>
        <w:autoSpaceDN/>
        <w:adjustRightInd/>
        <w:spacing w:before="60"/>
        <w:ind w:left="1134" w:hanging="567"/>
        <w:contextualSpacing w:val="0"/>
        <w:rPr>
          <w:rFonts w:cstheme="minorHAnsi"/>
          <w:szCs w:val="24"/>
        </w:rPr>
      </w:pPr>
      <w:r w:rsidRPr="00437FA4">
        <w:rPr>
          <w:rFonts w:cstheme="minorHAnsi"/>
          <w:szCs w:val="24"/>
        </w:rPr>
        <w:t>Preparatory process</w:t>
      </w:r>
    </w:p>
    <w:p w14:paraId="424E74D9" w14:textId="77777777" w:rsidR="006F7F45" w:rsidRPr="00437FA4" w:rsidRDefault="006F7F45" w:rsidP="00437FA4">
      <w:pPr>
        <w:pStyle w:val="ListParagraph"/>
        <w:numPr>
          <w:ilvl w:val="0"/>
          <w:numId w:val="13"/>
        </w:numPr>
        <w:shd w:val="clear" w:color="auto" w:fill="FFFFFF"/>
        <w:tabs>
          <w:tab w:val="clear" w:pos="1871"/>
          <w:tab w:val="clear" w:pos="2268"/>
          <w:tab w:val="left" w:pos="567"/>
          <w:tab w:val="left" w:pos="1701"/>
        </w:tabs>
        <w:overflowPunct/>
        <w:autoSpaceDE/>
        <w:autoSpaceDN/>
        <w:adjustRightInd/>
        <w:spacing w:before="60"/>
        <w:ind w:left="1134" w:hanging="567"/>
        <w:contextualSpacing w:val="0"/>
        <w:rPr>
          <w:rFonts w:cstheme="minorHAnsi"/>
          <w:szCs w:val="24"/>
        </w:rPr>
      </w:pPr>
      <w:r w:rsidRPr="00437FA4">
        <w:rPr>
          <w:rFonts w:cstheme="minorHAnsi"/>
          <w:szCs w:val="24"/>
        </w:rPr>
        <w:t>Content and structure</w:t>
      </w:r>
    </w:p>
    <w:p w14:paraId="56E57A34" w14:textId="77777777" w:rsidR="006F7F45" w:rsidRPr="00437FA4" w:rsidRDefault="006F7F45" w:rsidP="00437FA4">
      <w:pPr>
        <w:pStyle w:val="ListParagraph"/>
        <w:numPr>
          <w:ilvl w:val="0"/>
          <w:numId w:val="13"/>
        </w:numPr>
        <w:shd w:val="clear" w:color="auto" w:fill="FFFFFF"/>
        <w:tabs>
          <w:tab w:val="clear" w:pos="1871"/>
          <w:tab w:val="clear" w:pos="2268"/>
          <w:tab w:val="left" w:pos="567"/>
          <w:tab w:val="left" w:pos="1701"/>
        </w:tabs>
        <w:overflowPunct/>
        <w:autoSpaceDE/>
        <w:autoSpaceDN/>
        <w:adjustRightInd/>
        <w:spacing w:before="60"/>
        <w:ind w:left="1134" w:hanging="567"/>
        <w:contextualSpacing w:val="0"/>
        <w:rPr>
          <w:rFonts w:cstheme="minorHAnsi"/>
          <w:szCs w:val="24"/>
        </w:rPr>
      </w:pPr>
      <w:r w:rsidRPr="00437FA4">
        <w:rPr>
          <w:rFonts w:cstheme="minorHAnsi"/>
          <w:szCs w:val="24"/>
        </w:rPr>
        <w:t>Stakeholder engagement</w:t>
      </w:r>
    </w:p>
    <w:p w14:paraId="3C8E00C5" w14:textId="77777777" w:rsidR="006F7F45" w:rsidRPr="00437FA4" w:rsidRDefault="006F7F45" w:rsidP="00437FA4">
      <w:pPr>
        <w:pStyle w:val="ListParagraph"/>
        <w:numPr>
          <w:ilvl w:val="0"/>
          <w:numId w:val="13"/>
        </w:numPr>
        <w:shd w:val="clear" w:color="auto" w:fill="FFFFFF"/>
        <w:tabs>
          <w:tab w:val="clear" w:pos="1871"/>
          <w:tab w:val="clear" w:pos="2268"/>
          <w:tab w:val="left" w:pos="567"/>
          <w:tab w:val="left" w:pos="1701"/>
        </w:tabs>
        <w:overflowPunct/>
        <w:autoSpaceDE/>
        <w:autoSpaceDN/>
        <w:adjustRightInd/>
        <w:spacing w:before="60"/>
        <w:ind w:left="1134" w:hanging="567"/>
        <w:contextualSpacing w:val="0"/>
        <w:rPr>
          <w:rFonts w:cstheme="minorHAnsi"/>
          <w:szCs w:val="24"/>
        </w:rPr>
      </w:pPr>
      <w:r w:rsidRPr="00437FA4">
        <w:rPr>
          <w:rFonts w:cstheme="minorHAnsi"/>
          <w:szCs w:val="24"/>
        </w:rPr>
        <w:t>Side events.</w:t>
      </w:r>
    </w:p>
    <w:p w14:paraId="25D3C20D" w14:textId="0BF1AAEC" w:rsidR="006F7F45" w:rsidRPr="00437FA4" w:rsidRDefault="006F7F45" w:rsidP="00437FA4">
      <w:pPr>
        <w:tabs>
          <w:tab w:val="left" w:pos="567"/>
          <w:tab w:val="left" w:pos="1134"/>
          <w:tab w:val="left" w:pos="1701"/>
        </w:tabs>
        <w:rPr>
          <w:rFonts w:cstheme="minorHAnsi"/>
          <w:szCs w:val="24"/>
        </w:rPr>
      </w:pPr>
      <w:r w:rsidRPr="00437FA4">
        <w:rPr>
          <w:rFonts w:cstheme="minorHAnsi"/>
          <w:szCs w:val="24"/>
        </w:rPr>
        <w:t>Th</w:t>
      </w:r>
      <w:r w:rsidR="0098137B" w:rsidRPr="00437FA4">
        <w:rPr>
          <w:rFonts w:cstheme="minorHAnsi"/>
          <w:szCs w:val="24"/>
        </w:rPr>
        <w:t>e</w:t>
      </w:r>
      <w:r w:rsidRPr="00437FA4">
        <w:rPr>
          <w:rFonts w:cstheme="minorHAnsi"/>
          <w:szCs w:val="24"/>
        </w:rPr>
        <w:t xml:space="preserve"> second Web Dialogue provided the opportunity to </w:t>
      </w:r>
      <w:r w:rsidR="004A0545" w:rsidRPr="00437FA4">
        <w:rPr>
          <w:rFonts w:cstheme="minorHAnsi"/>
          <w:szCs w:val="24"/>
        </w:rPr>
        <w:t xml:space="preserve">firm up </w:t>
      </w:r>
      <w:r w:rsidRPr="00437FA4">
        <w:rPr>
          <w:rFonts w:cstheme="minorHAnsi"/>
          <w:szCs w:val="24"/>
        </w:rPr>
        <w:t>the preliminary proposals on WTDC reform</w:t>
      </w:r>
      <w:r w:rsidRPr="00437FA4">
        <w:rPr>
          <w:rFonts w:cstheme="minorHAnsi"/>
          <w:color w:val="444444"/>
          <w:szCs w:val="24"/>
        </w:rPr>
        <w:t xml:space="preserve"> </w:t>
      </w:r>
      <w:r w:rsidRPr="00437FA4">
        <w:rPr>
          <w:rFonts w:cstheme="minorHAnsi"/>
          <w:szCs w:val="24"/>
        </w:rPr>
        <w:t xml:space="preserve">and present them to the 25th meeting of the Telecommunication Development Advisory Group (TDAG) </w:t>
      </w:r>
      <w:r w:rsidR="0098137B" w:rsidRPr="00437FA4">
        <w:rPr>
          <w:rFonts w:cstheme="minorHAnsi"/>
          <w:szCs w:val="24"/>
        </w:rPr>
        <w:t xml:space="preserve">in June 2020 </w:t>
      </w:r>
      <w:r w:rsidRPr="00437FA4">
        <w:rPr>
          <w:rFonts w:cstheme="minorHAnsi"/>
          <w:szCs w:val="24"/>
        </w:rPr>
        <w:t xml:space="preserve">for wider consideration and decision. </w:t>
      </w:r>
    </w:p>
    <w:p w14:paraId="47C8206C" w14:textId="74962996" w:rsidR="006F7F45" w:rsidRPr="00437FA4" w:rsidRDefault="006F7F45" w:rsidP="00437FA4">
      <w:pPr>
        <w:tabs>
          <w:tab w:val="left" w:pos="567"/>
          <w:tab w:val="left" w:pos="1134"/>
          <w:tab w:val="left" w:pos="1701"/>
        </w:tabs>
        <w:rPr>
          <w:rFonts w:cstheme="minorHAnsi"/>
          <w:szCs w:val="24"/>
        </w:rPr>
      </w:pPr>
      <w:r w:rsidRPr="00437FA4">
        <w:rPr>
          <w:rFonts w:cstheme="minorHAnsi"/>
          <w:szCs w:val="24"/>
        </w:rPr>
        <w:t>The preliminary proposals were produced in cooperation between the secretariat and the moderators and fire starters from the fi</w:t>
      </w:r>
      <w:r w:rsidR="0098137B" w:rsidRPr="00437FA4">
        <w:rPr>
          <w:rFonts w:cstheme="minorHAnsi"/>
          <w:szCs w:val="24"/>
        </w:rPr>
        <w:t xml:space="preserve">rst dialogue and relate to the </w:t>
      </w:r>
      <w:r w:rsidRPr="00437FA4">
        <w:rPr>
          <w:rFonts w:cstheme="minorHAnsi"/>
          <w:szCs w:val="24"/>
        </w:rPr>
        <w:t xml:space="preserve">four topics </w:t>
      </w:r>
      <w:r w:rsidR="0098137B" w:rsidRPr="00437FA4">
        <w:rPr>
          <w:rFonts w:cstheme="minorHAnsi"/>
          <w:szCs w:val="24"/>
        </w:rPr>
        <w:t>above</w:t>
      </w:r>
      <w:r w:rsidRPr="00437FA4">
        <w:rPr>
          <w:rFonts w:cstheme="minorHAnsi"/>
          <w:szCs w:val="24"/>
        </w:rPr>
        <w:t xml:space="preserve">. </w:t>
      </w:r>
    </w:p>
    <w:p w14:paraId="5B72D5A9" w14:textId="0CE04CC7" w:rsidR="006F7F45" w:rsidRPr="00437FA4" w:rsidRDefault="006F7F45" w:rsidP="00437FA4">
      <w:pPr>
        <w:keepNext/>
        <w:pBdr>
          <w:bottom w:val="single" w:sz="4" w:space="1" w:color="00B0F0"/>
        </w:pBdr>
        <w:tabs>
          <w:tab w:val="left" w:pos="567"/>
          <w:tab w:val="left" w:pos="1134"/>
          <w:tab w:val="left" w:pos="1701"/>
        </w:tabs>
        <w:spacing w:before="240"/>
        <w:rPr>
          <w:rFonts w:cstheme="minorHAnsi"/>
          <w:b/>
          <w:bCs/>
          <w:color w:val="7F7F7F" w:themeColor="text1" w:themeTint="80"/>
          <w:szCs w:val="24"/>
        </w:rPr>
      </w:pPr>
      <w:bookmarkStart w:id="1" w:name="Proposal"/>
      <w:bookmarkEnd w:id="1"/>
      <w:r w:rsidRPr="00437FA4">
        <w:rPr>
          <w:rFonts w:cstheme="minorHAnsi"/>
          <w:b/>
          <w:bCs/>
          <w:color w:val="7F7F7F" w:themeColor="text1" w:themeTint="80"/>
          <w:szCs w:val="24"/>
        </w:rPr>
        <w:t>Introduction</w:t>
      </w:r>
    </w:p>
    <w:p w14:paraId="0E2BA535" w14:textId="77777777" w:rsidR="006F7F45" w:rsidRPr="00437FA4" w:rsidRDefault="006F7F45" w:rsidP="00437FA4">
      <w:pPr>
        <w:tabs>
          <w:tab w:val="left" w:pos="567"/>
          <w:tab w:val="left" w:pos="1134"/>
          <w:tab w:val="left" w:pos="1701"/>
        </w:tabs>
        <w:rPr>
          <w:rFonts w:cstheme="minorHAnsi"/>
          <w:szCs w:val="24"/>
        </w:rPr>
      </w:pPr>
      <w:r w:rsidRPr="00437FA4">
        <w:rPr>
          <w:rFonts w:cstheme="minorHAnsi"/>
          <w:szCs w:val="24"/>
        </w:rPr>
        <w:t>The World Telecommunication Development Conference (WTDC)</w:t>
      </w:r>
      <w:r w:rsidRPr="00437FA4">
        <w:rPr>
          <w:rFonts w:cstheme="minorHAnsi"/>
          <w:color w:val="00B0F0"/>
          <w:szCs w:val="24"/>
        </w:rPr>
        <w:t xml:space="preserve"> </w:t>
      </w:r>
      <w:r w:rsidRPr="00437FA4">
        <w:rPr>
          <w:rFonts w:cstheme="minorHAnsi"/>
          <w:szCs w:val="24"/>
        </w:rPr>
        <w:t xml:space="preserve">is at the very heart of digital development. COVID- 19 has put a global spotlight on connectivity, injecting new urgency and momentum to connect the 3.6 billion who are still offline. In this sense, the World Telecommunication Development Conference (WTDC-21), to be held from 8 to 19 November 2021 in Addis Ababa, Ethiopia, at the kind invitation of the Government of Ethiopia is the best chance to mobilize the global community around digital transformation and reshape the connectivity agenda. </w:t>
      </w:r>
    </w:p>
    <w:p w14:paraId="47EBFE5B" w14:textId="1F4E726E" w:rsidR="006F7F45" w:rsidRPr="00437FA4" w:rsidRDefault="006F7F45" w:rsidP="00437FA4">
      <w:pPr>
        <w:keepNext/>
        <w:pBdr>
          <w:bottom w:val="single" w:sz="4" w:space="1" w:color="00B0F0"/>
        </w:pBdr>
        <w:tabs>
          <w:tab w:val="left" w:pos="567"/>
          <w:tab w:val="left" w:pos="1134"/>
          <w:tab w:val="left" w:pos="1701"/>
        </w:tabs>
        <w:spacing w:before="240"/>
        <w:rPr>
          <w:rFonts w:cstheme="minorHAnsi"/>
          <w:b/>
          <w:bCs/>
          <w:color w:val="7F7F7F" w:themeColor="text1" w:themeTint="80"/>
          <w:szCs w:val="24"/>
        </w:rPr>
      </w:pPr>
      <w:r w:rsidRPr="00437FA4">
        <w:rPr>
          <w:rFonts w:cstheme="minorHAnsi"/>
          <w:b/>
          <w:bCs/>
          <w:color w:val="7F7F7F" w:themeColor="text1" w:themeTint="80"/>
          <w:szCs w:val="24"/>
        </w:rPr>
        <w:t>Topic 1: Preparatory process</w:t>
      </w:r>
    </w:p>
    <w:p w14:paraId="3182B797" w14:textId="77777777" w:rsidR="006F7F45" w:rsidRPr="00437FA4" w:rsidRDefault="006F7F45" w:rsidP="00482A5F">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rPr>
      </w:pPr>
      <w:bookmarkStart w:id="2" w:name="The_small_size_of_offices_and_scale_of_g"/>
      <w:bookmarkEnd w:id="2"/>
      <w:r w:rsidRPr="00437FA4">
        <w:rPr>
          <w:rFonts w:asciiTheme="minorHAnsi" w:eastAsiaTheme="minorEastAsia" w:hAnsiTheme="minorHAnsi" w:cstheme="minorHAnsi"/>
          <w:color w:val="00B0F0"/>
          <w:kern w:val="24"/>
        </w:rPr>
        <w:t xml:space="preserve">The context </w:t>
      </w:r>
    </w:p>
    <w:p w14:paraId="42D696A8" w14:textId="6839E233" w:rsidR="00943DC9" w:rsidRPr="00437FA4" w:rsidRDefault="00943DC9" w:rsidP="00437FA4">
      <w:pPr>
        <w:tabs>
          <w:tab w:val="left" w:pos="567"/>
          <w:tab w:val="left" w:pos="1134"/>
          <w:tab w:val="left" w:pos="1701"/>
        </w:tabs>
        <w:rPr>
          <w:rFonts w:cstheme="minorHAnsi"/>
          <w:szCs w:val="24"/>
        </w:rPr>
      </w:pPr>
      <w:r w:rsidRPr="00437FA4">
        <w:rPr>
          <w:rFonts w:cstheme="minorHAnsi"/>
          <w:szCs w:val="24"/>
        </w:rPr>
        <w:t xml:space="preserve">The preparatory process should be robust enough to </w:t>
      </w:r>
      <w:r w:rsidR="00A14FE4" w:rsidRPr="00437FA4">
        <w:rPr>
          <w:rFonts w:cstheme="minorHAnsi"/>
          <w:szCs w:val="24"/>
        </w:rPr>
        <w:t xml:space="preserve">facilitate consensus </w:t>
      </w:r>
      <w:r w:rsidRPr="00437FA4">
        <w:rPr>
          <w:rFonts w:cstheme="minorHAnsi"/>
          <w:szCs w:val="24"/>
        </w:rPr>
        <w:t xml:space="preserve">so that WTDC is profitable to all participants in terms of time and value for money.  </w:t>
      </w:r>
    </w:p>
    <w:p w14:paraId="23794FA2" w14:textId="1DB68D67" w:rsidR="006F7F45" w:rsidRPr="00437FA4" w:rsidRDefault="00A14FE4" w:rsidP="00437FA4">
      <w:pPr>
        <w:shd w:val="clear" w:color="auto" w:fill="FFFFFF"/>
        <w:tabs>
          <w:tab w:val="left" w:pos="567"/>
          <w:tab w:val="left" w:pos="1134"/>
          <w:tab w:val="left" w:pos="1701"/>
        </w:tabs>
        <w:rPr>
          <w:rFonts w:cstheme="minorHAnsi"/>
          <w:szCs w:val="24"/>
        </w:rPr>
      </w:pPr>
      <w:r w:rsidRPr="00437FA4">
        <w:rPr>
          <w:rFonts w:cstheme="minorHAnsi"/>
          <w:szCs w:val="24"/>
        </w:rPr>
        <w:t>The main conclusions reached at the</w:t>
      </w:r>
      <w:r w:rsidR="0030699B" w:rsidRPr="00437FA4">
        <w:rPr>
          <w:rFonts w:cstheme="minorHAnsi"/>
          <w:szCs w:val="24"/>
        </w:rPr>
        <w:t xml:space="preserve"> first dialogue were reiterated: I</w:t>
      </w:r>
      <w:r w:rsidR="006F7F45" w:rsidRPr="00437FA4">
        <w:rPr>
          <w:rFonts w:cstheme="minorHAnsi"/>
          <w:szCs w:val="24"/>
        </w:rPr>
        <w:t xml:space="preserve">t is desirable to introduce interregional meetings to improve the preparatory process to deliver real results and foster </w:t>
      </w:r>
      <w:r w:rsidR="006F7F45" w:rsidRPr="00437FA4">
        <w:rPr>
          <w:rFonts w:cstheme="minorHAnsi"/>
          <w:szCs w:val="24"/>
        </w:rPr>
        <w:lastRenderedPageBreak/>
        <w:t xml:space="preserve">agreement ahead of WTDC-21.The agenda for those interregional meetings should be on all matters that need interregional consensus, such as resolutions, study group Questions, a declaration and development projects needing  funding. The role of regional telecommunication organizations in identifying critical issues within a specific region should be stressed. Coordination between BDT and regional telecommunication organizations should be </w:t>
      </w:r>
      <w:proofErr w:type="gramStart"/>
      <w:r w:rsidR="006F7F45" w:rsidRPr="00437FA4">
        <w:rPr>
          <w:rFonts w:cstheme="minorHAnsi"/>
          <w:szCs w:val="24"/>
        </w:rPr>
        <w:t>strengthened  in</w:t>
      </w:r>
      <w:proofErr w:type="gramEnd"/>
      <w:r w:rsidR="006F7F45" w:rsidRPr="00437FA4">
        <w:rPr>
          <w:rFonts w:cstheme="minorHAnsi"/>
          <w:szCs w:val="24"/>
        </w:rPr>
        <w:t xml:space="preserve"> the preparatory process for WTDC. </w:t>
      </w:r>
    </w:p>
    <w:p w14:paraId="7FF0C168" w14:textId="77777777" w:rsidR="006F7F45" w:rsidRPr="00437FA4" w:rsidRDefault="006F7F45" w:rsidP="00437FA4">
      <w:pPr>
        <w:tabs>
          <w:tab w:val="left" w:pos="567"/>
          <w:tab w:val="left" w:pos="1134"/>
          <w:tab w:val="left" w:pos="1701"/>
        </w:tabs>
        <w:rPr>
          <w:rFonts w:cstheme="minorHAnsi"/>
          <w:szCs w:val="24"/>
        </w:rPr>
      </w:pPr>
      <w:r w:rsidRPr="00437FA4">
        <w:rPr>
          <w:rFonts w:cstheme="minorHAnsi"/>
          <w:szCs w:val="24"/>
        </w:rPr>
        <w:t xml:space="preserve">As a general conclusion, preference was expressed for a preparatory process that starts early and attempts to highlight the main issues and resolves as many of them as possible before the conference begins. In this sense, interregional meetings are considered a good step in improving the preparatory process, but they must have clear agendas and clear and specific tasks on which to seek consensus before the conference. </w:t>
      </w:r>
    </w:p>
    <w:p w14:paraId="52389E87" w14:textId="115DEA91" w:rsidR="006F7F45" w:rsidRPr="00437FA4" w:rsidRDefault="006F7F45" w:rsidP="00437FA4">
      <w:pPr>
        <w:shd w:val="clear" w:color="auto" w:fill="FFFFFF"/>
        <w:tabs>
          <w:tab w:val="left" w:pos="567"/>
          <w:tab w:val="left" w:pos="1134"/>
          <w:tab w:val="left" w:pos="1701"/>
        </w:tabs>
        <w:rPr>
          <w:rFonts w:cstheme="minorHAnsi"/>
          <w:szCs w:val="24"/>
        </w:rPr>
      </w:pPr>
      <w:r w:rsidRPr="00437FA4">
        <w:rPr>
          <w:rFonts w:cstheme="minorHAnsi"/>
          <w:szCs w:val="24"/>
        </w:rPr>
        <w:t xml:space="preserve">Two proposals were presented on </w:t>
      </w:r>
      <w:r w:rsidR="0030699B" w:rsidRPr="00437FA4">
        <w:rPr>
          <w:rFonts w:cstheme="minorHAnsi"/>
          <w:szCs w:val="24"/>
        </w:rPr>
        <w:t xml:space="preserve">the </w:t>
      </w:r>
      <w:r w:rsidRPr="00437FA4">
        <w:rPr>
          <w:rFonts w:cstheme="minorHAnsi"/>
          <w:szCs w:val="24"/>
        </w:rPr>
        <w:t>preparatory process.</w:t>
      </w:r>
    </w:p>
    <w:p w14:paraId="612682AC" w14:textId="77777777" w:rsidR="006F7F45" w:rsidRPr="00437FA4" w:rsidRDefault="006F7F45" w:rsidP="00482A5F">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rPr>
      </w:pPr>
      <w:r w:rsidRPr="00437FA4">
        <w:rPr>
          <w:rFonts w:asciiTheme="minorHAnsi" w:eastAsiaTheme="minorEastAsia" w:hAnsiTheme="minorHAnsi" w:cstheme="minorHAnsi"/>
          <w:color w:val="00B0F0"/>
          <w:kern w:val="24"/>
        </w:rPr>
        <w:t xml:space="preserve">The proposals </w:t>
      </w:r>
    </w:p>
    <w:p w14:paraId="1D6FF453" w14:textId="3EE612B7" w:rsidR="006F7F45" w:rsidRPr="00437FA4" w:rsidRDefault="006F7F45" w:rsidP="00437FA4">
      <w:pPr>
        <w:pStyle w:val="NormalWeb"/>
        <w:numPr>
          <w:ilvl w:val="0"/>
          <w:numId w:val="23"/>
        </w:numPr>
        <w:tabs>
          <w:tab w:val="left" w:pos="567"/>
          <w:tab w:val="left" w:pos="1134"/>
          <w:tab w:val="left" w:pos="1701"/>
        </w:tabs>
        <w:spacing w:before="120" w:beforeAutospacing="0" w:after="0" w:afterAutospacing="0"/>
        <w:ind w:left="567" w:hanging="567"/>
        <w:rPr>
          <w:rFonts w:asciiTheme="minorHAnsi" w:hAnsiTheme="minorHAnsi" w:cstheme="minorHAnsi"/>
        </w:rPr>
      </w:pPr>
      <w:r w:rsidRPr="00437FA4">
        <w:rPr>
          <w:rFonts w:asciiTheme="minorHAnsi" w:eastAsiaTheme="minorEastAsia" w:hAnsiTheme="minorHAnsi" w:cstheme="minorHAnsi"/>
          <w:b/>
          <w:bCs/>
          <w:color w:val="000000" w:themeColor="text1"/>
          <w:kern w:val="24"/>
        </w:rPr>
        <w:t>Proposal 1.1</w:t>
      </w:r>
      <w:r w:rsidRPr="00437FA4">
        <w:rPr>
          <w:rFonts w:asciiTheme="minorHAnsi" w:eastAsiaTheme="minorEastAsia" w:hAnsiTheme="minorHAnsi" w:cstheme="minorHAnsi"/>
          <w:color w:val="000000" w:themeColor="text1"/>
          <w:kern w:val="24"/>
        </w:rPr>
        <w:t xml:space="preserve"> A formal interregional conference preparatory process could be put in place by ITU. The goal of these interregional preparatory meetings (IPMs) would be to foster agreement between regions on key issues ahead of the conference. Three physical IPMs could be organized, each one to be held back-to-back with RPMs 2, 4 and 6, respectively.</w:t>
      </w:r>
    </w:p>
    <w:p w14:paraId="6AFCE6F2" w14:textId="77777777" w:rsidR="006F7F45" w:rsidRPr="00437FA4" w:rsidRDefault="006F7F45" w:rsidP="00437FA4">
      <w:pPr>
        <w:pStyle w:val="NormalWeb"/>
        <w:numPr>
          <w:ilvl w:val="0"/>
          <w:numId w:val="23"/>
        </w:numPr>
        <w:tabs>
          <w:tab w:val="left" w:pos="567"/>
          <w:tab w:val="left" w:pos="1134"/>
          <w:tab w:val="left" w:pos="1701"/>
        </w:tabs>
        <w:spacing w:before="120" w:beforeAutospacing="0" w:after="0" w:afterAutospacing="0"/>
        <w:ind w:left="567" w:hanging="567"/>
        <w:rPr>
          <w:rFonts w:asciiTheme="minorHAnsi" w:eastAsiaTheme="minorEastAsia" w:hAnsiTheme="minorHAnsi" w:cstheme="minorHAnsi"/>
          <w:color w:val="000000" w:themeColor="text1"/>
          <w:kern w:val="24"/>
        </w:rPr>
      </w:pPr>
      <w:r w:rsidRPr="00437FA4">
        <w:rPr>
          <w:rFonts w:asciiTheme="minorHAnsi" w:eastAsiaTheme="minorEastAsia" w:hAnsiTheme="minorHAnsi" w:cstheme="minorHAnsi"/>
          <w:b/>
          <w:bCs/>
          <w:color w:val="000000" w:themeColor="text1"/>
          <w:kern w:val="24"/>
        </w:rPr>
        <w:t>Proposal 1.2</w:t>
      </w:r>
      <w:r w:rsidRPr="00437FA4">
        <w:rPr>
          <w:rFonts w:asciiTheme="minorHAnsi" w:eastAsiaTheme="minorEastAsia" w:hAnsiTheme="minorHAnsi" w:cstheme="minorHAnsi"/>
          <w:color w:val="000000" w:themeColor="text1"/>
          <w:kern w:val="24"/>
        </w:rPr>
        <w:t xml:space="preserve"> The Bureau could advise and assist RTOs with their preparations for the conference, while maintaining independence. This task would include advising the RTOs on the result of the streamlining process undertaken by TDAG and proposing editorial amendments to Resolutions, as appropriate. </w:t>
      </w:r>
    </w:p>
    <w:p w14:paraId="0334C71B" w14:textId="051D9118" w:rsidR="006F7F45" w:rsidRPr="00437FA4" w:rsidRDefault="006F7F45" w:rsidP="00482A5F">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rPr>
      </w:pPr>
      <w:r w:rsidRPr="00437FA4">
        <w:rPr>
          <w:rFonts w:asciiTheme="minorHAnsi" w:eastAsiaTheme="minorEastAsia" w:hAnsiTheme="minorHAnsi" w:cstheme="minorHAnsi"/>
          <w:color w:val="00B0F0"/>
          <w:kern w:val="24"/>
        </w:rPr>
        <w:t xml:space="preserve">The </w:t>
      </w:r>
      <w:r w:rsidR="00DB7467" w:rsidRPr="00437FA4">
        <w:rPr>
          <w:rFonts w:asciiTheme="minorHAnsi" w:eastAsiaTheme="minorEastAsia" w:hAnsiTheme="minorHAnsi" w:cstheme="minorHAnsi"/>
          <w:color w:val="00B0F0"/>
          <w:kern w:val="24"/>
        </w:rPr>
        <w:t>discussion</w:t>
      </w:r>
      <w:r w:rsidRPr="00437FA4">
        <w:rPr>
          <w:rFonts w:asciiTheme="minorHAnsi" w:eastAsiaTheme="minorEastAsia" w:hAnsiTheme="minorHAnsi" w:cstheme="minorHAnsi"/>
          <w:color w:val="00B0F0"/>
          <w:kern w:val="24"/>
        </w:rPr>
        <w:t xml:space="preserve">  </w:t>
      </w:r>
    </w:p>
    <w:p w14:paraId="5C44CF62" w14:textId="1F23C57A" w:rsidR="006F7F45" w:rsidRPr="00437FA4" w:rsidRDefault="006F7F45" w:rsidP="00437FA4">
      <w:pPr>
        <w:tabs>
          <w:tab w:val="left" w:pos="567"/>
          <w:tab w:val="left" w:pos="1134"/>
          <w:tab w:val="left" w:pos="1701"/>
        </w:tabs>
        <w:rPr>
          <w:rFonts w:cstheme="minorHAnsi"/>
          <w:szCs w:val="24"/>
        </w:rPr>
      </w:pPr>
      <w:r w:rsidRPr="00437FA4">
        <w:rPr>
          <w:rFonts w:cstheme="minorHAnsi"/>
          <w:b/>
          <w:szCs w:val="24"/>
        </w:rPr>
        <w:t xml:space="preserve">Interregional </w:t>
      </w:r>
      <w:r w:rsidRPr="00437FA4">
        <w:rPr>
          <w:rFonts w:eastAsiaTheme="minorEastAsia" w:cstheme="minorHAnsi"/>
          <w:b/>
          <w:color w:val="000000" w:themeColor="text1"/>
          <w:kern w:val="24"/>
          <w:szCs w:val="24"/>
        </w:rPr>
        <w:t>preparatory</w:t>
      </w:r>
      <w:r w:rsidRPr="00437FA4">
        <w:rPr>
          <w:rFonts w:cstheme="minorHAnsi"/>
          <w:b/>
          <w:szCs w:val="24"/>
        </w:rPr>
        <w:t xml:space="preserve"> meetings</w:t>
      </w:r>
      <w:r w:rsidRPr="00437FA4">
        <w:rPr>
          <w:rFonts w:cstheme="minorHAnsi"/>
          <w:szCs w:val="24"/>
        </w:rPr>
        <w:t xml:space="preserve">:  Participants unanimously agreed that interregional </w:t>
      </w:r>
      <w:r w:rsidRPr="00437FA4">
        <w:rPr>
          <w:rFonts w:eastAsiaTheme="minorEastAsia" w:cstheme="minorHAnsi"/>
          <w:color w:val="000000" w:themeColor="text1"/>
          <w:kern w:val="24"/>
          <w:szCs w:val="24"/>
        </w:rPr>
        <w:t>preparatory</w:t>
      </w:r>
      <w:r w:rsidRPr="00437FA4">
        <w:rPr>
          <w:rFonts w:cstheme="minorHAnsi"/>
          <w:szCs w:val="24"/>
        </w:rPr>
        <w:t xml:space="preserve"> meetings would certainly help foster consensus and agreement on certain issues before WTDC, but that these meetings must absolutely have a clearly defined format and clear agendas. </w:t>
      </w:r>
      <w:r w:rsidR="006C3562" w:rsidRPr="00437FA4">
        <w:rPr>
          <w:rFonts w:cstheme="minorHAnsi"/>
          <w:szCs w:val="24"/>
        </w:rPr>
        <w:t>T</w:t>
      </w:r>
      <w:r w:rsidRPr="00437FA4">
        <w:rPr>
          <w:rFonts w:cstheme="minorHAnsi"/>
          <w:szCs w:val="24"/>
        </w:rPr>
        <w:t>here is still the need to ponde</w:t>
      </w:r>
      <w:r w:rsidR="006C3562" w:rsidRPr="00437FA4">
        <w:rPr>
          <w:rFonts w:cstheme="minorHAnsi"/>
          <w:szCs w:val="24"/>
        </w:rPr>
        <w:t xml:space="preserve">r </w:t>
      </w:r>
      <w:r w:rsidRPr="00437FA4">
        <w:rPr>
          <w:rFonts w:cstheme="minorHAnsi"/>
          <w:szCs w:val="24"/>
        </w:rPr>
        <w:t xml:space="preserve">over the fact that outcomes of interregional </w:t>
      </w:r>
      <w:r w:rsidRPr="00437FA4">
        <w:rPr>
          <w:rFonts w:eastAsiaTheme="minorEastAsia" w:cstheme="minorHAnsi"/>
          <w:color w:val="000000" w:themeColor="text1"/>
          <w:kern w:val="24"/>
          <w:szCs w:val="24"/>
        </w:rPr>
        <w:t>preparatory</w:t>
      </w:r>
      <w:r w:rsidRPr="00437FA4">
        <w:rPr>
          <w:rFonts w:cstheme="minorHAnsi"/>
          <w:szCs w:val="24"/>
        </w:rPr>
        <w:t xml:space="preserve"> meetings are not binding on Member States, as</w:t>
      </w:r>
      <w:r w:rsidR="006C3562" w:rsidRPr="00437FA4">
        <w:rPr>
          <w:rFonts w:cstheme="minorHAnsi"/>
          <w:szCs w:val="24"/>
        </w:rPr>
        <w:t xml:space="preserve"> they</w:t>
      </w:r>
      <w:r w:rsidRPr="00437FA4">
        <w:rPr>
          <w:rFonts w:cstheme="minorHAnsi"/>
          <w:szCs w:val="24"/>
        </w:rPr>
        <w:t xml:space="preserve"> have the sovereign right to submit proposals to the conference, irrespective of the outcomes of interregional meetings. </w:t>
      </w:r>
    </w:p>
    <w:p w14:paraId="56D4B83E" w14:textId="6703E4FD" w:rsidR="006F7F45" w:rsidRPr="00437FA4" w:rsidRDefault="006F7F45" w:rsidP="00437FA4">
      <w:pPr>
        <w:tabs>
          <w:tab w:val="left" w:pos="567"/>
          <w:tab w:val="left" w:pos="1134"/>
          <w:tab w:val="left" w:pos="1701"/>
        </w:tabs>
        <w:rPr>
          <w:rFonts w:cstheme="minorHAnsi"/>
          <w:szCs w:val="24"/>
        </w:rPr>
      </w:pPr>
      <w:r w:rsidRPr="00437FA4">
        <w:rPr>
          <w:rFonts w:cstheme="minorHAnsi"/>
          <w:b/>
          <w:szCs w:val="24"/>
        </w:rPr>
        <w:t>Financial implications of regional preparatory meetings (RPMs) and interregional preparatory meetings:</w:t>
      </w:r>
      <w:r w:rsidRPr="00437FA4">
        <w:rPr>
          <w:rFonts w:cstheme="minorHAnsi"/>
          <w:szCs w:val="24"/>
        </w:rPr>
        <w:t xml:space="preserve"> Noting that proposal 1.1 refers to holding six</w:t>
      </w:r>
      <w:r w:rsidRPr="00437FA4">
        <w:rPr>
          <w:rFonts w:cstheme="minorHAnsi"/>
          <w:szCs w:val="24"/>
          <w:vertAlign w:val="superscript"/>
        </w:rPr>
        <w:footnoteReference w:customMarkFollows="1" w:id="1"/>
        <w:t>1</w:t>
      </w:r>
      <w:r w:rsidRPr="00437FA4">
        <w:rPr>
          <w:rFonts w:cstheme="minorHAnsi"/>
          <w:szCs w:val="24"/>
        </w:rPr>
        <w:t xml:space="preserve"> regional preparatory meetings (RPMs) plus three interregional meetings, a number of participants underlined the importance of considering the financial implications associated with all these meetings</w:t>
      </w:r>
      <w:r w:rsidR="00F65A2F" w:rsidRPr="00437FA4">
        <w:rPr>
          <w:rFonts w:cstheme="minorHAnsi"/>
          <w:szCs w:val="24"/>
        </w:rPr>
        <w:t xml:space="preserve">. It was </w:t>
      </w:r>
      <w:r w:rsidRPr="00437FA4">
        <w:rPr>
          <w:rFonts w:cstheme="minorHAnsi"/>
          <w:szCs w:val="24"/>
        </w:rPr>
        <w:t xml:space="preserve">suggested that the decision taken on this matter should be consistent with the financial resources available to ITU. </w:t>
      </w:r>
    </w:p>
    <w:p w14:paraId="1FFEA674" w14:textId="4B394383" w:rsidR="006F7F45" w:rsidRPr="00437FA4" w:rsidRDefault="006F7F45" w:rsidP="00437FA4">
      <w:pPr>
        <w:tabs>
          <w:tab w:val="left" w:pos="567"/>
          <w:tab w:val="left" w:pos="1134"/>
          <w:tab w:val="left" w:pos="1701"/>
        </w:tabs>
        <w:rPr>
          <w:rFonts w:cstheme="minorHAnsi"/>
          <w:szCs w:val="24"/>
        </w:rPr>
      </w:pPr>
      <w:r w:rsidRPr="00437FA4">
        <w:rPr>
          <w:rFonts w:cstheme="minorHAnsi"/>
          <w:b/>
          <w:szCs w:val="24"/>
        </w:rPr>
        <w:t>Proper planning</w:t>
      </w:r>
      <w:r w:rsidRPr="00437FA4">
        <w:rPr>
          <w:rFonts w:cstheme="minorHAnsi"/>
          <w:szCs w:val="24"/>
        </w:rPr>
        <w:t xml:space="preserve"> </w:t>
      </w:r>
      <w:r w:rsidRPr="00437FA4">
        <w:rPr>
          <w:rFonts w:cstheme="minorHAnsi"/>
          <w:b/>
          <w:szCs w:val="24"/>
        </w:rPr>
        <w:t xml:space="preserve">of regional and interregional preparatory meetings is critical to the sustainability of the preparatory process. </w:t>
      </w:r>
      <w:r w:rsidR="000456AF" w:rsidRPr="00437FA4">
        <w:rPr>
          <w:rFonts w:cstheme="minorHAnsi"/>
          <w:szCs w:val="24"/>
        </w:rPr>
        <w:t>A</w:t>
      </w:r>
      <w:r w:rsidRPr="00437FA4">
        <w:rPr>
          <w:rFonts w:cstheme="minorHAnsi"/>
          <w:szCs w:val="24"/>
        </w:rPr>
        <w:t>ll regional telecommunication organizations have good practice, and some have already started defining their work plans for WTDC-21. In the</w:t>
      </w:r>
      <w:r w:rsidRPr="00437FA4">
        <w:rPr>
          <w:rFonts w:cstheme="minorHAnsi"/>
          <w:color w:val="000000"/>
          <w:szCs w:val="24"/>
          <w:shd w:val="clear" w:color="auto" w:fill="FFFFFF"/>
        </w:rPr>
        <w:t xml:space="preserve"> Regional Commonwealth in the Field of Communications (RCC)</w:t>
      </w:r>
      <w:r w:rsidRPr="00437FA4">
        <w:rPr>
          <w:rFonts w:cstheme="minorHAnsi"/>
          <w:szCs w:val="24"/>
        </w:rPr>
        <w:t xml:space="preserve">, which usually has three or four meetings, one of these meetings could be an RPM and would be useful for discussing different inputs concerning not only resolutions, but also regional initiatives and the declaration. In the Americas, </w:t>
      </w:r>
      <w:r w:rsidRPr="00437FA4">
        <w:rPr>
          <w:rFonts w:cstheme="minorHAnsi"/>
          <w:color w:val="3C4043"/>
          <w:szCs w:val="24"/>
          <w:shd w:val="clear" w:color="auto" w:fill="FFFFFF"/>
        </w:rPr>
        <w:t>the Inter-American Telecommunication Commission (</w:t>
      </w:r>
      <w:r w:rsidRPr="00437FA4">
        <w:rPr>
          <w:rFonts w:cstheme="minorHAnsi"/>
          <w:szCs w:val="24"/>
        </w:rPr>
        <w:t>CITEL) also has a preparatory process and sought to know whether it would</w:t>
      </w:r>
      <w:r w:rsidR="00F65A2F" w:rsidRPr="00437FA4">
        <w:rPr>
          <w:rFonts w:cstheme="minorHAnsi"/>
          <w:szCs w:val="24"/>
        </w:rPr>
        <w:t xml:space="preserve"> </w:t>
      </w:r>
      <w:r w:rsidRPr="00437FA4">
        <w:rPr>
          <w:rFonts w:cstheme="minorHAnsi"/>
          <w:szCs w:val="24"/>
        </w:rPr>
        <w:t xml:space="preserve">be feasible or not to have an RPM which is tied to, </w:t>
      </w:r>
      <w:r w:rsidRPr="00437FA4">
        <w:rPr>
          <w:rFonts w:cstheme="minorHAnsi"/>
          <w:szCs w:val="24"/>
        </w:rPr>
        <w:lastRenderedPageBreak/>
        <w:t xml:space="preserve">or back to back with a CITEL preparatory meeting? </w:t>
      </w:r>
      <w:r w:rsidR="00DB7467" w:rsidRPr="00437FA4">
        <w:rPr>
          <w:rFonts w:cstheme="minorHAnsi"/>
          <w:szCs w:val="24"/>
        </w:rPr>
        <w:br/>
      </w:r>
      <w:r w:rsidRPr="00437FA4">
        <w:rPr>
          <w:rFonts w:cstheme="minorHAnsi"/>
          <w:b/>
          <w:szCs w:val="24"/>
        </w:rPr>
        <w:t>Define the number of representatives from each region to attend interregional meetings</w:t>
      </w:r>
      <w:r w:rsidRPr="00437FA4">
        <w:rPr>
          <w:rFonts w:cstheme="minorHAnsi"/>
          <w:szCs w:val="24"/>
        </w:rPr>
        <w:t xml:space="preserve">. Such representatives need to be empowered or mandated by their regional telecommunication organizations to share the opinions and proposals from their respective regions on the different topics of the agendas of interregional meetings.  </w:t>
      </w:r>
    </w:p>
    <w:p w14:paraId="0744814B" w14:textId="77777777" w:rsidR="006F7F45" w:rsidRPr="00437FA4" w:rsidRDefault="006F7F45" w:rsidP="00437FA4">
      <w:pPr>
        <w:tabs>
          <w:tab w:val="left" w:pos="567"/>
          <w:tab w:val="left" w:pos="1134"/>
          <w:tab w:val="left" w:pos="1701"/>
        </w:tabs>
        <w:rPr>
          <w:rFonts w:cstheme="minorHAnsi"/>
          <w:szCs w:val="24"/>
        </w:rPr>
      </w:pPr>
      <w:r w:rsidRPr="00437FA4">
        <w:rPr>
          <w:rFonts w:cstheme="minorHAnsi"/>
          <w:b/>
          <w:szCs w:val="24"/>
        </w:rPr>
        <w:t>Decide on the chairmanship of interregional meetings</w:t>
      </w:r>
      <w:r w:rsidRPr="00437FA4">
        <w:rPr>
          <w:rFonts w:cstheme="minorHAnsi"/>
          <w:szCs w:val="24"/>
        </w:rPr>
        <w:t xml:space="preserve">. It was proposed to use the example of the 2018 Plenipotentiary Conference, where informal interregional </w:t>
      </w:r>
      <w:r w:rsidRPr="00437FA4">
        <w:rPr>
          <w:rFonts w:eastAsiaTheme="minorEastAsia" w:cstheme="minorHAnsi"/>
          <w:color w:val="000000" w:themeColor="text1"/>
          <w:kern w:val="24"/>
          <w:szCs w:val="24"/>
        </w:rPr>
        <w:t>preparatory</w:t>
      </w:r>
      <w:r w:rsidRPr="00437FA4">
        <w:rPr>
          <w:rFonts w:cstheme="minorHAnsi"/>
          <w:szCs w:val="24"/>
        </w:rPr>
        <w:t xml:space="preserve"> meetings were chaired by the Chairman Designate; organization of the work of the conference committees was agreed upon between the regions beforehand; and where proposals of chairmen and vice-chairmen were also first discussed and agreed informally between the regions beforehand. </w:t>
      </w:r>
    </w:p>
    <w:p w14:paraId="6A20C2DB" w14:textId="76675EB9" w:rsidR="006F7F45" w:rsidRPr="00437FA4" w:rsidRDefault="006F7F45" w:rsidP="00437FA4">
      <w:pPr>
        <w:tabs>
          <w:tab w:val="left" w:pos="567"/>
          <w:tab w:val="left" w:pos="1134"/>
          <w:tab w:val="left" w:pos="1701"/>
        </w:tabs>
        <w:rPr>
          <w:rFonts w:cstheme="minorHAnsi"/>
          <w:szCs w:val="24"/>
        </w:rPr>
      </w:pPr>
      <w:r w:rsidRPr="00437FA4">
        <w:rPr>
          <w:rFonts w:cstheme="minorHAnsi"/>
          <w:b/>
          <w:szCs w:val="24"/>
        </w:rPr>
        <w:t xml:space="preserve">Establish a list of coordinators from each region for each topic on the conference agenda. Again, the </w:t>
      </w:r>
      <w:r w:rsidRPr="00437FA4">
        <w:rPr>
          <w:rFonts w:cstheme="minorHAnsi"/>
          <w:szCs w:val="24"/>
        </w:rPr>
        <w:t xml:space="preserve">example used for the 2018 Plenipotentiary Conference of linking people leading different topics in different regions was considered useful.  Participants agreed that a list of contacts of people from the various regions in charge of WTDC resolutions, declaration, and study group Questions would be helpful in starting informal discussions and </w:t>
      </w:r>
      <w:r w:rsidR="00F65A2F" w:rsidRPr="00437FA4">
        <w:rPr>
          <w:rFonts w:cstheme="minorHAnsi"/>
          <w:szCs w:val="24"/>
        </w:rPr>
        <w:t xml:space="preserve">would </w:t>
      </w:r>
      <w:r w:rsidRPr="00437FA4">
        <w:rPr>
          <w:rFonts w:cstheme="minorHAnsi"/>
          <w:szCs w:val="24"/>
        </w:rPr>
        <w:t xml:space="preserve">contribute </w:t>
      </w:r>
      <w:r w:rsidRPr="00437FA4">
        <w:rPr>
          <w:rFonts w:cstheme="minorHAnsi"/>
          <w:color w:val="000000"/>
          <w:szCs w:val="24"/>
        </w:rPr>
        <w:t>to high-quality preparations</w:t>
      </w:r>
      <w:r w:rsidR="00F65A2F" w:rsidRPr="00437FA4">
        <w:rPr>
          <w:rFonts w:cstheme="minorHAnsi"/>
          <w:color w:val="000000"/>
          <w:szCs w:val="24"/>
        </w:rPr>
        <w:t xml:space="preserve"> </w:t>
      </w:r>
      <w:r w:rsidRPr="00437FA4">
        <w:rPr>
          <w:rFonts w:cstheme="minorHAnsi"/>
          <w:color w:val="000000"/>
          <w:szCs w:val="24"/>
        </w:rPr>
        <w:t>for WTDC.</w:t>
      </w:r>
    </w:p>
    <w:p w14:paraId="05E036A3" w14:textId="77777777" w:rsidR="006F7F45" w:rsidRPr="00437FA4" w:rsidRDefault="006F7F45" w:rsidP="00437FA4">
      <w:pPr>
        <w:tabs>
          <w:tab w:val="left" w:pos="567"/>
          <w:tab w:val="left" w:pos="1134"/>
          <w:tab w:val="left" w:pos="1701"/>
        </w:tabs>
        <w:rPr>
          <w:rFonts w:cstheme="minorHAnsi"/>
          <w:szCs w:val="24"/>
        </w:rPr>
      </w:pPr>
      <w:r w:rsidRPr="00437FA4">
        <w:rPr>
          <w:rFonts w:cstheme="minorHAnsi"/>
          <w:b/>
          <w:szCs w:val="24"/>
        </w:rPr>
        <w:t xml:space="preserve">Define a calendar </w:t>
      </w:r>
      <w:proofErr w:type="gramStart"/>
      <w:r w:rsidRPr="00437FA4">
        <w:rPr>
          <w:rFonts w:cstheme="minorHAnsi"/>
          <w:b/>
          <w:szCs w:val="24"/>
        </w:rPr>
        <w:t>taking into account</w:t>
      </w:r>
      <w:proofErr w:type="gramEnd"/>
      <w:r w:rsidRPr="00437FA4">
        <w:rPr>
          <w:rFonts w:cstheme="minorHAnsi"/>
          <w:b/>
          <w:szCs w:val="24"/>
        </w:rPr>
        <w:t xml:space="preserve"> the ITU-led and the regional telecommunication organizations preparatory processes. </w:t>
      </w:r>
      <w:r w:rsidRPr="00437FA4">
        <w:rPr>
          <w:rFonts w:cstheme="minorHAnsi"/>
          <w:szCs w:val="24"/>
        </w:rPr>
        <w:t xml:space="preserve">It was proposed that interregional </w:t>
      </w:r>
      <w:r w:rsidRPr="00437FA4">
        <w:rPr>
          <w:rFonts w:eastAsiaTheme="minorEastAsia" w:cstheme="minorHAnsi"/>
          <w:color w:val="000000" w:themeColor="text1"/>
          <w:kern w:val="24"/>
          <w:szCs w:val="24"/>
        </w:rPr>
        <w:t>preparatory</w:t>
      </w:r>
      <w:r w:rsidRPr="00437FA4">
        <w:rPr>
          <w:rFonts w:cstheme="minorHAnsi"/>
          <w:szCs w:val="24"/>
        </w:rPr>
        <w:t xml:space="preserve"> meetings could start in 2021 back to back with regional preparatory meetings. There was a request to consider the possibility of holding one interregional meeting either back to back with the last TDAG meeting before WTDC, or with any other relevant ITU meeting. </w:t>
      </w:r>
    </w:p>
    <w:p w14:paraId="059CADFC" w14:textId="1CA5E1AC" w:rsidR="006F7F45" w:rsidRPr="00437FA4" w:rsidRDefault="006F7F45" w:rsidP="00437FA4">
      <w:pPr>
        <w:tabs>
          <w:tab w:val="left" w:pos="567"/>
          <w:tab w:val="left" w:pos="851"/>
          <w:tab w:val="left" w:pos="1134"/>
          <w:tab w:val="left" w:pos="1701"/>
        </w:tabs>
        <w:rPr>
          <w:rFonts w:cstheme="minorHAnsi"/>
          <w:szCs w:val="24"/>
        </w:rPr>
      </w:pPr>
      <w:r w:rsidRPr="00437FA4">
        <w:rPr>
          <w:rFonts w:cstheme="minorHAnsi"/>
          <w:b/>
          <w:szCs w:val="24"/>
        </w:rPr>
        <w:t>Inter-Sectoral matters</w:t>
      </w:r>
      <w:r w:rsidR="00947DA4" w:rsidRPr="00437FA4">
        <w:rPr>
          <w:rFonts w:cstheme="minorHAnsi"/>
          <w:b/>
          <w:szCs w:val="24"/>
        </w:rPr>
        <w:t xml:space="preserve">: </w:t>
      </w:r>
      <w:r w:rsidR="00947DA4" w:rsidRPr="00437FA4">
        <w:rPr>
          <w:rFonts w:cstheme="minorHAnsi"/>
          <w:szCs w:val="24"/>
        </w:rPr>
        <w:t>These matters</w:t>
      </w:r>
      <w:r w:rsidR="00947DA4" w:rsidRPr="00437FA4">
        <w:rPr>
          <w:rFonts w:cstheme="minorHAnsi"/>
          <w:b/>
          <w:szCs w:val="24"/>
        </w:rPr>
        <w:t xml:space="preserve"> </w:t>
      </w:r>
      <w:r w:rsidRPr="00437FA4">
        <w:rPr>
          <w:rFonts w:cstheme="minorHAnsi"/>
          <w:szCs w:val="24"/>
        </w:rPr>
        <w:t xml:space="preserve">should also be discussed during interregional </w:t>
      </w:r>
      <w:r w:rsidRPr="00437FA4">
        <w:rPr>
          <w:rFonts w:eastAsiaTheme="minorEastAsia" w:cstheme="minorHAnsi"/>
          <w:kern w:val="24"/>
          <w:szCs w:val="24"/>
        </w:rPr>
        <w:t>preparatory</w:t>
      </w:r>
      <w:r w:rsidRPr="00437FA4">
        <w:rPr>
          <w:rFonts w:cstheme="minorHAnsi"/>
          <w:szCs w:val="24"/>
        </w:rPr>
        <w:t xml:space="preserve"> meetings </w:t>
      </w:r>
      <w:r w:rsidR="00947DA4" w:rsidRPr="00437FA4">
        <w:rPr>
          <w:rFonts w:cstheme="minorHAnsi"/>
          <w:szCs w:val="24"/>
        </w:rPr>
        <w:t>given that o</w:t>
      </w:r>
      <w:r w:rsidRPr="00437FA4">
        <w:rPr>
          <w:rFonts w:cstheme="minorHAnsi"/>
          <w:szCs w:val="24"/>
        </w:rPr>
        <w:t xml:space="preserve">ther ITU conferences review what is being done </w:t>
      </w:r>
      <w:r w:rsidR="00947DA4" w:rsidRPr="00437FA4">
        <w:rPr>
          <w:rFonts w:cstheme="minorHAnsi"/>
          <w:szCs w:val="24"/>
        </w:rPr>
        <w:t xml:space="preserve">across the Union, </w:t>
      </w:r>
      <w:r w:rsidRPr="00437FA4">
        <w:rPr>
          <w:rFonts w:cstheme="minorHAnsi"/>
          <w:szCs w:val="24"/>
        </w:rPr>
        <w:t>and this is important to avoid duplication of effort and strengthen cooperation and joint activity on issues of mutual interest among the three Sectors and the General Secretariat, paying particular attention to developing country interests.</w:t>
      </w:r>
    </w:p>
    <w:p w14:paraId="66CB5ACF" w14:textId="063D735A" w:rsidR="006F7F45" w:rsidRPr="00437FA4" w:rsidRDefault="00947DA4" w:rsidP="00437FA4">
      <w:pPr>
        <w:tabs>
          <w:tab w:val="left" w:pos="567"/>
          <w:tab w:val="left" w:pos="1134"/>
          <w:tab w:val="left" w:pos="1701"/>
        </w:tabs>
        <w:rPr>
          <w:rFonts w:cstheme="minorHAnsi"/>
          <w:szCs w:val="24"/>
        </w:rPr>
      </w:pPr>
      <w:r w:rsidRPr="00437FA4">
        <w:rPr>
          <w:rFonts w:cstheme="minorHAnsi"/>
          <w:szCs w:val="24"/>
        </w:rPr>
        <w:t>Study groups and their Questions</w:t>
      </w:r>
      <w:r w:rsidR="006F7F45" w:rsidRPr="00437FA4">
        <w:rPr>
          <w:rFonts w:cstheme="minorHAnsi"/>
          <w:b/>
          <w:szCs w:val="24"/>
        </w:rPr>
        <w:t>:</w:t>
      </w:r>
      <w:r w:rsidR="006F7F45" w:rsidRPr="00437FA4">
        <w:rPr>
          <w:rFonts w:cstheme="minorHAnsi"/>
          <w:szCs w:val="24"/>
        </w:rPr>
        <w:t xml:space="preserve"> How will discussions on study groups and their Questions fit into the agenda of regional and interregional preparatory meetings?  The conference maintains, </w:t>
      </w:r>
      <w:proofErr w:type="gramStart"/>
      <w:r w:rsidR="006F7F45" w:rsidRPr="00437FA4">
        <w:rPr>
          <w:rFonts w:cstheme="minorHAnsi"/>
          <w:szCs w:val="24"/>
        </w:rPr>
        <w:t>terminates</w:t>
      </w:r>
      <w:proofErr w:type="gramEnd"/>
      <w:r w:rsidR="006F7F45" w:rsidRPr="00437FA4">
        <w:rPr>
          <w:rFonts w:cstheme="minorHAnsi"/>
          <w:szCs w:val="24"/>
        </w:rPr>
        <w:t xml:space="preserve"> or creates study groups and allocate</w:t>
      </w:r>
      <w:r w:rsidRPr="00437FA4">
        <w:rPr>
          <w:rFonts w:cstheme="minorHAnsi"/>
          <w:szCs w:val="24"/>
        </w:rPr>
        <w:t>s</w:t>
      </w:r>
      <w:r w:rsidR="006F7F45" w:rsidRPr="00437FA4">
        <w:rPr>
          <w:rFonts w:cstheme="minorHAnsi"/>
          <w:szCs w:val="24"/>
        </w:rPr>
        <w:t xml:space="preserve"> to each one of them Questions to be studied. In between the conferences, TDAG has a vision of the study groups and their Questions. </w:t>
      </w:r>
      <w:proofErr w:type="spellStart"/>
      <w:proofErr w:type="gramStart"/>
      <w:r w:rsidR="004A0545" w:rsidRPr="00437FA4">
        <w:rPr>
          <w:rFonts w:cstheme="minorHAnsi"/>
          <w:szCs w:val="24"/>
        </w:rPr>
        <w:t>Their</w:t>
      </w:r>
      <w:proofErr w:type="spellEnd"/>
      <w:proofErr w:type="gramEnd"/>
      <w:r w:rsidR="004A0545" w:rsidRPr="00437FA4">
        <w:rPr>
          <w:rFonts w:cstheme="minorHAnsi"/>
          <w:szCs w:val="24"/>
        </w:rPr>
        <w:t xml:space="preserve"> </w:t>
      </w:r>
      <w:r w:rsidRPr="00437FA4">
        <w:rPr>
          <w:rFonts w:cstheme="minorHAnsi"/>
          <w:szCs w:val="24"/>
        </w:rPr>
        <w:t>were calls to:</w:t>
      </w:r>
    </w:p>
    <w:p w14:paraId="2267B53B" w14:textId="743F9259" w:rsidR="006F7F45" w:rsidRPr="00437FA4" w:rsidRDefault="006F7F45" w:rsidP="00437FA4">
      <w:pPr>
        <w:pStyle w:val="ListParagraph"/>
        <w:numPr>
          <w:ilvl w:val="0"/>
          <w:numId w:val="27"/>
        </w:numPr>
        <w:tabs>
          <w:tab w:val="left" w:pos="567"/>
          <w:tab w:val="left" w:pos="1701"/>
        </w:tabs>
        <w:overflowPunct/>
        <w:autoSpaceDE/>
        <w:autoSpaceDN/>
        <w:adjustRightInd/>
        <w:ind w:left="567" w:hanging="567"/>
        <w:contextualSpacing w:val="0"/>
        <w:textAlignment w:val="auto"/>
        <w:rPr>
          <w:rFonts w:cstheme="minorHAnsi"/>
          <w:color w:val="000000"/>
          <w:szCs w:val="24"/>
        </w:rPr>
      </w:pPr>
      <w:r w:rsidRPr="00437FA4">
        <w:rPr>
          <w:rFonts w:cstheme="minorHAnsi"/>
          <w:b/>
          <w:color w:val="000000"/>
          <w:szCs w:val="24"/>
        </w:rPr>
        <w:t>Evaluate and analyse the work of study groups to see how effectively the issues raised at the previous conference have been resolved</w:t>
      </w:r>
      <w:r w:rsidRPr="00437FA4">
        <w:rPr>
          <w:rFonts w:cstheme="minorHAnsi"/>
          <w:color w:val="000000"/>
          <w:szCs w:val="24"/>
        </w:rPr>
        <w:t xml:space="preserve">. The issues submitted for consideration in the next cycle should </w:t>
      </w:r>
      <w:proofErr w:type="gramStart"/>
      <w:r w:rsidRPr="00437FA4">
        <w:rPr>
          <w:rFonts w:cstheme="minorHAnsi"/>
          <w:color w:val="000000"/>
          <w:szCs w:val="24"/>
        </w:rPr>
        <w:t>take into account</w:t>
      </w:r>
      <w:proofErr w:type="gramEnd"/>
      <w:r w:rsidRPr="00437FA4">
        <w:rPr>
          <w:rFonts w:cstheme="minorHAnsi"/>
          <w:color w:val="000000"/>
          <w:szCs w:val="24"/>
        </w:rPr>
        <w:t xml:space="preserve"> regional priorities. </w:t>
      </w:r>
      <w:r w:rsidRPr="00437FA4">
        <w:rPr>
          <w:rFonts w:cstheme="minorHAnsi"/>
          <w:szCs w:val="24"/>
        </w:rPr>
        <w:t>The management teams of ITU-D study groups have a key role to play in guiding Member States by giving their insights into what the future direction of the Questions might be.</w:t>
      </w:r>
    </w:p>
    <w:p w14:paraId="7FA05FD6" w14:textId="458A2FE5" w:rsidR="006F7F45" w:rsidRPr="00437FA4" w:rsidRDefault="006F7F45" w:rsidP="00437FA4">
      <w:pPr>
        <w:pStyle w:val="ListParagraph"/>
        <w:numPr>
          <w:ilvl w:val="0"/>
          <w:numId w:val="27"/>
        </w:numPr>
        <w:tabs>
          <w:tab w:val="left" w:pos="567"/>
          <w:tab w:val="left" w:pos="1701"/>
        </w:tabs>
        <w:overflowPunct/>
        <w:autoSpaceDE/>
        <w:autoSpaceDN/>
        <w:adjustRightInd/>
        <w:ind w:left="567" w:hanging="567"/>
        <w:contextualSpacing w:val="0"/>
        <w:textAlignment w:val="auto"/>
        <w:rPr>
          <w:rFonts w:cstheme="minorHAnsi"/>
          <w:szCs w:val="24"/>
        </w:rPr>
      </w:pPr>
      <w:r w:rsidRPr="00437FA4">
        <w:rPr>
          <w:rFonts w:cstheme="minorHAnsi"/>
          <w:b/>
          <w:szCs w:val="24"/>
        </w:rPr>
        <w:t>Establish linkages between study group Questions and BDT activities:</w:t>
      </w:r>
      <w:r w:rsidRPr="00437FA4">
        <w:rPr>
          <w:rFonts w:cstheme="minorHAnsi"/>
          <w:szCs w:val="24"/>
        </w:rPr>
        <w:t xml:space="preserve"> It was stressed that study groups should not only consider the results of their study Questions, but also how the Questions are linked to BDT activities. How, for example, are Questions linked to the statistical issues such as the creation of</w:t>
      </w:r>
      <w:r w:rsidR="00947DA4" w:rsidRPr="00437FA4">
        <w:rPr>
          <w:rFonts w:cstheme="minorHAnsi"/>
          <w:szCs w:val="24"/>
        </w:rPr>
        <w:t xml:space="preserve"> the new ITU index, how do they relate </w:t>
      </w:r>
      <w:r w:rsidRPr="00437FA4">
        <w:rPr>
          <w:rFonts w:cstheme="minorHAnsi"/>
          <w:szCs w:val="24"/>
        </w:rPr>
        <w:t xml:space="preserve">to particular resolutions, because when talking about stakeholder engagement it is  necessary for stakeholders to understand how they could participate in activities of study groups properly. Establishing these linkages would also assist countries to appoint the right people to participate in ITU-D activities in general, and in specific study group Questions. </w:t>
      </w:r>
    </w:p>
    <w:p w14:paraId="468998EA" w14:textId="763D324E" w:rsidR="006F7F45" w:rsidRPr="00437FA4" w:rsidRDefault="006F7F45" w:rsidP="00437FA4">
      <w:pPr>
        <w:pStyle w:val="ListParagraph"/>
        <w:numPr>
          <w:ilvl w:val="0"/>
          <w:numId w:val="27"/>
        </w:numPr>
        <w:tabs>
          <w:tab w:val="left" w:pos="567"/>
          <w:tab w:val="left" w:pos="1701"/>
        </w:tabs>
        <w:overflowPunct/>
        <w:autoSpaceDE/>
        <w:autoSpaceDN/>
        <w:adjustRightInd/>
        <w:ind w:left="567" w:hanging="567"/>
        <w:contextualSpacing w:val="0"/>
        <w:textAlignment w:val="auto"/>
        <w:rPr>
          <w:rFonts w:cstheme="minorHAnsi"/>
          <w:szCs w:val="24"/>
        </w:rPr>
      </w:pPr>
      <w:r w:rsidRPr="00437FA4">
        <w:rPr>
          <w:rFonts w:cstheme="minorHAnsi"/>
          <w:b/>
          <w:szCs w:val="24"/>
        </w:rPr>
        <w:lastRenderedPageBreak/>
        <w:t>Take a forward-looking approach in the development of study group Questions:</w:t>
      </w:r>
      <w:r w:rsidRPr="00437FA4">
        <w:rPr>
          <w:rFonts w:cstheme="minorHAnsi"/>
          <w:szCs w:val="24"/>
        </w:rPr>
        <w:t xml:space="preserve"> The development of study group Questions should be a forward-looking exercise. Some participants noted that topics of ITU-D study groups have not changed much over the years, despite the rapidly changing ICT development landscape. They stressed that during the preparatory process, the discussion on study Questions should have some focus on ICT trends, the digital ecosystem and digital transformation to help bridge the digital divide across the world.</w:t>
      </w:r>
    </w:p>
    <w:p w14:paraId="041B8EBC" w14:textId="36F497FF" w:rsidR="003C52C7" w:rsidRPr="00437FA4" w:rsidRDefault="003C52C7" w:rsidP="00437FA4">
      <w:pPr>
        <w:tabs>
          <w:tab w:val="left" w:pos="567"/>
          <w:tab w:val="left" w:pos="1134"/>
          <w:tab w:val="left" w:pos="1701"/>
        </w:tabs>
        <w:rPr>
          <w:rFonts w:cstheme="minorHAnsi"/>
          <w:szCs w:val="24"/>
        </w:rPr>
      </w:pPr>
      <w:r w:rsidRPr="00437FA4">
        <w:rPr>
          <w:rFonts w:cstheme="minorHAnsi"/>
          <w:szCs w:val="24"/>
        </w:rPr>
        <w:t xml:space="preserve">It was agreed that BDT shall play an advisory role, </w:t>
      </w:r>
      <w:r w:rsidR="00D91E02" w:rsidRPr="00437FA4">
        <w:rPr>
          <w:rFonts w:cstheme="minorHAnsi"/>
          <w:szCs w:val="24"/>
        </w:rPr>
        <w:t xml:space="preserve">in addition to </w:t>
      </w:r>
      <w:r w:rsidRPr="00437FA4">
        <w:rPr>
          <w:rFonts w:cstheme="minorHAnsi"/>
          <w:szCs w:val="24"/>
        </w:rPr>
        <w:t xml:space="preserve">sharing information about the preparations in different regions.  </w:t>
      </w:r>
    </w:p>
    <w:p w14:paraId="64C9C4EC" w14:textId="02986FCC" w:rsidR="00DB7467" w:rsidRPr="00437FA4" w:rsidRDefault="00DB7467" w:rsidP="002502E3">
      <w:pPr>
        <w:keepNext/>
        <w:pBdr>
          <w:bottom w:val="single" w:sz="4" w:space="1" w:color="00B0F0"/>
        </w:pBdr>
        <w:tabs>
          <w:tab w:val="left" w:pos="567"/>
          <w:tab w:val="left" w:pos="1134"/>
          <w:tab w:val="left" w:pos="1701"/>
        </w:tabs>
        <w:spacing w:before="240"/>
        <w:rPr>
          <w:rFonts w:cstheme="minorHAnsi"/>
          <w:b/>
          <w:bCs/>
          <w:color w:val="7F7F7F" w:themeColor="text1" w:themeTint="80"/>
          <w:szCs w:val="24"/>
        </w:rPr>
      </w:pPr>
      <w:r w:rsidRPr="00437FA4">
        <w:rPr>
          <w:rFonts w:cstheme="minorHAnsi"/>
          <w:b/>
          <w:bCs/>
          <w:color w:val="7F7F7F" w:themeColor="text1" w:themeTint="80"/>
          <w:szCs w:val="24"/>
        </w:rPr>
        <w:t>Topic 2: Content and structure</w:t>
      </w:r>
    </w:p>
    <w:p w14:paraId="2B949071" w14:textId="77777777" w:rsidR="00DB7467" w:rsidRPr="00437FA4" w:rsidRDefault="00DB7467" w:rsidP="00482A5F">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rPr>
      </w:pPr>
      <w:r w:rsidRPr="00437FA4">
        <w:rPr>
          <w:rFonts w:asciiTheme="minorHAnsi" w:eastAsiaTheme="minorEastAsia" w:hAnsiTheme="minorHAnsi" w:cstheme="minorHAnsi"/>
          <w:color w:val="00B0F0"/>
          <w:kern w:val="24"/>
        </w:rPr>
        <w:t xml:space="preserve">The context </w:t>
      </w:r>
    </w:p>
    <w:p w14:paraId="73786811" w14:textId="340F03D2" w:rsidR="00DB7467" w:rsidRPr="00437FA4" w:rsidRDefault="00DB7467" w:rsidP="00437FA4">
      <w:pPr>
        <w:tabs>
          <w:tab w:val="left" w:pos="567"/>
          <w:tab w:val="left" w:pos="1134"/>
          <w:tab w:val="left" w:pos="1701"/>
        </w:tabs>
        <w:rPr>
          <w:rFonts w:cstheme="minorHAnsi"/>
          <w:color w:val="000000" w:themeColor="text1"/>
          <w:szCs w:val="24"/>
        </w:rPr>
      </w:pPr>
      <w:r w:rsidRPr="00437FA4">
        <w:rPr>
          <w:rFonts w:cstheme="minorHAnsi"/>
          <w:color w:val="000000" w:themeColor="text1"/>
          <w:szCs w:val="24"/>
        </w:rPr>
        <w:t xml:space="preserve">It was recalled that the duties of WTDC are described in Articles 22 of the ITU Constitution and 16 of the ITU Convention. The WTDC structure is covered in Section 1 of </w:t>
      </w:r>
      <w:bookmarkStart w:id="3" w:name="_Toc500839526"/>
      <w:bookmarkStart w:id="4" w:name="_Toc503337203"/>
      <w:bookmarkStart w:id="5" w:name="_Toc503773880"/>
      <w:r w:rsidRPr="00437FA4">
        <w:rPr>
          <w:rFonts w:cstheme="minorHAnsi"/>
          <w:color w:val="000000" w:themeColor="text1"/>
          <w:szCs w:val="24"/>
        </w:rPr>
        <w:t xml:space="preserve">Resolution </w:t>
      </w:r>
      <w:r w:rsidRPr="00437FA4">
        <w:rPr>
          <w:rStyle w:val="href"/>
          <w:rFonts w:cstheme="minorHAnsi"/>
          <w:color w:val="000000" w:themeColor="text1"/>
          <w:szCs w:val="24"/>
        </w:rPr>
        <w:t>1</w:t>
      </w:r>
      <w:r w:rsidRPr="00437FA4">
        <w:rPr>
          <w:rFonts w:cstheme="minorHAnsi"/>
          <w:color w:val="000000" w:themeColor="text1"/>
          <w:szCs w:val="24"/>
        </w:rPr>
        <w:t xml:space="preserve"> (Rev. Buenos Aires, 2017)</w:t>
      </w:r>
      <w:bookmarkStart w:id="6" w:name="_Toc503337204"/>
      <w:bookmarkStart w:id="7" w:name="_Toc503773881"/>
      <w:bookmarkEnd w:id="3"/>
      <w:bookmarkEnd w:id="4"/>
      <w:bookmarkEnd w:id="5"/>
      <w:r w:rsidRPr="00437FA4">
        <w:rPr>
          <w:rFonts w:cstheme="minorHAnsi"/>
          <w:color w:val="000000" w:themeColor="text1"/>
          <w:szCs w:val="24"/>
        </w:rPr>
        <w:t xml:space="preserve"> of WTDC, on the rules of procedure of the ITU Telecommunication Development Sector</w:t>
      </w:r>
      <w:bookmarkEnd w:id="6"/>
      <w:bookmarkEnd w:id="7"/>
      <w:r w:rsidRPr="00437FA4">
        <w:rPr>
          <w:rFonts w:cstheme="minorHAnsi"/>
          <w:color w:val="000000" w:themeColor="text1"/>
          <w:szCs w:val="24"/>
        </w:rPr>
        <w:t xml:space="preserve">; No. 213 of the Convention addresses the draft agenda of WTDC. Under the Constitution and Convention, WTDC is not required to review the ITU-D contribution to the ITU strategic plan. However, this task is reflected under Resolution </w:t>
      </w:r>
      <w:r w:rsidRPr="00437FA4">
        <w:rPr>
          <w:rStyle w:val="href"/>
          <w:rFonts w:cstheme="minorHAnsi"/>
          <w:color w:val="000000" w:themeColor="text1"/>
          <w:szCs w:val="24"/>
        </w:rPr>
        <w:t>1</w:t>
      </w:r>
      <w:r w:rsidRPr="00437FA4">
        <w:rPr>
          <w:rFonts w:cstheme="minorHAnsi"/>
          <w:color w:val="000000" w:themeColor="text1"/>
          <w:szCs w:val="24"/>
        </w:rPr>
        <w:t xml:space="preserve"> (Rev. Buenos Aires, 2017) which says that WTDC shall establish ITU</w:t>
      </w:r>
      <w:r w:rsidRPr="00437FA4">
        <w:rPr>
          <w:rFonts w:cstheme="minorHAnsi"/>
          <w:color w:val="000000" w:themeColor="text1"/>
          <w:szCs w:val="24"/>
        </w:rPr>
        <w:noBreakHyphen/>
        <w:t xml:space="preserve">D's contribution to the draft ITU strategic plan. Thus, participants considered it within the purview of WTDC to </w:t>
      </w:r>
      <w:proofErr w:type="gramStart"/>
      <w:r w:rsidRPr="00437FA4">
        <w:rPr>
          <w:rFonts w:cstheme="minorHAnsi"/>
          <w:color w:val="000000" w:themeColor="text1"/>
          <w:szCs w:val="24"/>
        </w:rPr>
        <w:t>amend  this</w:t>
      </w:r>
      <w:proofErr w:type="gramEnd"/>
      <w:r w:rsidRPr="00437FA4">
        <w:rPr>
          <w:rFonts w:cstheme="minorHAnsi"/>
          <w:color w:val="000000" w:themeColor="text1"/>
          <w:szCs w:val="24"/>
        </w:rPr>
        <w:t xml:space="preserve"> task if it so wishes. </w:t>
      </w:r>
    </w:p>
    <w:p w14:paraId="6D3D4E28" w14:textId="77777777"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Building on the discussions and ideas of the first dialogue, seven proposals were put forward for further discussion and crystallization.  </w:t>
      </w:r>
    </w:p>
    <w:p w14:paraId="63EC49A4" w14:textId="77777777" w:rsidR="00DB7467" w:rsidRPr="00437FA4" w:rsidRDefault="00DB7467" w:rsidP="00482A5F">
      <w:pPr>
        <w:keepNext/>
        <w:tabs>
          <w:tab w:val="left" w:pos="567"/>
          <w:tab w:val="left" w:pos="1134"/>
          <w:tab w:val="left" w:pos="1701"/>
        </w:tabs>
        <w:overflowPunct/>
        <w:autoSpaceDE/>
        <w:autoSpaceDN/>
        <w:adjustRightInd/>
        <w:spacing w:line="259" w:lineRule="auto"/>
        <w:textAlignment w:val="auto"/>
        <w:rPr>
          <w:rFonts w:cstheme="minorHAnsi"/>
          <w:szCs w:val="24"/>
          <w:lang w:eastAsia="en-GB"/>
        </w:rPr>
      </w:pPr>
      <w:r w:rsidRPr="00437FA4">
        <w:rPr>
          <w:rFonts w:eastAsiaTheme="minorEastAsia" w:cstheme="minorHAnsi"/>
          <w:color w:val="00B0F0"/>
          <w:kern w:val="24"/>
          <w:szCs w:val="24"/>
          <w:lang w:val="en-US" w:eastAsia="en-GB"/>
        </w:rPr>
        <w:t>The proposals</w:t>
      </w:r>
    </w:p>
    <w:p w14:paraId="7AD2152E" w14:textId="7A016662" w:rsidR="00DB7467" w:rsidRPr="003101BE" w:rsidRDefault="00DB7467" w:rsidP="00437FA4">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Cs w:val="24"/>
        </w:rPr>
      </w:pPr>
      <w:r w:rsidRPr="00437FA4">
        <w:rPr>
          <w:rFonts w:cstheme="minorHAnsi"/>
          <w:b/>
          <w:bCs/>
          <w:szCs w:val="24"/>
        </w:rPr>
        <w:t>Proposal 2.1</w:t>
      </w:r>
      <w:r w:rsidRPr="00437FA4">
        <w:rPr>
          <w:rFonts w:cstheme="minorHAnsi"/>
          <w:szCs w:val="24"/>
        </w:rPr>
        <w:t xml:space="preserve"> The main </w:t>
      </w:r>
      <w:r w:rsidRPr="003101BE">
        <w:rPr>
          <w:rFonts w:cstheme="minorHAnsi"/>
          <w:szCs w:val="24"/>
        </w:rPr>
        <w:t xml:space="preserve">discussions at WTDC could revolve around how the development-related challenges identified during the preparatory process can be addressed and funded. </w:t>
      </w:r>
      <w:r w:rsidR="007F35D0" w:rsidRPr="003101BE">
        <w:rPr>
          <w:rFonts w:cstheme="minorHAnsi"/>
          <w:szCs w:val="24"/>
        </w:rPr>
        <w:t>A</w:t>
      </w:r>
      <w:r w:rsidRPr="003101BE">
        <w:rPr>
          <w:rFonts w:cstheme="minorHAnsi"/>
          <w:szCs w:val="24"/>
        </w:rPr>
        <w:t>ny approved action should be linked either to the existing ITU-D budget or to pledges made prior to or during the conference.</w:t>
      </w:r>
    </w:p>
    <w:p w14:paraId="68838889" w14:textId="611E6E2C" w:rsidR="00DB7467" w:rsidRPr="003101BE" w:rsidRDefault="00DB7467" w:rsidP="00437FA4">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Cs w:val="24"/>
        </w:rPr>
      </w:pPr>
      <w:r w:rsidRPr="003101BE">
        <w:rPr>
          <w:rFonts w:cstheme="minorHAnsi"/>
          <w:b/>
          <w:bCs/>
          <w:szCs w:val="24"/>
        </w:rPr>
        <w:t xml:space="preserve">Proposal 2.2: </w:t>
      </w:r>
      <w:r w:rsidRPr="003101BE">
        <w:rPr>
          <w:rFonts w:cstheme="minorHAnsi"/>
          <w:szCs w:val="24"/>
        </w:rPr>
        <w:t>WTDC could consider delegating the discussion on the ITU strategic plan to TDAG in preparation for the [next Plenipotentiary Conference</w:t>
      </w:r>
      <w:proofErr w:type="gramStart"/>
      <w:r w:rsidRPr="003101BE">
        <w:rPr>
          <w:rFonts w:cstheme="minorHAnsi"/>
          <w:szCs w:val="24"/>
        </w:rPr>
        <w:t xml:space="preserve">] </w:t>
      </w:r>
      <w:r w:rsidR="004A0545" w:rsidRPr="003101BE">
        <w:rPr>
          <w:rFonts w:cstheme="minorHAnsi"/>
          <w:szCs w:val="24"/>
        </w:rPr>
        <w:t>,</w:t>
      </w:r>
      <w:proofErr w:type="gramEnd"/>
      <w:r w:rsidRPr="003101BE">
        <w:rPr>
          <w:rFonts w:cstheme="minorHAnsi"/>
          <w:szCs w:val="24"/>
        </w:rPr>
        <w:t xml:space="preserve"> taking into account the results of WTDC. </w:t>
      </w:r>
    </w:p>
    <w:p w14:paraId="1919CF4E" w14:textId="70AE78E3" w:rsidR="00DB7467" w:rsidRPr="003101BE" w:rsidRDefault="00DB7467" w:rsidP="00437FA4">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Cs w:val="24"/>
        </w:rPr>
      </w:pPr>
      <w:r w:rsidRPr="003101BE">
        <w:rPr>
          <w:rFonts w:cstheme="minorHAnsi"/>
          <w:b/>
          <w:bCs/>
          <w:szCs w:val="24"/>
        </w:rPr>
        <w:t>Proposal 2.3</w:t>
      </w:r>
      <w:r w:rsidRPr="003101BE">
        <w:rPr>
          <w:rFonts w:cstheme="minorHAnsi"/>
          <w:szCs w:val="24"/>
        </w:rPr>
        <w:t xml:space="preserve"> The High-Level Segment (which includes delivery of policy statements) could be</w:t>
      </w:r>
      <w:r w:rsidR="006B4E8D" w:rsidRPr="003101BE">
        <w:rPr>
          <w:rFonts w:cstheme="minorHAnsi"/>
          <w:szCs w:val="24"/>
        </w:rPr>
        <w:t xml:space="preserve"> </w:t>
      </w:r>
      <w:r w:rsidRPr="003101BE">
        <w:rPr>
          <w:rFonts w:cstheme="minorHAnsi"/>
          <w:szCs w:val="24"/>
        </w:rPr>
        <w:t xml:space="preserve">repurposed to become thematic events to address development challenges and clearly identified priorities. </w:t>
      </w:r>
    </w:p>
    <w:p w14:paraId="0E32AD85" w14:textId="77777777" w:rsidR="00DB7467" w:rsidRPr="003101BE" w:rsidRDefault="00DB7467" w:rsidP="00437FA4">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Cs w:val="24"/>
        </w:rPr>
      </w:pPr>
      <w:r w:rsidRPr="003101BE">
        <w:rPr>
          <w:rFonts w:cstheme="minorHAnsi"/>
          <w:b/>
          <w:bCs/>
          <w:szCs w:val="24"/>
        </w:rPr>
        <w:t xml:space="preserve">Proposal 2.4: </w:t>
      </w:r>
      <w:r w:rsidRPr="003101BE">
        <w:rPr>
          <w:rFonts w:cstheme="minorHAnsi"/>
          <w:szCs w:val="24"/>
        </w:rPr>
        <w:t xml:space="preserve">Discussions on resolutions could primarily derive from outcomes of the preceding TDAG meetings, which would undertake efforts on streamlining. </w:t>
      </w:r>
    </w:p>
    <w:p w14:paraId="4937740C" w14:textId="4801C9C0" w:rsidR="00DB7467" w:rsidRPr="003101BE" w:rsidRDefault="00DB7467" w:rsidP="00437FA4">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Cs w:val="24"/>
        </w:rPr>
      </w:pPr>
      <w:r w:rsidRPr="003101BE">
        <w:rPr>
          <w:rFonts w:cstheme="minorHAnsi"/>
          <w:b/>
          <w:bCs/>
          <w:szCs w:val="24"/>
        </w:rPr>
        <w:t xml:space="preserve">Proposal 2.5: </w:t>
      </w:r>
      <w:r w:rsidRPr="003101BE">
        <w:rPr>
          <w:rFonts w:cstheme="minorHAnsi"/>
          <w:szCs w:val="24"/>
        </w:rPr>
        <w:t xml:space="preserve">Study Group Questions could be identified during the preparatory process, in line with the </w:t>
      </w:r>
      <w:r w:rsidR="00FA71F2" w:rsidRPr="003101BE">
        <w:rPr>
          <w:rFonts w:cstheme="minorHAnsi"/>
          <w:szCs w:val="24"/>
        </w:rPr>
        <w:t>m</w:t>
      </w:r>
      <w:r w:rsidRPr="003101BE">
        <w:rPr>
          <w:rFonts w:cstheme="minorHAnsi"/>
          <w:szCs w:val="24"/>
        </w:rPr>
        <w:t xml:space="preserve">embership needs and regional and interregional priorities. </w:t>
      </w:r>
    </w:p>
    <w:p w14:paraId="6F6BDB0E" w14:textId="77777777" w:rsidR="00DB7467" w:rsidRPr="003101BE" w:rsidRDefault="00DB7467" w:rsidP="00437FA4">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Cs w:val="24"/>
        </w:rPr>
      </w:pPr>
      <w:r w:rsidRPr="003101BE">
        <w:rPr>
          <w:rFonts w:cstheme="minorHAnsi"/>
          <w:b/>
          <w:bCs/>
          <w:szCs w:val="24"/>
        </w:rPr>
        <w:t>Proposal 2.6:</w:t>
      </w:r>
      <w:r w:rsidRPr="003101BE">
        <w:rPr>
          <w:rFonts w:cstheme="minorHAnsi"/>
          <w:szCs w:val="24"/>
        </w:rPr>
        <w:t xml:space="preserve"> The mapping of study group Questions from ITU-T to ITU-D and ITU-R to ITU-D could be improved with a view to identifying possible areas of overlap or convergence. </w:t>
      </w:r>
    </w:p>
    <w:p w14:paraId="2CAE0764" w14:textId="2B2CA503" w:rsidR="00DB7467" w:rsidRPr="00482A5F" w:rsidRDefault="00DB7467" w:rsidP="00DE4068">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Cs w:val="24"/>
        </w:rPr>
      </w:pPr>
      <w:r w:rsidRPr="00482A5F">
        <w:rPr>
          <w:rFonts w:cstheme="minorHAnsi"/>
          <w:b/>
          <w:bCs/>
          <w:szCs w:val="24"/>
        </w:rPr>
        <w:t xml:space="preserve">Proposal 2.7: </w:t>
      </w:r>
      <w:r w:rsidRPr="00482A5F">
        <w:rPr>
          <w:rFonts w:cstheme="minorHAnsi"/>
          <w:szCs w:val="24"/>
        </w:rPr>
        <w:t>RTOs could</w:t>
      </w:r>
      <w:r w:rsidR="00FA71F2" w:rsidRPr="00482A5F">
        <w:rPr>
          <w:rFonts w:cstheme="minorHAnsi"/>
          <w:szCs w:val="24"/>
        </w:rPr>
        <w:t xml:space="preserve"> elaborate a limited number of “Regional Priorities”</w:t>
      </w:r>
      <w:r w:rsidRPr="00482A5F">
        <w:rPr>
          <w:rFonts w:cstheme="minorHAnsi"/>
          <w:szCs w:val="24"/>
        </w:rPr>
        <w:t xml:space="preserve">, based on the defined development scope of the conference. </w:t>
      </w:r>
      <w:r w:rsidR="00482A5F" w:rsidRPr="00482A5F">
        <w:rPr>
          <w:rFonts w:cstheme="minorHAnsi"/>
          <w:szCs w:val="24"/>
        </w:rPr>
        <w:t xml:space="preserve"> </w:t>
      </w:r>
      <w:r w:rsidRPr="00482A5F">
        <w:rPr>
          <w:rFonts w:cstheme="minorHAnsi"/>
          <w:szCs w:val="24"/>
        </w:rPr>
        <w:t xml:space="preserve">RTOs could be encouraged to identify common priorities across regions which could be implemented within the budgetary </w:t>
      </w:r>
      <w:r w:rsidRPr="00482A5F">
        <w:rPr>
          <w:rFonts w:cstheme="minorHAnsi"/>
          <w:szCs w:val="24"/>
        </w:rPr>
        <w:lastRenderedPageBreak/>
        <w:t>limitations of BDT or linked to pledges and commitments made prior to or during the conference.</w:t>
      </w:r>
    </w:p>
    <w:p w14:paraId="2B5E6417" w14:textId="56AEC17A" w:rsidR="00DB7467" w:rsidRPr="00437FA4" w:rsidRDefault="00DB7467" w:rsidP="00482A5F">
      <w:pPr>
        <w:keepNext/>
        <w:tabs>
          <w:tab w:val="left" w:pos="567"/>
          <w:tab w:val="left" w:pos="1134"/>
          <w:tab w:val="left" w:pos="1701"/>
        </w:tabs>
        <w:overflowPunct/>
        <w:autoSpaceDE/>
        <w:autoSpaceDN/>
        <w:adjustRightInd/>
        <w:spacing w:line="259" w:lineRule="auto"/>
        <w:textAlignment w:val="auto"/>
        <w:rPr>
          <w:rFonts w:cstheme="minorHAnsi"/>
          <w:szCs w:val="24"/>
        </w:rPr>
      </w:pPr>
      <w:r w:rsidRPr="00437FA4">
        <w:rPr>
          <w:rFonts w:eastAsiaTheme="minorEastAsia" w:cstheme="minorHAnsi"/>
          <w:color w:val="00B0F0"/>
          <w:kern w:val="24"/>
          <w:szCs w:val="24"/>
          <w:lang w:val="en-US"/>
        </w:rPr>
        <w:t xml:space="preserve">The discussion </w:t>
      </w:r>
    </w:p>
    <w:p w14:paraId="5F329B3F" w14:textId="0BD9EDFA"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Participants unanimously underlined that WTDC needs to be returned to </w:t>
      </w:r>
      <w:proofErr w:type="gramStart"/>
      <w:r w:rsidRPr="00437FA4">
        <w:rPr>
          <w:rFonts w:cstheme="minorHAnsi"/>
          <w:szCs w:val="24"/>
        </w:rPr>
        <w:t>being</w:t>
      </w:r>
      <w:proofErr w:type="gramEnd"/>
      <w:r w:rsidRPr="00437FA4">
        <w:rPr>
          <w:rFonts w:cstheme="minorHAnsi"/>
          <w:szCs w:val="24"/>
        </w:rPr>
        <w:t xml:space="preserve"> a development-focused conference and that there should be close alignment with the Sustainable Development Goals (SDGs) to create value for the various stakeholders </w:t>
      </w:r>
      <w:r w:rsidR="001A38D0" w:rsidRPr="00437FA4">
        <w:rPr>
          <w:rFonts w:cstheme="minorHAnsi"/>
          <w:szCs w:val="24"/>
        </w:rPr>
        <w:t>to come on boa</w:t>
      </w:r>
      <w:r w:rsidRPr="00437FA4">
        <w:rPr>
          <w:rFonts w:cstheme="minorHAnsi"/>
          <w:szCs w:val="24"/>
        </w:rPr>
        <w:t xml:space="preserve">rd. </w:t>
      </w:r>
    </w:p>
    <w:p w14:paraId="337AB85F" w14:textId="23B22DBB"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It was widely agreed that the structure and content should be tailored around addressing critical ICT development issues identified by the regions. There were calls for a theme for WTDC-21 to help focus deliberations going forward. BDT will launch a competition to develop a theme. </w:t>
      </w:r>
    </w:p>
    <w:p w14:paraId="05FFF15A" w14:textId="64DEC08A"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While supporting Proposal 2.1, it was underlined that membership should be always made aware of the available budget and of initial pledges or possible pledges. </w:t>
      </w:r>
      <w:r w:rsidR="0088718D" w:rsidRPr="00437FA4">
        <w:rPr>
          <w:rFonts w:cstheme="minorHAnsi"/>
          <w:szCs w:val="24"/>
        </w:rPr>
        <w:t xml:space="preserve">Given that some </w:t>
      </w:r>
      <w:r w:rsidRPr="00437FA4">
        <w:rPr>
          <w:rFonts w:cstheme="minorHAnsi"/>
          <w:szCs w:val="24"/>
        </w:rPr>
        <w:t xml:space="preserve">proposals </w:t>
      </w:r>
      <w:r w:rsidR="0088718D" w:rsidRPr="00437FA4">
        <w:rPr>
          <w:rFonts w:cstheme="minorHAnsi"/>
          <w:szCs w:val="24"/>
        </w:rPr>
        <w:t xml:space="preserve">coming out of regional preparatory meetings </w:t>
      </w:r>
      <w:r w:rsidRPr="00437FA4">
        <w:rPr>
          <w:rFonts w:cstheme="minorHAnsi"/>
          <w:szCs w:val="24"/>
        </w:rPr>
        <w:t xml:space="preserve">could go way beyond the budget, it will be necessary to devise a process of rationalizing or prioritizing. </w:t>
      </w:r>
    </w:p>
    <w:p w14:paraId="46DABF32" w14:textId="77777777" w:rsidR="00DB7467" w:rsidRPr="00437FA4" w:rsidRDefault="00DB7467" w:rsidP="00437FA4">
      <w:pPr>
        <w:tabs>
          <w:tab w:val="left" w:pos="567"/>
          <w:tab w:val="left" w:pos="1134"/>
          <w:tab w:val="left" w:pos="1701"/>
        </w:tabs>
        <w:rPr>
          <w:rFonts w:cstheme="minorHAnsi"/>
          <w:iCs/>
          <w:szCs w:val="24"/>
        </w:rPr>
      </w:pPr>
      <w:r w:rsidRPr="00437FA4">
        <w:rPr>
          <w:rFonts w:cstheme="minorHAnsi"/>
          <w:szCs w:val="24"/>
        </w:rPr>
        <w:t xml:space="preserve">A number of participants suggested that WTDC could appoint TDAG to discuss and agree on the ITU-D contribution to the overall ITU strategic plan through </w:t>
      </w:r>
      <w:r w:rsidRPr="00437FA4">
        <w:rPr>
          <w:rFonts w:cstheme="minorHAnsi"/>
          <w:iCs/>
          <w:szCs w:val="24"/>
        </w:rPr>
        <w:t>Resolution 24 (Rev. Dubai, 2014) of WTDC, on “a</w:t>
      </w:r>
      <w:r w:rsidRPr="00437FA4">
        <w:rPr>
          <w:rFonts w:cstheme="minorHAnsi"/>
          <w:szCs w:val="24"/>
        </w:rPr>
        <w:t xml:space="preserve">uthorization for the Telecommunication Development Advisory Group to act between world telecommunication development conferences”.  According to this resolution, the conference can </w:t>
      </w:r>
      <w:r w:rsidRPr="00437FA4">
        <w:rPr>
          <w:rFonts w:cstheme="minorHAnsi"/>
          <w:iCs/>
          <w:szCs w:val="24"/>
        </w:rPr>
        <w:t>assign to TDAG specific matters between two consecutive WTDCs.</w:t>
      </w:r>
    </w:p>
    <w:p w14:paraId="50E5AF2A" w14:textId="77777777"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Given that streamlining resolutions is closely linked with the issue of inter-Sector coordination, some participants called for an early review and mapping of WTDC resolutions onto those of the Plenipotentiary Conference, the World Radiocommunication Conference (WRC), the Radiocommunication Assembly, and the World Telecommunication Standardization Assembly (WTSA), the aim being to remove any duplication. It was further suggested that BDT is well-placed to inform regional and interregional preparatory meetings on achievements or progress made on every resolution; and could therefore advise on new resolutions or on intended amendments to existing ones. </w:t>
      </w:r>
    </w:p>
    <w:p w14:paraId="167DBB79" w14:textId="77777777"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Some support was expressed for the proposal to repurpose high-level policy statements to become thematic events, while also noting that the conference should avoid being bogged down in many ad hoc groups created to resolve issues. </w:t>
      </w:r>
    </w:p>
    <w:p w14:paraId="708DC2EE" w14:textId="659695A6"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Study group Questions, too, take up a significant amount of conference time. But this should be weighed against coming up with good Questions that are not only reflective of the discussions that have happened in the last cycle, but also of the development needs and discussions that membership wishes to have moving forward. </w:t>
      </w:r>
      <w:r w:rsidR="0069265C" w:rsidRPr="00437FA4">
        <w:rPr>
          <w:rFonts w:cstheme="minorHAnsi"/>
          <w:szCs w:val="24"/>
        </w:rPr>
        <w:t>M</w:t>
      </w:r>
      <w:r w:rsidRPr="00437FA4">
        <w:rPr>
          <w:rFonts w:cstheme="minorHAnsi"/>
          <w:szCs w:val="24"/>
        </w:rPr>
        <w:t xml:space="preserve">apping of study group Questions across the three Sectors should continue steadily to ensure there are no overlaps.  </w:t>
      </w:r>
    </w:p>
    <w:p w14:paraId="097C2A96" w14:textId="1EEF3B61" w:rsidR="00DB7467" w:rsidRPr="00437FA4" w:rsidRDefault="0069265C" w:rsidP="00437FA4">
      <w:pPr>
        <w:tabs>
          <w:tab w:val="left" w:pos="567"/>
          <w:tab w:val="left" w:pos="1134"/>
          <w:tab w:val="left" w:pos="1701"/>
        </w:tabs>
        <w:rPr>
          <w:rFonts w:cstheme="minorHAnsi"/>
          <w:szCs w:val="24"/>
        </w:rPr>
      </w:pPr>
      <w:r w:rsidRPr="00437FA4">
        <w:rPr>
          <w:rFonts w:cstheme="minorHAnsi"/>
          <w:szCs w:val="24"/>
        </w:rPr>
        <w:t>R</w:t>
      </w:r>
      <w:r w:rsidR="00DB7467" w:rsidRPr="00437FA4">
        <w:rPr>
          <w:rFonts w:cstheme="minorHAnsi"/>
          <w:szCs w:val="24"/>
        </w:rPr>
        <w:t>egional initiatives</w:t>
      </w:r>
      <w:r w:rsidRPr="00437FA4">
        <w:rPr>
          <w:rFonts w:cstheme="minorHAnsi"/>
          <w:szCs w:val="24"/>
        </w:rPr>
        <w:t xml:space="preserve"> should be turned into </w:t>
      </w:r>
      <w:r w:rsidR="00DB7467" w:rsidRPr="00437FA4">
        <w:rPr>
          <w:rFonts w:cstheme="minorHAnsi"/>
          <w:szCs w:val="24"/>
        </w:rPr>
        <w:t>regional priorities.</w:t>
      </w:r>
      <w:r w:rsidRPr="00437FA4">
        <w:rPr>
          <w:rFonts w:cstheme="minorHAnsi"/>
          <w:szCs w:val="24"/>
        </w:rPr>
        <w:t xml:space="preserve"> This </w:t>
      </w:r>
      <w:r w:rsidR="00DB7467" w:rsidRPr="00437FA4">
        <w:rPr>
          <w:rFonts w:cstheme="minorHAnsi"/>
          <w:szCs w:val="24"/>
        </w:rPr>
        <w:t>change would help ensure that regional priorities are focused in a way that</w:t>
      </w:r>
      <w:r w:rsidRPr="00437FA4">
        <w:rPr>
          <w:rFonts w:cstheme="minorHAnsi"/>
          <w:szCs w:val="24"/>
        </w:rPr>
        <w:t xml:space="preserve"> creates a</w:t>
      </w:r>
      <w:r w:rsidR="00DB7467" w:rsidRPr="00437FA4">
        <w:rPr>
          <w:rFonts w:cstheme="minorHAnsi"/>
          <w:szCs w:val="24"/>
        </w:rPr>
        <w:t xml:space="preserve"> wider</w:t>
      </w:r>
      <w:r w:rsidRPr="00437FA4">
        <w:rPr>
          <w:rFonts w:cstheme="minorHAnsi"/>
          <w:szCs w:val="24"/>
        </w:rPr>
        <w:t xml:space="preserve"> interest, leads to</w:t>
      </w:r>
      <w:r w:rsidR="00DB7467" w:rsidRPr="00437FA4">
        <w:rPr>
          <w:rFonts w:cstheme="minorHAnsi"/>
          <w:szCs w:val="24"/>
        </w:rPr>
        <w:t xml:space="preserve"> financing, and </w:t>
      </w:r>
      <w:r w:rsidRPr="00437FA4">
        <w:rPr>
          <w:rFonts w:cstheme="minorHAnsi"/>
          <w:szCs w:val="24"/>
        </w:rPr>
        <w:t xml:space="preserve">proper </w:t>
      </w:r>
      <w:r w:rsidR="00DB7467" w:rsidRPr="00437FA4">
        <w:rPr>
          <w:rFonts w:cstheme="minorHAnsi"/>
          <w:szCs w:val="24"/>
        </w:rPr>
        <w:t>implement</w:t>
      </w:r>
      <w:r w:rsidRPr="00437FA4">
        <w:rPr>
          <w:rFonts w:cstheme="minorHAnsi"/>
          <w:szCs w:val="24"/>
        </w:rPr>
        <w:t xml:space="preserve">ation </w:t>
      </w:r>
      <w:r w:rsidR="00DB7467" w:rsidRPr="00437FA4">
        <w:rPr>
          <w:rFonts w:cstheme="minorHAnsi"/>
          <w:szCs w:val="24"/>
        </w:rPr>
        <w:t xml:space="preserve">by BDT in </w:t>
      </w:r>
      <w:proofErr w:type="gramStart"/>
      <w:r w:rsidR="00DB7467" w:rsidRPr="00437FA4">
        <w:rPr>
          <w:rFonts w:cstheme="minorHAnsi"/>
          <w:szCs w:val="24"/>
        </w:rPr>
        <w:t>all of</w:t>
      </w:r>
      <w:proofErr w:type="gramEnd"/>
      <w:r w:rsidR="00DB7467" w:rsidRPr="00437FA4">
        <w:rPr>
          <w:rFonts w:cstheme="minorHAnsi"/>
          <w:szCs w:val="24"/>
        </w:rPr>
        <w:t xml:space="preserve"> the regions. The narrative of regional initiatives has tended to create great expectations against which sometimes ITU is unable to meet. </w:t>
      </w:r>
      <w:r w:rsidR="003C52C7" w:rsidRPr="00437FA4">
        <w:rPr>
          <w:rFonts w:cstheme="minorHAnsi"/>
          <w:szCs w:val="24"/>
        </w:rPr>
        <w:t xml:space="preserve">BDT will assist in ensuring that the </w:t>
      </w:r>
      <w:r w:rsidR="00DB7467" w:rsidRPr="00437FA4">
        <w:rPr>
          <w:rFonts w:cstheme="minorHAnsi"/>
          <w:szCs w:val="24"/>
        </w:rPr>
        <w:t xml:space="preserve">regional priorities </w:t>
      </w:r>
      <w:r w:rsidR="003C52C7" w:rsidRPr="00437FA4">
        <w:rPr>
          <w:rFonts w:cstheme="minorHAnsi"/>
          <w:szCs w:val="24"/>
        </w:rPr>
        <w:t xml:space="preserve">identified </w:t>
      </w:r>
      <w:r w:rsidR="00DB7467" w:rsidRPr="00437FA4">
        <w:rPr>
          <w:rFonts w:cstheme="minorHAnsi"/>
          <w:szCs w:val="24"/>
        </w:rPr>
        <w:t>can be developed into an attractive comprehensive package for the donor community, which also includes ITU members.</w:t>
      </w:r>
    </w:p>
    <w:p w14:paraId="7B7A755C" w14:textId="2F07CB6B" w:rsidR="00DB7467" w:rsidRPr="00437FA4" w:rsidRDefault="005875AA" w:rsidP="00437FA4">
      <w:pPr>
        <w:tabs>
          <w:tab w:val="left" w:pos="567"/>
          <w:tab w:val="left" w:pos="1134"/>
          <w:tab w:val="left" w:pos="1701"/>
        </w:tabs>
        <w:rPr>
          <w:rFonts w:cstheme="minorHAnsi"/>
          <w:szCs w:val="24"/>
        </w:rPr>
      </w:pPr>
      <w:r w:rsidRPr="00437FA4">
        <w:rPr>
          <w:rFonts w:cstheme="minorHAnsi"/>
          <w:szCs w:val="24"/>
        </w:rPr>
        <w:t xml:space="preserve">It was proposed </w:t>
      </w:r>
      <w:r w:rsidR="00DB7467" w:rsidRPr="00437FA4">
        <w:rPr>
          <w:rFonts w:cstheme="minorHAnsi"/>
          <w:szCs w:val="24"/>
        </w:rPr>
        <w:t>to create at least four rapporteur groups for the following items: strategic plan, streamlining resolutions, declarati</w:t>
      </w:r>
      <w:r w:rsidR="003C52C7" w:rsidRPr="00437FA4">
        <w:rPr>
          <w:rFonts w:cstheme="minorHAnsi"/>
          <w:szCs w:val="24"/>
        </w:rPr>
        <w:t>on, and study group Questions.</w:t>
      </w:r>
      <w:r w:rsidRPr="00437FA4">
        <w:rPr>
          <w:rFonts w:cstheme="minorHAnsi"/>
          <w:szCs w:val="24"/>
        </w:rPr>
        <w:t xml:space="preserve"> </w:t>
      </w:r>
      <w:r w:rsidR="00DB7467" w:rsidRPr="00437FA4">
        <w:rPr>
          <w:rFonts w:cstheme="minorHAnsi"/>
          <w:szCs w:val="24"/>
        </w:rPr>
        <w:t xml:space="preserve">There was also a  proposal to create a working group or ad hoc group of TDAG, tasked with identifying areas where WTDC-21 </w:t>
      </w:r>
      <w:r w:rsidR="00DB7467" w:rsidRPr="00437FA4">
        <w:rPr>
          <w:rFonts w:cstheme="minorHAnsi"/>
          <w:szCs w:val="24"/>
        </w:rPr>
        <w:lastRenderedPageBreak/>
        <w:t xml:space="preserve">organizational and operational efficiencies could be achieved, and consequently assist  BDT in establishing a streamlined and focused plan of action which responds to the needs of the ITU-D membership within its human and financial resource limitations. </w:t>
      </w:r>
      <w:r w:rsidRPr="00437FA4">
        <w:rPr>
          <w:rFonts w:cstheme="minorHAnsi"/>
          <w:szCs w:val="24"/>
        </w:rPr>
        <w:t>Some participants expressed support for this proposal</w:t>
      </w:r>
      <w:r w:rsidR="00DB7467" w:rsidRPr="00437FA4">
        <w:rPr>
          <w:rFonts w:cstheme="minorHAnsi"/>
          <w:szCs w:val="24"/>
        </w:rPr>
        <w:t xml:space="preserve"> (Document </w:t>
      </w:r>
      <w:hyperlink r:id="rId12" w:history="1">
        <w:r w:rsidR="00DB7467" w:rsidRPr="00437FA4">
          <w:rPr>
            <w:rStyle w:val="Hyperlink"/>
            <w:rFonts w:cstheme="minorHAnsi"/>
            <w:szCs w:val="24"/>
          </w:rPr>
          <w:t>TDAG-20/37-E</w:t>
        </w:r>
      </w:hyperlink>
      <w:r w:rsidR="00DB7467" w:rsidRPr="00437FA4">
        <w:rPr>
          <w:rFonts w:cstheme="minorHAnsi"/>
          <w:szCs w:val="24"/>
        </w:rPr>
        <w:t xml:space="preserve"> </w:t>
      </w:r>
      <w:r w:rsidRPr="00437FA4">
        <w:rPr>
          <w:rFonts w:cstheme="minorHAnsi"/>
          <w:szCs w:val="24"/>
        </w:rPr>
        <w:t>).</w:t>
      </w:r>
      <w:r w:rsidR="00DB7467" w:rsidRPr="00437FA4">
        <w:rPr>
          <w:rFonts w:cstheme="minorHAnsi"/>
          <w:szCs w:val="24"/>
        </w:rPr>
        <w:t xml:space="preserve"> </w:t>
      </w:r>
    </w:p>
    <w:p w14:paraId="16E66DCB" w14:textId="5DF7A914" w:rsidR="00DB7467" w:rsidRPr="00437FA4" w:rsidRDefault="00DB7467" w:rsidP="004F4CFD">
      <w:pPr>
        <w:keepNext/>
        <w:pBdr>
          <w:bottom w:val="single" w:sz="4" w:space="1" w:color="00B0F0"/>
        </w:pBdr>
        <w:tabs>
          <w:tab w:val="left" w:pos="567"/>
          <w:tab w:val="left" w:pos="1134"/>
          <w:tab w:val="left" w:pos="1701"/>
        </w:tabs>
        <w:spacing w:before="240"/>
        <w:rPr>
          <w:rFonts w:cstheme="minorHAnsi"/>
          <w:b/>
          <w:bCs/>
          <w:color w:val="7F7F7F" w:themeColor="text1" w:themeTint="80"/>
          <w:szCs w:val="24"/>
        </w:rPr>
      </w:pPr>
      <w:r w:rsidRPr="00437FA4">
        <w:rPr>
          <w:rFonts w:cstheme="minorHAnsi"/>
          <w:b/>
          <w:bCs/>
          <w:color w:val="7F7F7F" w:themeColor="text1" w:themeTint="80"/>
          <w:szCs w:val="24"/>
        </w:rPr>
        <w:t xml:space="preserve">Topic 3: Stakeholder engagement </w:t>
      </w:r>
    </w:p>
    <w:p w14:paraId="210EC9FB" w14:textId="77777777" w:rsidR="00DB7467" w:rsidRPr="00437FA4" w:rsidRDefault="00DB7467" w:rsidP="00482A5F">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rPr>
      </w:pPr>
      <w:r w:rsidRPr="00437FA4">
        <w:rPr>
          <w:rFonts w:asciiTheme="minorHAnsi" w:eastAsiaTheme="minorEastAsia" w:hAnsiTheme="minorHAnsi" w:cstheme="minorHAnsi"/>
          <w:color w:val="00B0F0"/>
          <w:kern w:val="24"/>
        </w:rPr>
        <w:t xml:space="preserve">The context </w:t>
      </w:r>
    </w:p>
    <w:p w14:paraId="0DDB2F45" w14:textId="564291F7"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The questions explored during the first dialogue resulted in </w:t>
      </w:r>
      <w:r w:rsidR="006B4E8D" w:rsidRPr="00437FA4">
        <w:rPr>
          <w:rFonts w:cstheme="minorHAnsi"/>
          <w:szCs w:val="24"/>
        </w:rPr>
        <w:t xml:space="preserve">three </w:t>
      </w:r>
      <w:r w:rsidRPr="00437FA4">
        <w:rPr>
          <w:rFonts w:cstheme="minorHAnsi"/>
          <w:szCs w:val="24"/>
        </w:rPr>
        <w:t>preliminary proposals to enhance participation of the right stakeholders within WTDC. Who</w:t>
      </w:r>
      <w:r w:rsidRPr="00437FA4">
        <w:rPr>
          <w:rFonts w:cstheme="minorHAnsi"/>
          <w:szCs w:val="24"/>
          <w:lang w:val="en-US"/>
        </w:rPr>
        <w:t xml:space="preserve"> are the current and new constituent groups that need to attend WTDC?</w:t>
      </w:r>
      <w:r w:rsidRPr="00437FA4">
        <w:rPr>
          <w:rFonts w:cstheme="minorHAnsi"/>
          <w:szCs w:val="24"/>
        </w:rPr>
        <w:t xml:space="preserve"> </w:t>
      </w:r>
      <w:r w:rsidRPr="00437FA4">
        <w:rPr>
          <w:rFonts w:cstheme="minorHAnsi"/>
          <w:szCs w:val="24"/>
          <w:lang w:val="en-US"/>
        </w:rPr>
        <w:t xml:space="preserve">What can be done to ensure that these groups and their top-level decision-makers attend and participate, and </w:t>
      </w:r>
      <w:r w:rsidRPr="00437FA4">
        <w:rPr>
          <w:rFonts w:cstheme="minorHAnsi"/>
          <w:szCs w:val="24"/>
        </w:rPr>
        <w:t xml:space="preserve">in what proportion? How do we </w:t>
      </w:r>
      <w:proofErr w:type="gramStart"/>
      <w:r w:rsidRPr="00437FA4">
        <w:rPr>
          <w:rFonts w:cstheme="minorHAnsi"/>
          <w:szCs w:val="24"/>
        </w:rPr>
        <w:t>actually engage</w:t>
      </w:r>
      <w:proofErr w:type="gramEnd"/>
      <w:r w:rsidRPr="00437FA4">
        <w:rPr>
          <w:rFonts w:cstheme="minorHAnsi"/>
          <w:szCs w:val="24"/>
        </w:rPr>
        <w:t xml:space="preserve"> these stakeholders in the preparatory process? </w:t>
      </w:r>
      <w:proofErr w:type="gramStart"/>
      <w:r w:rsidR="006B4E8D" w:rsidRPr="00437FA4">
        <w:rPr>
          <w:rFonts w:cstheme="minorHAnsi"/>
          <w:szCs w:val="24"/>
        </w:rPr>
        <w:t>A number of</w:t>
      </w:r>
      <w:proofErr w:type="gramEnd"/>
      <w:r w:rsidR="006B4E8D" w:rsidRPr="00437FA4">
        <w:rPr>
          <w:rFonts w:cstheme="minorHAnsi"/>
          <w:szCs w:val="24"/>
        </w:rPr>
        <w:t xml:space="preserve"> </w:t>
      </w:r>
      <w:r w:rsidRPr="00437FA4">
        <w:rPr>
          <w:rFonts w:cstheme="minorHAnsi"/>
          <w:szCs w:val="24"/>
        </w:rPr>
        <w:t>observations</w:t>
      </w:r>
      <w:r w:rsidR="0080041D" w:rsidRPr="00437FA4">
        <w:rPr>
          <w:rFonts w:cstheme="minorHAnsi"/>
          <w:szCs w:val="24"/>
        </w:rPr>
        <w:t xml:space="preserve"> </w:t>
      </w:r>
      <w:r w:rsidR="006B4E8D" w:rsidRPr="00437FA4">
        <w:rPr>
          <w:rFonts w:cstheme="minorHAnsi"/>
          <w:szCs w:val="24"/>
        </w:rPr>
        <w:t>were made in answer to these questions</w:t>
      </w:r>
      <w:r w:rsidRPr="00437FA4">
        <w:rPr>
          <w:rFonts w:cstheme="minorHAnsi"/>
          <w:szCs w:val="24"/>
        </w:rPr>
        <w:t xml:space="preserve">. </w:t>
      </w:r>
    </w:p>
    <w:p w14:paraId="2CB13153" w14:textId="18CB6F7E" w:rsidR="00DB7467" w:rsidRPr="00437FA4" w:rsidRDefault="00DB7467" w:rsidP="00437FA4">
      <w:pPr>
        <w:tabs>
          <w:tab w:val="left" w:pos="567"/>
          <w:tab w:val="left" w:pos="1134"/>
          <w:tab w:val="left" w:pos="1701"/>
        </w:tabs>
        <w:rPr>
          <w:rFonts w:cstheme="minorHAnsi"/>
          <w:szCs w:val="24"/>
          <w:lang w:val="en-US"/>
        </w:rPr>
      </w:pPr>
      <w:r w:rsidRPr="00437FA4">
        <w:rPr>
          <w:rFonts w:cstheme="minorHAnsi"/>
          <w:szCs w:val="24"/>
        </w:rPr>
        <w:t>WTDC lacks a broader stakeholder engagement. For examp</w:t>
      </w:r>
      <w:r w:rsidR="0080041D" w:rsidRPr="00437FA4">
        <w:rPr>
          <w:rFonts w:cstheme="minorHAnsi"/>
          <w:szCs w:val="24"/>
        </w:rPr>
        <w:t>le, only 21 per cent of private-</w:t>
      </w:r>
      <w:r w:rsidRPr="00437FA4">
        <w:rPr>
          <w:rFonts w:cstheme="minorHAnsi"/>
          <w:szCs w:val="24"/>
        </w:rPr>
        <w:t xml:space="preserve">sector representatives attended WTDC-17. To increase and incentivise participation, ITU needs to create ownership to be inclusive of these stakeholders. This </w:t>
      </w:r>
      <w:proofErr w:type="gramStart"/>
      <w:r w:rsidRPr="00437FA4">
        <w:rPr>
          <w:rFonts w:cstheme="minorHAnsi"/>
          <w:szCs w:val="24"/>
        </w:rPr>
        <w:t>has to</w:t>
      </w:r>
      <w:proofErr w:type="gramEnd"/>
      <w:r w:rsidRPr="00437FA4">
        <w:rPr>
          <w:rFonts w:cstheme="minorHAnsi"/>
          <w:szCs w:val="24"/>
        </w:rPr>
        <w:t xml:space="preserve"> happen from the start of the preparatory process. </w:t>
      </w:r>
    </w:p>
    <w:p w14:paraId="24BE0D07" w14:textId="6C17A077"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WTDC </w:t>
      </w:r>
      <w:proofErr w:type="gramStart"/>
      <w:r w:rsidRPr="00437FA4">
        <w:rPr>
          <w:rFonts w:cstheme="minorHAnsi"/>
          <w:szCs w:val="24"/>
        </w:rPr>
        <w:t>has to</w:t>
      </w:r>
      <w:proofErr w:type="gramEnd"/>
      <w:r w:rsidRPr="00437FA4">
        <w:rPr>
          <w:rFonts w:cstheme="minorHAnsi"/>
          <w:szCs w:val="24"/>
        </w:rPr>
        <w:t xml:space="preserve"> be better</w:t>
      </w:r>
      <w:r w:rsidR="00212541" w:rsidRPr="00437FA4">
        <w:rPr>
          <w:rFonts w:cstheme="minorHAnsi"/>
          <w:szCs w:val="24"/>
        </w:rPr>
        <w:t xml:space="preserve"> </w:t>
      </w:r>
      <w:r w:rsidRPr="00437FA4">
        <w:rPr>
          <w:rFonts w:cstheme="minorHAnsi"/>
          <w:szCs w:val="24"/>
        </w:rPr>
        <w:t xml:space="preserve">tailored to the expectations and </w:t>
      </w:r>
      <w:r w:rsidR="006B4E8D" w:rsidRPr="00437FA4">
        <w:rPr>
          <w:rFonts w:cstheme="minorHAnsi"/>
          <w:szCs w:val="24"/>
        </w:rPr>
        <w:t xml:space="preserve">needs of </w:t>
      </w:r>
      <w:r w:rsidRPr="00437FA4">
        <w:rPr>
          <w:rFonts w:cstheme="minorHAnsi"/>
          <w:szCs w:val="24"/>
        </w:rPr>
        <w:t xml:space="preserve">participants. The value proposition </w:t>
      </w:r>
      <w:proofErr w:type="gramStart"/>
      <w:r w:rsidRPr="00437FA4">
        <w:rPr>
          <w:rFonts w:cstheme="minorHAnsi"/>
          <w:szCs w:val="24"/>
        </w:rPr>
        <w:t>has to</w:t>
      </w:r>
      <w:proofErr w:type="gramEnd"/>
      <w:r w:rsidRPr="00437FA4">
        <w:rPr>
          <w:rFonts w:cstheme="minorHAnsi"/>
          <w:szCs w:val="24"/>
        </w:rPr>
        <w:t xml:space="preserve"> be known and communicated to participants. This is crucial as participants need to understand who those actors are and to what value proposition they respond. Incentives need to be set to create a mixture of high-level actors and stakeholders, and the event needs to be structured in a way that allows and supports their interaction. To achieve</w:t>
      </w:r>
      <w:r w:rsidR="006B4E8D" w:rsidRPr="00437FA4">
        <w:rPr>
          <w:rFonts w:cstheme="minorHAnsi"/>
          <w:szCs w:val="24"/>
        </w:rPr>
        <w:t xml:space="preserve"> this, design an agenda or part</w:t>
      </w:r>
      <w:r w:rsidRPr="00437FA4">
        <w:rPr>
          <w:rFonts w:cstheme="minorHAnsi"/>
          <w:szCs w:val="24"/>
        </w:rPr>
        <w:t xml:space="preserve"> of the agenda that </w:t>
      </w:r>
      <w:r w:rsidR="006B4E8D" w:rsidRPr="00437FA4">
        <w:rPr>
          <w:rFonts w:cstheme="minorHAnsi"/>
          <w:szCs w:val="24"/>
        </w:rPr>
        <w:t>is m</w:t>
      </w:r>
      <w:r w:rsidRPr="00437FA4">
        <w:rPr>
          <w:rFonts w:cstheme="minorHAnsi"/>
          <w:szCs w:val="24"/>
        </w:rPr>
        <w:t xml:space="preserve">ore tailored to </w:t>
      </w:r>
      <w:r w:rsidR="006B4E8D" w:rsidRPr="00437FA4">
        <w:rPr>
          <w:rFonts w:cstheme="minorHAnsi"/>
          <w:szCs w:val="24"/>
        </w:rPr>
        <w:t xml:space="preserve">the </w:t>
      </w:r>
      <w:r w:rsidRPr="00437FA4">
        <w:rPr>
          <w:rFonts w:cstheme="minorHAnsi"/>
          <w:szCs w:val="24"/>
        </w:rPr>
        <w:t>different expectations of the different stakeholders</w:t>
      </w:r>
      <w:r w:rsidR="006B4E8D" w:rsidRPr="00437FA4">
        <w:rPr>
          <w:rFonts w:cstheme="minorHAnsi"/>
          <w:szCs w:val="24"/>
        </w:rPr>
        <w:t>.</w:t>
      </w:r>
      <w:r w:rsidRPr="00437FA4">
        <w:rPr>
          <w:rFonts w:cstheme="minorHAnsi"/>
          <w:szCs w:val="24"/>
        </w:rPr>
        <w:t xml:space="preserve"> </w:t>
      </w:r>
    </w:p>
    <w:p w14:paraId="2A069126" w14:textId="5FAC90D3"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Focus on fewer resolutions recognizing that not all participants come for the whole duration of the conference or maybe have sessions that are “by invitation only” and that have Chatham House-style rules to encourage frank discussions and networking.</w:t>
      </w:r>
    </w:p>
    <w:p w14:paraId="58FB1CD8" w14:textId="28EB0F1C"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There needs to be better communication and information about what WTDC is </w:t>
      </w:r>
      <w:proofErr w:type="gramStart"/>
      <w:r w:rsidRPr="00437FA4">
        <w:rPr>
          <w:rFonts w:cstheme="minorHAnsi"/>
          <w:szCs w:val="24"/>
        </w:rPr>
        <w:t>in order to</w:t>
      </w:r>
      <w:proofErr w:type="gramEnd"/>
      <w:r w:rsidRPr="00437FA4">
        <w:rPr>
          <w:rFonts w:cstheme="minorHAnsi"/>
          <w:szCs w:val="24"/>
        </w:rPr>
        <w:t xml:space="preserve"> create the necessary motivation</w:t>
      </w:r>
      <w:r w:rsidR="0080041D" w:rsidRPr="00437FA4">
        <w:rPr>
          <w:rFonts w:cstheme="minorHAnsi"/>
          <w:szCs w:val="24"/>
        </w:rPr>
        <w:t xml:space="preserve"> for people to attend</w:t>
      </w:r>
      <w:r w:rsidRPr="00437FA4">
        <w:rPr>
          <w:rFonts w:cstheme="minorHAnsi"/>
          <w:szCs w:val="24"/>
        </w:rPr>
        <w:t xml:space="preserve">. For example, private Sector Members need to understand the active role they are invited to have in the conference and that it is a platform where they can actually have a dialogue with </w:t>
      </w:r>
      <w:proofErr w:type="gramStart"/>
      <w:r w:rsidRPr="00437FA4">
        <w:rPr>
          <w:rFonts w:cstheme="minorHAnsi"/>
          <w:szCs w:val="24"/>
        </w:rPr>
        <w:t>policy-makers</w:t>
      </w:r>
      <w:proofErr w:type="gramEnd"/>
      <w:r w:rsidRPr="00437FA4">
        <w:rPr>
          <w:rFonts w:cstheme="minorHAnsi"/>
          <w:szCs w:val="24"/>
        </w:rPr>
        <w:t xml:space="preserve"> and others. </w:t>
      </w:r>
    </w:p>
    <w:p w14:paraId="348E7398" w14:textId="2D0C309C"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Sector Members should get away from the perception that WTDC is first and foremost a Member States </w:t>
      </w:r>
      <w:proofErr w:type="gramStart"/>
      <w:r w:rsidRPr="00437FA4">
        <w:rPr>
          <w:rFonts w:cstheme="minorHAnsi"/>
          <w:szCs w:val="24"/>
        </w:rPr>
        <w:t xml:space="preserve">event, </w:t>
      </w:r>
      <w:r w:rsidR="006A5E03" w:rsidRPr="00437FA4">
        <w:rPr>
          <w:rFonts w:cstheme="minorHAnsi"/>
          <w:szCs w:val="24"/>
        </w:rPr>
        <w:t>because</w:t>
      </w:r>
      <w:proofErr w:type="gramEnd"/>
      <w:r w:rsidR="006A5E03" w:rsidRPr="00437FA4">
        <w:rPr>
          <w:rFonts w:cstheme="minorHAnsi"/>
          <w:szCs w:val="24"/>
        </w:rPr>
        <w:t xml:space="preserve"> that is not the case</w:t>
      </w:r>
      <w:r w:rsidRPr="00437FA4">
        <w:rPr>
          <w:rFonts w:cstheme="minorHAnsi"/>
          <w:szCs w:val="24"/>
        </w:rPr>
        <w:t>. The private sector</w:t>
      </w:r>
      <w:r w:rsidR="006A5E03" w:rsidRPr="00437FA4">
        <w:rPr>
          <w:rFonts w:cstheme="minorHAnsi"/>
          <w:szCs w:val="24"/>
        </w:rPr>
        <w:t xml:space="preserve"> </w:t>
      </w:r>
      <w:r w:rsidRPr="00437FA4">
        <w:rPr>
          <w:rFonts w:cstheme="minorHAnsi"/>
          <w:szCs w:val="24"/>
        </w:rPr>
        <w:t>can be more vested through understanding better what the conference is.</w:t>
      </w:r>
    </w:p>
    <w:p w14:paraId="57F561FD" w14:textId="77777777"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WTDC can also be used for educative purposes, ensuring that all members of government understand the far-reaching nature of ICT access and connectivity to engage in the range of ministerial input and participation.</w:t>
      </w:r>
    </w:p>
    <w:p w14:paraId="7BBD0398" w14:textId="7F23DF6B" w:rsidR="00DB7467" w:rsidRPr="00437FA4" w:rsidRDefault="00DB7467" w:rsidP="00482A5F">
      <w:pPr>
        <w:pStyle w:val="NormalWeb"/>
        <w:keepNext/>
        <w:tabs>
          <w:tab w:val="left" w:pos="567"/>
          <w:tab w:val="left" w:pos="1134"/>
          <w:tab w:val="left" w:pos="1701"/>
        </w:tabs>
        <w:spacing w:before="120" w:beforeAutospacing="0" w:after="0" w:afterAutospacing="0" w:line="259" w:lineRule="auto"/>
        <w:rPr>
          <w:rFonts w:asciiTheme="minorHAnsi" w:hAnsiTheme="minorHAnsi" w:cstheme="minorHAnsi"/>
        </w:rPr>
      </w:pPr>
      <w:r w:rsidRPr="00437FA4">
        <w:rPr>
          <w:rFonts w:asciiTheme="minorHAnsi" w:eastAsiaTheme="minorEastAsia" w:hAnsiTheme="minorHAnsi" w:cstheme="minorHAnsi"/>
          <w:color w:val="00B0F0"/>
          <w:kern w:val="24"/>
        </w:rPr>
        <w:t>T</w:t>
      </w:r>
      <w:r w:rsidR="006A5E03" w:rsidRPr="00437FA4">
        <w:rPr>
          <w:rFonts w:asciiTheme="minorHAnsi" w:eastAsiaTheme="minorEastAsia" w:hAnsiTheme="minorHAnsi" w:cstheme="minorHAnsi"/>
          <w:color w:val="00B0F0"/>
          <w:kern w:val="24"/>
        </w:rPr>
        <w:t xml:space="preserve">he proposals </w:t>
      </w:r>
    </w:p>
    <w:p w14:paraId="1D3FD283" w14:textId="77777777" w:rsidR="00DB7467"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t>Proposal 3.1:</w:t>
      </w:r>
      <w:r w:rsidRPr="00437FA4">
        <w:rPr>
          <w:rFonts w:cstheme="minorHAnsi"/>
          <w:szCs w:val="24"/>
        </w:rPr>
        <w:t xml:space="preserve"> Create target lists of key invited participants by constituent group, including a short list of “stars”, and manage the targeting/invitation process against deadlines.</w:t>
      </w:r>
    </w:p>
    <w:p w14:paraId="347B9B78" w14:textId="77777777" w:rsidR="00DB7467"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t>Proposal 3.2:</w:t>
      </w:r>
      <w:r w:rsidRPr="00437FA4">
        <w:rPr>
          <w:rFonts w:cstheme="minorHAnsi"/>
          <w:szCs w:val="24"/>
        </w:rPr>
        <w:t xml:space="preserve"> Improve, enhance the existing or create new preparatory events to engage target participants.</w:t>
      </w:r>
    </w:p>
    <w:p w14:paraId="0508270F" w14:textId="77777777" w:rsidR="00DB7467"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lastRenderedPageBreak/>
        <w:t xml:space="preserve">Proposal 3.3: </w:t>
      </w:r>
      <w:r w:rsidRPr="00437FA4">
        <w:rPr>
          <w:rFonts w:cstheme="minorHAnsi"/>
          <w:szCs w:val="24"/>
        </w:rPr>
        <w:t xml:space="preserve">External stakeholders could “co-chair” specific tracks and sessions in the conference agenda, examples may be: </w:t>
      </w:r>
    </w:p>
    <w:p w14:paraId="24CF2379" w14:textId="77777777" w:rsidR="00DB7467" w:rsidRPr="00437FA4" w:rsidRDefault="00DB7467" w:rsidP="00437FA4">
      <w:pPr>
        <w:pStyle w:val="ListParagraph"/>
        <w:numPr>
          <w:ilvl w:val="0"/>
          <w:numId w:val="26"/>
        </w:numPr>
        <w:tabs>
          <w:tab w:val="clear" w:pos="1871"/>
          <w:tab w:val="clear" w:pos="2268"/>
          <w:tab w:val="left" w:pos="567"/>
          <w:tab w:val="left" w:pos="1701"/>
        </w:tabs>
        <w:overflowPunct/>
        <w:autoSpaceDE/>
        <w:autoSpaceDN/>
        <w:adjustRightInd/>
        <w:spacing w:line="216" w:lineRule="auto"/>
        <w:ind w:hanging="11"/>
        <w:contextualSpacing w:val="0"/>
        <w:textAlignment w:val="auto"/>
        <w:rPr>
          <w:rFonts w:cstheme="minorHAnsi"/>
          <w:color w:val="000000" w:themeColor="text1"/>
          <w:szCs w:val="24"/>
        </w:rPr>
      </w:pPr>
      <w:r w:rsidRPr="00437FA4">
        <w:rPr>
          <w:rFonts w:eastAsiaTheme="minorEastAsia" w:cstheme="minorHAnsi"/>
          <w:color w:val="000000" w:themeColor="text1"/>
          <w:kern w:val="24"/>
          <w:szCs w:val="24"/>
        </w:rPr>
        <w:t xml:space="preserve">a track focused on international/bilateral development agencies and </w:t>
      </w:r>
      <w:proofErr w:type="gramStart"/>
      <w:r w:rsidRPr="00437FA4">
        <w:rPr>
          <w:rFonts w:eastAsiaTheme="minorEastAsia" w:cstheme="minorHAnsi"/>
          <w:color w:val="000000" w:themeColor="text1"/>
          <w:kern w:val="24"/>
          <w:szCs w:val="24"/>
        </w:rPr>
        <w:t>partners;</w:t>
      </w:r>
      <w:proofErr w:type="gramEnd"/>
    </w:p>
    <w:p w14:paraId="39909533" w14:textId="77777777" w:rsidR="00DB7467" w:rsidRPr="00437FA4" w:rsidRDefault="00DB7467" w:rsidP="00437FA4">
      <w:pPr>
        <w:pStyle w:val="ListParagraph"/>
        <w:numPr>
          <w:ilvl w:val="0"/>
          <w:numId w:val="26"/>
        </w:numPr>
        <w:tabs>
          <w:tab w:val="clear" w:pos="1871"/>
          <w:tab w:val="clear" w:pos="2268"/>
          <w:tab w:val="left" w:pos="567"/>
          <w:tab w:val="left" w:pos="1701"/>
        </w:tabs>
        <w:overflowPunct/>
        <w:autoSpaceDE/>
        <w:autoSpaceDN/>
        <w:adjustRightInd/>
        <w:spacing w:line="216" w:lineRule="auto"/>
        <w:ind w:hanging="11"/>
        <w:contextualSpacing w:val="0"/>
        <w:textAlignment w:val="auto"/>
        <w:rPr>
          <w:rFonts w:cstheme="minorHAnsi"/>
          <w:color w:val="000000" w:themeColor="text1"/>
          <w:szCs w:val="24"/>
        </w:rPr>
      </w:pPr>
      <w:r w:rsidRPr="00437FA4">
        <w:rPr>
          <w:rFonts w:eastAsiaTheme="minorEastAsia" w:cstheme="minorHAnsi"/>
          <w:color w:val="000000" w:themeColor="text1"/>
          <w:kern w:val="24"/>
          <w:szCs w:val="24"/>
        </w:rPr>
        <w:t xml:space="preserve">an educational </w:t>
      </w:r>
      <w:proofErr w:type="gramStart"/>
      <w:r w:rsidRPr="00437FA4">
        <w:rPr>
          <w:rFonts w:eastAsiaTheme="minorEastAsia" w:cstheme="minorHAnsi"/>
          <w:color w:val="000000" w:themeColor="text1"/>
          <w:kern w:val="24"/>
          <w:szCs w:val="24"/>
        </w:rPr>
        <w:t>track;</w:t>
      </w:r>
      <w:proofErr w:type="gramEnd"/>
      <w:r w:rsidRPr="00437FA4">
        <w:rPr>
          <w:rFonts w:eastAsiaTheme="minorEastAsia" w:cstheme="minorHAnsi"/>
          <w:color w:val="000000" w:themeColor="text1"/>
          <w:kern w:val="24"/>
          <w:szCs w:val="24"/>
        </w:rPr>
        <w:t xml:space="preserve"> </w:t>
      </w:r>
    </w:p>
    <w:p w14:paraId="7AB8A0DD" w14:textId="77777777" w:rsidR="00DB7467" w:rsidRPr="00437FA4" w:rsidRDefault="00DB7467" w:rsidP="00437FA4">
      <w:pPr>
        <w:pStyle w:val="ListParagraph"/>
        <w:numPr>
          <w:ilvl w:val="0"/>
          <w:numId w:val="26"/>
        </w:numPr>
        <w:tabs>
          <w:tab w:val="clear" w:pos="1871"/>
          <w:tab w:val="clear" w:pos="2268"/>
          <w:tab w:val="left" w:pos="567"/>
          <w:tab w:val="left" w:pos="1701"/>
        </w:tabs>
        <w:overflowPunct/>
        <w:autoSpaceDE/>
        <w:autoSpaceDN/>
        <w:adjustRightInd/>
        <w:spacing w:line="216" w:lineRule="auto"/>
        <w:ind w:hanging="11"/>
        <w:contextualSpacing w:val="0"/>
        <w:textAlignment w:val="auto"/>
        <w:rPr>
          <w:rFonts w:cstheme="minorHAnsi"/>
          <w:color w:val="000000" w:themeColor="text1"/>
          <w:szCs w:val="24"/>
        </w:rPr>
      </w:pPr>
      <w:r w:rsidRPr="00437FA4">
        <w:rPr>
          <w:rFonts w:eastAsiaTheme="minorEastAsia" w:cstheme="minorHAnsi"/>
          <w:color w:val="000000" w:themeColor="text1"/>
          <w:kern w:val="24"/>
          <w:szCs w:val="24"/>
        </w:rPr>
        <w:t>track on how to finance the ICT ecosystem.</w:t>
      </w:r>
    </w:p>
    <w:p w14:paraId="1800283D" w14:textId="77777777" w:rsidR="00DB7467"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t>Proposal 3.4:</w:t>
      </w:r>
      <w:r w:rsidRPr="00437FA4">
        <w:rPr>
          <w:rFonts w:cstheme="minorHAnsi"/>
          <w:szCs w:val="24"/>
        </w:rPr>
        <w:t xml:space="preserve"> Develop and execute a targeted promotional campaign for WTDC.</w:t>
      </w:r>
    </w:p>
    <w:p w14:paraId="591459A4" w14:textId="3CE52B1D"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Proposal 3.1 was developed bearing in mind how best to bring to the eve</w:t>
      </w:r>
      <w:r w:rsidR="006A5E03" w:rsidRPr="00437FA4">
        <w:rPr>
          <w:rFonts w:cstheme="minorHAnsi"/>
          <w:szCs w:val="24"/>
        </w:rPr>
        <w:t>nt people who have limited time</w:t>
      </w:r>
      <w:r w:rsidR="00755F48" w:rsidRPr="00437FA4">
        <w:rPr>
          <w:rFonts w:cstheme="minorHAnsi"/>
          <w:szCs w:val="24"/>
        </w:rPr>
        <w:t xml:space="preserve">; </w:t>
      </w:r>
      <w:r w:rsidRPr="00437FA4">
        <w:rPr>
          <w:rFonts w:cstheme="minorHAnsi"/>
          <w:szCs w:val="24"/>
        </w:rPr>
        <w:t>the importance of managing the invitation process against the deadlines in order to secure high-level participants in the early stages of planning</w:t>
      </w:r>
      <w:r w:rsidR="00755F48" w:rsidRPr="00437FA4">
        <w:rPr>
          <w:rFonts w:cstheme="minorHAnsi"/>
          <w:szCs w:val="24"/>
        </w:rPr>
        <w:t>; and h</w:t>
      </w:r>
      <w:r w:rsidRPr="00437FA4">
        <w:rPr>
          <w:rFonts w:cstheme="minorHAnsi"/>
          <w:szCs w:val="24"/>
        </w:rPr>
        <w:t xml:space="preserve">ow to identify the key participants to target, based on the programme topics, while also recognizing that some programme topics may take longer to finalize. </w:t>
      </w:r>
    </w:p>
    <w:p w14:paraId="7CBFCC3B" w14:textId="05EFFB3B" w:rsidR="00DB7467" w:rsidRPr="00437FA4" w:rsidRDefault="001B3759" w:rsidP="00437FA4">
      <w:pPr>
        <w:tabs>
          <w:tab w:val="left" w:pos="567"/>
          <w:tab w:val="left" w:pos="1134"/>
          <w:tab w:val="left" w:pos="1701"/>
        </w:tabs>
        <w:rPr>
          <w:rFonts w:cstheme="minorHAnsi"/>
          <w:szCs w:val="24"/>
        </w:rPr>
      </w:pPr>
      <w:r w:rsidRPr="00437FA4">
        <w:rPr>
          <w:rFonts w:cstheme="minorHAnsi"/>
          <w:szCs w:val="24"/>
        </w:rPr>
        <w:t xml:space="preserve">Alignment is also necessary </w:t>
      </w:r>
      <w:r w:rsidR="00DB7467" w:rsidRPr="00437FA4">
        <w:rPr>
          <w:rFonts w:cstheme="minorHAnsi"/>
          <w:szCs w:val="24"/>
        </w:rPr>
        <w:t>with the relevant procedures of Article 25 of the ITU Convention, covering admission to world telecommunication development conferences. Noting that the exact dates of WTDC-21 have been fixed in accordance with the provisions of No.42 of the Convention; and also noting that the invitations to Member States and Sector Members need to be sent out one year before the opening of the conference, adhering to these timelines would help secure high-level attendance.</w:t>
      </w:r>
    </w:p>
    <w:p w14:paraId="01759E34" w14:textId="4DFA6F35" w:rsidR="001B3759" w:rsidRPr="00437FA4" w:rsidRDefault="00DB7467" w:rsidP="00437FA4">
      <w:pPr>
        <w:tabs>
          <w:tab w:val="left" w:pos="567"/>
          <w:tab w:val="left" w:pos="1134"/>
          <w:tab w:val="left" w:pos="1701"/>
        </w:tabs>
        <w:rPr>
          <w:rFonts w:cstheme="minorHAnsi"/>
          <w:szCs w:val="24"/>
          <w:lang w:val="en-US"/>
        </w:rPr>
      </w:pPr>
      <w:r w:rsidRPr="00437FA4">
        <w:rPr>
          <w:rFonts w:cstheme="minorHAnsi"/>
          <w:szCs w:val="24"/>
        </w:rPr>
        <w:t>The aim of Proposal 3.2 is not only to ensure good participation and engagement at formal events, but also how to</w:t>
      </w:r>
      <w:r w:rsidR="00E030B3" w:rsidRPr="00437FA4">
        <w:rPr>
          <w:rFonts w:cstheme="minorHAnsi"/>
          <w:szCs w:val="24"/>
        </w:rPr>
        <w:t xml:space="preserve"> capitalize on </w:t>
      </w:r>
      <w:r w:rsidRPr="00437FA4">
        <w:rPr>
          <w:rFonts w:cstheme="minorHAnsi"/>
          <w:szCs w:val="24"/>
        </w:rPr>
        <w:t xml:space="preserve">other events </w:t>
      </w:r>
      <w:r w:rsidR="00E030B3" w:rsidRPr="00437FA4">
        <w:rPr>
          <w:rFonts w:cstheme="minorHAnsi"/>
          <w:szCs w:val="24"/>
        </w:rPr>
        <w:t xml:space="preserve">that </w:t>
      </w:r>
      <w:r w:rsidRPr="00437FA4">
        <w:rPr>
          <w:rFonts w:cstheme="minorHAnsi"/>
          <w:szCs w:val="24"/>
        </w:rPr>
        <w:t>bring together both the private sector and government</w:t>
      </w:r>
      <w:r w:rsidR="001B3759" w:rsidRPr="00437FA4">
        <w:rPr>
          <w:rFonts w:cstheme="minorHAnsi"/>
          <w:szCs w:val="24"/>
        </w:rPr>
        <w:t xml:space="preserve"> to promote WTDC-21</w:t>
      </w:r>
      <w:r w:rsidRPr="00437FA4">
        <w:rPr>
          <w:rFonts w:cstheme="minorHAnsi"/>
          <w:szCs w:val="24"/>
        </w:rPr>
        <w:t>. One of the suggestions put forward is to host a special session at Mobile World Congress (MWC) 2021. Given the broad audience at MWC, the session</w:t>
      </w:r>
      <w:r w:rsidR="001B3759" w:rsidRPr="00437FA4">
        <w:rPr>
          <w:rFonts w:cstheme="minorHAnsi"/>
          <w:szCs w:val="24"/>
        </w:rPr>
        <w:t xml:space="preserve"> </w:t>
      </w:r>
      <w:r w:rsidRPr="00437FA4">
        <w:rPr>
          <w:rFonts w:cstheme="minorHAnsi"/>
          <w:szCs w:val="24"/>
        </w:rPr>
        <w:t>coul</w:t>
      </w:r>
      <w:r w:rsidR="00F4307E" w:rsidRPr="00437FA4">
        <w:rPr>
          <w:rFonts w:cstheme="minorHAnsi"/>
          <w:szCs w:val="24"/>
        </w:rPr>
        <w:t xml:space="preserve">d be </w:t>
      </w:r>
      <w:r w:rsidRPr="00437FA4">
        <w:rPr>
          <w:rFonts w:cstheme="minorHAnsi"/>
          <w:szCs w:val="24"/>
        </w:rPr>
        <w:t xml:space="preserve">split into two, with one part open to a wide audience other than just ITU Member States and Sector Members. The other part of the session would focus on members only </w:t>
      </w:r>
      <w:proofErr w:type="gramStart"/>
      <w:r w:rsidRPr="00437FA4">
        <w:rPr>
          <w:rFonts w:cstheme="minorHAnsi"/>
          <w:szCs w:val="24"/>
        </w:rPr>
        <w:t>in order to</w:t>
      </w:r>
      <w:proofErr w:type="gramEnd"/>
      <w:r w:rsidRPr="00437FA4">
        <w:rPr>
          <w:rFonts w:cstheme="minorHAnsi"/>
          <w:szCs w:val="24"/>
        </w:rPr>
        <w:t xml:space="preserve"> ensure that there is no dilution of the benefits of being an ITU member.</w:t>
      </w:r>
      <w:r w:rsidRPr="00437FA4">
        <w:rPr>
          <w:rFonts w:cstheme="minorHAnsi"/>
          <w:szCs w:val="24"/>
          <w:lang w:val="en-US"/>
        </w:rPr>
        <w:t xml:space="preserve"> </w:t>
      </w:r>
    </w:p>
    <w:p w14:paraId="650AE399" w14:textId="3609598E"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Other platforms where such special sessions could be </w:t>
      </w:r>
      <w:r w:rsidR="001B3759" w:rsidRPr="00437FA4">
        <w:rPr>
          <w:rFonts w:cstheme="minorHAnsi"/>
          <w:szCs w:val="24"/>
        </w:rPr>
        <w:t>organized</w:t>
      </w:r>
      <w:r w:rsidRPr="00437FA4">
        <w:rPr>
          <w:rFonts w:cstheme="minorHAnsi"/>
          <w:szCs w:val="24"/>
        </w:rPr>
        <w:t xml:space="preserve"> to complement the formal preparatory process include the Africa Internet Summit, </w:t>
      </w:r>
      <w:r w:rsidR="00E70D04" w:rsidRPr="00437FA4">
        <w:rPr>
          <w:rFonts w:cstheme="minorHAnsi"/>
          <w:szCs w:val="24"/>
        </w:rPr>
        <w:t>the Global Symposium for Regulators (</w:t>
      </w:r>
      <w:r w:rsidRPr="00437FA4">
        <w:rPr>
          <w:rFonts w:cstheme="minorHAnsi"/>
          <w:szCs w:val="24"/>
        </w:rPr>
        <w:t>GSR</w:t>
      </w:r>
      <w:r w:rsidR="00E70D04" w:rsidRPr="00437FA4">
        <w:rPr>
          <w:rFonts w:cstheme="minorHAnsi"/>
          <w:szCs w:val="24"/>
        </w:rPr>
        <w:t>)</w:t>
      </w:r>
      <w:r w:rsidRPr="00437FA4">
        <w:rPr>
          <w:rFonts w:cstheme="minorHAnsi"/>
          <w:szCs w:val="24"/>
        </w:rPr>
        <w:t xml:space="preserve">, and </w:t>
      </w:r>
      <w:r w:rsidR="00E70D04" w:rsidRPr="00437FA4">
        <w:rPr>
          <w:rFonts w:cstheme="minorHAnsi"/>
          <w:szCs w:val="24"/>
        </w:rPr>
        <w:t xml:space="preserve">the </w:t>
      </w:r>
      <w:r w:rsidRPr="00437FA4">
        <w:rPr>
          <w:rFonts w:cstheme="minorHAnsi"/>
          <w:szCs w:val="24"/>
        </w:rPr>
        <w:t>WSIS</w:t>
      </w:r>
      <w:r w:rsidR="00E70D04" w:rsidRPr="00437FA4">
        <w:rPr>
          <w:rFonts w:cstheme="minorHAnsi"/>
          <w:szCs w:val="24"/>
        </w:rPr>
        <w:t xml:space="preserve"> Forum</w:t>
      </w:r>
      <w:r w:rsidRPr="00437FA4">
        <w:rPr>
          <w:rFonts w:cstheme="minorHAnsi"/>
          <w:szCs w:val="24"/>
        </w:rPr>
        <w:t xml:space="preserve">. </w:t>
      </w:r>
    </w:p>
    <w:p w14:paraId="6DCA61A3" w14:textId="130D8CBC"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Suggestions behind Proposal 3.3 stemmed from the discussions around spending more time on relevant conference topics and perhaps less time on resolutions. Other ideas include capitalizing on Resolution 71 (Rev. Dubai, 2018) of the Plenipotentiary Conference, on the s</w:t>
      </w:r>
      <w:r w:rsidRPr="00437FA4">
        <w:rPr>
          <w:rFonts w:cstheme="minorHAnsi"/>
          <w:bCs/>
          <w:szCs w:val="24"/>
        </w:rPr>
        <w:t>trategic plan for the Union for 2020-2023,</w:t>
      </w:r>
      <w:r w:rsidRPr="00437FA4">
        <w:rPr>
          <w:rFonts w:cstheme="minorHAnsi"/>
          <w:szCs w:val="24"/>
        </w:rPr>
        <w:t xml:space="preserve"> to create special tracks and sessions. </w:t>
      </w:r>
    </w:p>
    <w:p w14:paraId="08108A20" w14:textId="4B09A9A4"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The issue of lengthy sessions of adoption of resolutions </w:t>
      </w:r>
      <w:proofErr w:type="gramStart"/>
      <w:r w:rsidRPr="00437FA4">
        <w:rPr>
          <w:rFonts w:cstheme="minorHAnsi"/>
          <w:szCs w:val="24"/>
        </w:rPr>
        <w:t>has to</w:t>
      </w:r>
      <w:proofErr w:type="gramEnd"/>
      <w:r w:rsidRPr="00437FA4">
        <w:rPr>
          <w:rFonts w:cstheme="minorHAnsi"/>
          <w:szCs w:val="24"/>
        </w:rPr>
        <w:t xml:space="preserve"> be addressed. One way is to separate the conference into two parts</w:t>
      </w:r>
      <w:r w:rsidR="00D646DE" w:rsidRPr="00437FA4">
        <w:rPr>
          <w:rFonts w:cstheme="minorHAnsi"/>
          <w:szCs w:val="24"/>
        </w:rPr>
        <w:t xml:space="preserve">, with one </w:t>
      </w:r>
      <w:r w:rsidRPr="00437FA4">
        <w:rPr>
          <w:rFonts w:cstheme="minorHAnsi"/>
          <w:szCs w:val="24"/>
        </w:rPr>
        <w:t>part</w:t>
      </w:r>
      <w:r w:rsidR="00E70D04" w:rsidRPr="00437FA4">
        <w:rPr>
          <w:rFonts w:cstheme="minorHAnsi"/>
          <w:szCs w:val="24"/>
        </w:rPr>
        <w:t xml:space="preserve"> </w:t>
      </w:r>
      <w:r w:rsidR="00D646DE" w:rsidRPr="00437FA4">
        <w:rPr>
          <w:rFonts w:cstheme="minorHAnsi"/>
          <w:szCs w:val="24"/>
        </w:rPr>
        <w:t xml:space="preserve">dedicated to </w:t>
      </w:r>
      <w:r w:rsidRPr="00437FA4">
        <w:rPr>
          <w:rFonts w:cstheme="minorHAnsi"/>
          <w:szCs w:val="24"/>
        </w:rPr>
        <w:t xml:space="preserve">sessions for adoption of resolutions and </w:t>
      </w:r>
      <w:r w:rsidR="00D646DE" w:rsidRPr="00437FA4">
        <w:rPr>
          <w:rFonts w:cstheme="minorHAnsi"/>
          <w:szCs w:val="24"/>
        </w:rPr>
        <w:t xml:space="preserve">other </w:t>
      </w:r>
      <w:r w:rsidRPr="00437FA4">
        <w:rPr>
          <w:rFonts w:cstheme="minorHAnsi"/>
          <w:szCs w:val="24"/>
        </w:rPr>
        <w:t xml:space="preserve">decisions. </w:t>
      </w:r>
    </w:p>
    <w:p w14:paraId="7D8FB447" w14:textId="5D0DEA5F"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There was a call to formulate a communications plan and look for channels to promote it. Ways to generate the desire for people to be there will be driven by the content. The value proposition is</w:t>
      </w:r>
      <w:r w:rsidR="0030699B" w:rsidRPr="00437FA4">
        <w:rPr>
          <w:rFonts w:cstheme="minorHAnsi"/>
          <w:szCs w:val="24"/>
        </w:rPr>
        <w:t>, therefore,</w:t>
      </w:r>
      <w:r w:rsidRPr="00437FA4">
        <w:rPr>
          <w:rFonts w:cstheme="minorHAnsi"/>
          <w:szCs w:val="24"/>
        </w:rPr>
        <w:t xml:space="preserve"> needed primarily around agenda topics and what participants will walk away with in terms of WDC achievements.  </w:t>
      </w:r>
    </w:p>
    <w:p w14:paraId="0D041303" w14:textId="349CC711" w:rsidR="00DB7467" w:rsidRPr="00437FA4" w:rsidRDefault="00DB7467" w:rsidP="00482A5F">
      <w:pPr>
        <w:keepNext/>
        <w:tabs>
          <w:tab w:val="left" w:pos="567"/>
          <w:tab w:val="left" w:pos="1134"/>
          <w:tab w:val="left" w:pos="1701"/>
        </w:tabs>
        <w:overflowPunct/>
        <w:autoSpaceDE/>
        <w:autoSpaceDN/>
        <w:adjustRightInd/>
        <w:spacing w:line="259" w:lineRule="auto"/>
        <w:textAlignment w:val="auto"/>
        <w:rPr>
          <w:rFonts w:cstheme="minorHAnsi"/>
          <w:szCs w:val="24"/>
        </w:rPr>
      </w:pPr>
      <w:r w:rsidRPr="00437FA4">
        <w:rPr>
          <w:rFonts w:eastAsiaTheme="minorEastAsia" w:cstheme="minorHAnsi"/>
          <w:color w:val="00B0F0"/>
          <w:kern w:val="24"/>
          <w:szCs w:val="24"/>
          <w:lang w:val="en-US"/>
        </w:rPr>
        <w:t xml:space="preserve">The discussion  </w:t>
      </w:r>
    </w:p>
    <w:p w14:paraId="4C9BA4C2" w14:textId="77777777"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There is a need to strengthen cooperation with international financial institutions and donor organizations to fund ICT activities, including the projects or initiatives agreed to in the regions. It is important to have a bottom-up approach to stakeholder engagement. This means having a very </w:t>
      </w:r>
      <w:r w:rsidRPr="00437FA4">
        <w:rPr>
          <w:rFonts w:cstheme="minorHAnsi"/>
          <w:szCs w:val="24"/>
        </w:rPr>
        <w:lastRenderedPageBreak/>
        <w:t xml:space="preserve">active engagement and participation of civil society organizations, community networks, and particularly women, girls, indigenous peoples, and youth from developing and least developed countries. </w:t>
      </w:r>
    </w:p>
    <w:p w14:paraId="0A0C7D52" w14:textId="230C91FB"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When talking about funding or financing projects, it is not only about the donor community. The use of the term “donors” was clarified, as it has been restricting the debate</w:t>
      </w:r>
      <w:r w:rsidR="00D91E02" w:rsidRPr="00437FA4">
        <w:rPr>
          <w:rFonts w:cstheme="minorHAnsi"/>
          <w:szCs w:val="24"/>
        </w:rPr>
        <w:t>. O</w:t>
      </w:r>
      <w:r w:rsidRPr="00437FA4">
        <w:rPr>
          <w:rFonts w:cstheme="minorHAnsi"/>
          <w:szCs w:val="24"/>
        </w:rPr>
        <w:t>n the funding side, the intention is to welcome the donor organizations, financing organizations, investment companies and pr</w:t>
      </w:r>
      <w:r w:rsidR="00F4307E" w:rsidRPr="00437FA4">
        <w:rPr>
          <w:rFonts w:cstheme="minorHAnsi"/>
          <w:szCs w:val="24"/>
        </w:rPr>
        <w:t xml:space="preserve">ivate-equity firms, and even </w:t>
      </w:r>
      <w:r w:rsidRPr="00437FA4">
        <w:rPr>
          <w:rFonts w:cstheme="minorHAnsi"/>
          <w:szCs w:val="24"/>
        </w:rPr>
        <w:t>go beyond that by inviting the rating companies, because sometimes funding a project requires rating companies to give a notation. Development agencies and banks are well-known donors, but there is a need to cover the entire financing value chain to make sure that they would engage with ITU.</w:t>
      </w:r>
    </w:p>
    <w:p w14:paraId="1DA80112" w14:textId="77777777"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Positive engagement of stakeholders in the preparatory process may signal positive results for WTDC. An important reference for stakeholder engagement is Resolution 157 (Rev. Dubai, 2018) of the Plenipotentiary Conference, on strengthening of the project execution and project monitoring functions in ITU. Th</w:t>
      </w:r>
      <w:r w:rsidRPr="00437FA4">
        <w:rPr>
          <w:rFonts w:cstheme="minorHAnsi"/>
          <w:bCs/>
          <w:szCs w:val="24"/>
        </w:rPr>
        <w:t>e</w:t>
      </w:r>
      <w:r w:rsidRPr="00437FA4">
        <w:rPr>
          <w:rFonts w:cstheme="minorHAnsi"/>
          <w:b/>
          <w:bCs/>
          <w:szCs w:val="24"/>
        </w:rPr>
        <w:t xml:space="preserve"> </w:t>
      </w:r>
      <w:r w:rsidRPr="00437FA4">
        <w:rPr>
          <w:rFonts w:cstheme="minorHAnsi"/>
          <w:szCs w:val="24"/>
        </w:rPr>
        <w:t xml:space="preserve">Development Sector is all about fulfilling the Union's dual responsibility as a United Nations specialized agency and executing agency for implementing projects under the United Nations development system or other funding arrangements so as to facilitate and enhance telecommunication/information and communication technology (ICT) development by offering, organizing and coordinating technical cooperation and assistance activities. </w:t>
      </w:r>
    </w:p>
    <w:p w14:paraId="513DC7BC" w14:textId="77777777" w:rsidR="00DB7467" w:rsidRPr="00437FA4" w:rsidRDefault="00DB7467" w:rsidP="00437FA4">
      <w:pPr>
        <w:tabs>
          <w:tab w:val="left" w:pos="567"/>
          <w:tab w:val="left" w:pos="1134"/>
          <w:tab w:val="left" w:pos="1701"/>
        </w:tabs>
        <w:rPr>
          <w:rFonts w:cstheme="minorHAnsi"/>
          <w:color w:val="FF0000"/>
          <w:szCs w:val="24"/>
        </w:rPr>
      </w:pPr>
      <w:r w:rsidRPr="00437FA4">
        <w:rPr>
          <w:rFonts w:cstheme="minorHAnsi"/>
          <w:szCs w:val="24"/>
        </w:rPr>
        <w:t xml:space="preserve">Strengthening partnerships and stakeholder engagement is strengthening BDT project execution </w:t>
      </w:r>
      <w:proofErr w:type="gramStart"/>
      <w:r w:rsidRPr="00437FA4">
        <w:rPr>
          <w:rFonts w:cstheme="minorHAnsi"/>
          <w:szCs w:val="24"/>
        </w:rPr>
        <w:t>role in particular</w:t>
      </w:r>
      <w:proofErr w:type="gramEnd"/>
      <w:r w:rsidRPr="00437FA4">
        <w:rPr>
          <w:rFonts w:cstheme="minorHAnsi"/>
          <w:szCs w:val="24"/>
        </w:rPr>
        <w:t xml:space="preserve">. Stakeholder engagement is already evident in a variety of areas: cybersecurity, innovation, regulatory and market environment, </w:t>
      </w:r>
      <w:proofErr w:type="gramStart"/>
      <w:r w:rsidRPr="00437FA4">
        <w:rPr>
          <w:rFonts w:cstheme="minorHAnsi"/>
          <w:szCs w:val="24"/>
        </w:rPr>
        <w:t>technology</w:t>
      </w:r>
      <w:proofErr w:type="gramEnd"/>
      <w:r w:rsidRPr="00437FA4">
        <w:rPr>
          <w:rFonts w:cstheme="minorHAnsi"/>
          <w:szCs w:val="24"/>
        </w:rPr>
        <w:t xml:space="preserve"> and network development. </w:t>
      </w:r>
    </w:p>
    <w:p w14:paraId="1DC93663" w14:textId="78270BEB" w:rsidR="00DB7467" w:rsidRPr="00437FA4" w:rsidRDefault="00DB7467" w:rsidP="004F4CFD">
      <w:pPr>
        <w:keepNext/>
        <w:pBdr>
          <w:bottom w:val="single" w:sz="4" w:space="1" w:color="00B0F0"/>
        </w:pBdr>
        <w:tabs>
          <w:tab w:val="left" w:pos="567"/>
          <w:tab w:val="left" w:pos="1134"/>
          <w:tab w:val="left" w:pos="1701"/>
        </w:tabs>
        <w:spacing w:before="240"/>
        <w:rPr>
          <w:rFonts w:cstheme="minorHAnsi"/>
          <w:b/>
          <w:bCs/>
          <w:color w:val="7F7F7F" w:themeColor="text1" w:themeTint="80"/>
          <w:szCs w:val="24"/>
        </w:rPr>
      </w:pPr>
      <w:r w:rsidRPr="00437FA4">
        <w:rPr>
          <w:rFonts w:cstheme="minorHAnsi"/>
          <w:b/>
          <w:bCs/>
          <w:color w:val="7F7F7F" w:themeColor="text1" w:themeTint="80"/>
          <w:szCs w:val="24"/>
        </w:rPr>
        <w:t xml:space="preserve">Topic 4: Side events </w:t>
      </w:r>
    </w:p>
    <w:p w14:paraId="4B38353A" w14:textId="77777777" w:rsidR="00DB7467" w:rsidRPr="00437FA4" w:rsidRDefault="00DB7467" w:rsidP="00482A5F">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rPr>
      </w:pPr>
      <w:r w:rsidRPr="00437FA4">
        <w:rPr>
          <w:rFonts w:asciiTheme="minorHAnsi" w:eastAsiaTheme="minorEastAsia" w:hAnsiTheme="minorHAnsi" w:cstheme="minorHAnsi"/>
          <w:color w:val="00B0F0"/>
          <w:kern w:val="24"/>
        </w:rPr>
        <w:t xml:space="preserve">The context </w:t>
      </w:r>
    </w:p>
    <w:p w14:paraId="606405DF" w14:textId="055CAABE" w:rsidR="00715CCF"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Participants were unanimous in acknowledging that the name “side events” is not conducive to </w:t>
      </w:r>
      <w:r w:rsidR="00185416" w:rsidRPr="00437FA4">
        <w:rPr>
          <w:rFonts w:cstheme="minorHAnsi"/>
          <w:szCs w:val="24"/>
        </w:rPr>
        <w:t xml:space="preserve">convincing </w:t>
      </w:r>
      <w:r w:rsidRPr="00437FA4">
        <w:rPr>
          <w:rFonts w:cstheme="minorHAnsi"/>
          <w:szCs w:val="24"/>
        </w:rPr>
        <w:t xml:space="preserve">participants to </w:t>
      </w:r>
      <w:r w:rsidR="00185416" w:rsidRPr="00437FA4">
        <w:rPr>
          <w:rFonts w:cstheme="minorHAnsi"/>
          <w:szCs w:val="24"/>
        </w:rPr>
        <w:t>attend</w:t>
      </w:r>
      <w:r w:rsidR="00A1029F" w:rsidRPr="00437FA4">
        <w:rPr>
          <w:rFonts w:cstheme="minorHAnsi"/>
          <w:szCs w:val="24"/>
        </w:rPr>
        <w:t xml:space="preserve">. The case was also made that side events </w:t>
      </w:r>
      <w:proofErr w:type="gramStart"/>
      <w:r w:rsidR="00A1029F" w:rsidRPr="00437FA4">
        <w:rPr>
          <w:rFonts w:cstheme="minorHAnsi"/>
          <w:szCs w:val="24"/>
        </w:rPr>
        <w:t>have to</w:t>
      </w:r>
      <w:proofErr w:type="gramEnd"/>
      <w:r w:rsidR="00A1029F" w:rsidRPr="00437FA4">
        <w:rPr>
          <w:rFonts w:cstheme="minorHAnsi"/>
          <w:szCs w:val="24"/>
        </w:rPr>
        <w:t xml:space="preserve"> become an integral part of WTDC. One common observation was that all who have been to a WTDC have realized over the years that side events were not included in the conference </w:t>
      </w:r>
      <w:proofErr w:type="gramStart"/>
      <w:r w:rsidR="00A1029F" w:rsidRPr="00437FA4">
        <w:rPr>
          <w:rFonts w:cstheme="minorHAnsi"/>
          <w:szCs w:val="24"/>
        </w:rPr>
        <w:t>itself, and</w:t>
      </w:r>
      <w:proofErr w:type="gramEnd"/>
      <w:r w:rsidR="00A1029F" w:rsidRPr="00437FA4">
        <w:rPr>
          <w:rFonts w:cstheme="minorHAnsi"/>
          <w:szCs w:val="24"/>
        </w:rPr>
        <w:t xml:space="preserve"> were therefore not given the weight they deserved. </w:t>
      </w:r>
    </w:p>
    <w:p w14:paraId="68D0E773" w14:textId="5EA7B182"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A value proposition and a clear agenda are needed that can be owned by ITU and all participants. </w:t>
      </w:r>
      <w:r w:rsidR="00185416" w:rsidRPr="00437FA4">
        <w:rPr>
          <w:rFonts w:cstheme="minorHAnsi"/>
          <w:szCs w:val="24"/>
        </w:rPr>
        <w:t>There were calls for a</w:t>
      </w:r>
      <w:r w:rsidRPr="00437FA4">
        <w:rPr>
          <w:rFonts w:cstheme="minorHAnsi"/>
          <w:szCs w:val="24"/>
        </w:rPr>
        <w:t xml:space="preserve"> distinct preparatory process </w:t>
      </w:r>
      <w:r w:rsidR="00185416" w:rsidRPr="00437FA4">
        <w:rPr>
          <w:rFonts w:cstheme="minorHAnsi"/>
          <w:szCs w:val="24"/>
        </w:rPr>
        <w:t xml:space="preserve">to be introduced </w:t>
      </w:r>
      <w:r w:rsidRPr="00437FA4">
        <w:rPr>
          <w:rFonts w:cstheme="minorHAnsi"/>
          <w:szCs w:val="24"/>
        </w:rPr>
        <w:t>for side events</w:t>
      </w:r>
      <w:r w:rsidR="00715CCF" w:rsidRPr="00437FA4">
        <w:rPr>
          <w:rFonts w:cstheme="minorHAnsi"/>
          <w:szCs w:val="24"/>
        </w:rPr>
        <w:t>, as reflected in Proposal 4.1</w:t>
      </w:r>
      <w:r w:rsidRPr="00437FA4">
        <w:rPr>
          <w:rFonts w:cstheme="minorHAnsi"/>
          <w:szCs w:val="24"/>
        </w:rPr>
        <w:t xml:space="preserve">. </w:t>
      </w:r>
    </w:p>
    <w:p w14:paraId="35574718" w14:textId="5068315E" w:rsidR="00DB7467" w:rsidRPr="00437FA4" w:rsidRDefault="00103497" w:rsidP="00437FA4">
      <w:pPr>
        <w:tabs>
          <w:tab w:val="left" w:pos="567"/>
          <w:tab w:val="left" w:pos="1134"/>
          <w:tab w:val="left" w:pos="1701"/>
        </w:tabs>
        <w:rPr>
          <w:rFonts w:cstheme="minorHAnsi"/>
          <w:szCs w:val="24"/>
        </w:rPr>
      </w:pPr>
      <w:r w:rsidRPr="00437FA4">
        <w:rPr>
          <w:rFonts w:cstheme="minorHAnsi"/>
          <w:szCs w:val="24"/>
        </w:rPr>
        <w:t xml:space="preserve">It was suggested that </w:t>
      </w:r>
      <w:r w:rsidR="004D1A0E" w:rsidRPr="00437FA4">
        <w:rPr>
          <w:rFonts w:cstheme="minorHAnsi"/>
          <w:szCs w:val="24"/>
        </w:rPr>
        <w:t>s</w:t>
      </w:r>
      <w:r w:rsidR="00DB7467" w:rsidRPr="00437FA4">
        <w:rPr>
          <w:rFonts w:cstheme="minorHAnsi"/>
          <w:szCs w:val="24"/>
        </w:rPr>
        <w:t>ome of the high-level policy sessions could be repurposed to t</w:t>
      </w:r>
      <w:r w:rsidR="004D1A0E" w:rsidRPr="00437FA4">
        <w:rPr>
          <w:rFonts w:cstheme="minorHAnsi"/>
          <w:szCs w:val="24"/>
        </w:rPr>
        <w:t xml:space="preserve">he theme of the conference, allowing policy-makers to be </w:t>
      </w:r>
      <w:r w:rsidR="00DB7467" w:rsidRPr="00437FA4">
        <w:rPr>
          <w:rFonts w:cstheme="minorHAnsi"/>
          <w:szCs w:val="24"/>
        </w:rPr>
        <w:t>part of a roundtable discussion</w:t>
      </w:r>
      <w:r w:rsidR="004D1A0E" w:rsidRPr="00437FA4">
        <w:rPr>
          <w:rFonts w:cstheme="minorHAnsi"/>
          <w:szCs w:val="24"/>
        </w:rPr>
        <w:t xml:space="preserve"> to share challenges from their own countries for which they require others to offer </w:t>
      </w:r>
      <w:r w:rsidR="00DB7467" w:rsidRPr="00437FA4">
        <w:rPr>
          <w:rFonts w:cstheme="minorHAnsi"/>
          <w:szCs w:val="24"/>
        </w:rPr>
        <w:t xml:space="preserve">solutions </w:t>
      </w:r>
      <w:r w:rsidR="004D1A0E" w:rsidRPr="00437FA4">
        <w:rPr>
          <w:rFonts w:cstheme="minorHAnsi"/>
          <w:szCs w:val="24"/>
        </w:rPr>
        <w:t xml:space="preserve">rather than delivering policy statements. </w:t>
      </w:r>
    </w:p>
    <w:p w14:paraId="28BA997E" w14:textId="50D17349"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In terms of audience and speakers, it was suggested that four types of stakeholders could be considered</w:t>
      </w:r>
      <w:r w:rsidR="00D615B7" w:rsidRPr="00437FA4">
        <w:rPr>
          <w:rFonts w:cstheme="minorHAnsi"/>
          <w:szCs w:val="24"/>
        </w:rPr>
        <w:t>, as described in Proposal 4.6.</w:t>
      </w:r>
    </w:p>
    <w:p w14:paraId="410A076B" w14:textId="1588E070" w:rsidR="00715CCF" w:rsidRPr="00437FA4" w:rsidRDefault="00715CCF" w:rsidP="00437FA4">
      <w:pPr>
        <w:tabs>
          <w:tab w:val="left" w:pos="567"/>
          <w:tab w:val="left" w:pos="1134"/>
          <w:tab w:val="left" w:pos="1701"/>
        </w:tabs>
        <w:rPr>
          <w:rFonts w:cstheme="minorHAnsi"/>
          <w:szCs w:val="24"/>
        </w:rPr>
      </w:pPr>
      <w:r w:rsidRPr="00437FA4">
        <w:rPr>
          <w:rFonts w:cstheme="minorHAnsi"/>
          <w:szCs w:val="24"/>
        </w:rPr>
        <w:t xml:space="preserve">The </w:t>
      </w:r>
      <w:r w:rsidR="009C5BD9" w:rsidRPr="00437FA4">
        <w:rPr>
          <w:rFonts w:cstheme="minorHAnsi"/>
          <w:szCs w:val="24"/>
        </w:rPr>
        <w:t xml:space="preserve">preparatory </w:t>
      </w:r>
      <w:r w:rsidR="00271870" w:rsidRPr="00437FA4">
        <w:rPr>
          <w:rFonts w:cstheme="minorHAnsi"/>
          <w:szCs w:val="24"/>
        </w:rPr>
        <w:t xml:space="preserve">process should </w:t>
      </w:r>
      <w:r w:rsidRPr="00437FA4">
        <w:rPr>
          <w:rFonts w:cstheme="minorHAnsi"/>
          <w:szCs w:val="24"/>
        </w:rPr>
        <w:t xml:space="preserve">make sure that what comes out of side events </w:t>
      </w:r>
      <w:r w:rsidR="00D615B7" w:rsidRPr="00437FA4">
        <w:rPr>
          <w:rFonts w:cstheme="minorHAnsi"/>
          <w:szCs w:val="24"/>
        </w:rPr>
        <w:t xml:space="preserve">is actionable and can be followed </w:t>
      </w:r>
      <w:r w:rsidR="007F35D0" w:rsidRPr="00437FA4">
        <w:rPr>
          <w:rFonts w:cstheme="minorHAnsi"/>
          <w:szCs w:val="24"/>
        </w:rPr>
        <w:t xml:space="preserve">up </w:t>
      </w:r>
      <w:r w:rsidR="00D615B7" w:rsidRPr="00437FA4">
        <w:rPr>
          <w:rFonts w:cstheme="minorHAnsi"/>
          <w:szCs w:val="24"/>
        </w:rPr>
        <w:t>beyond the conference.</w:t>
      </w:r>
    </w:p>
    <w:p w14:paraId="199F3365" w14:textId="6C1A91BA" w:rsidR="00DB7467" w:rsidRPr="00437FA4" w:rsidRDefault="00DB7467" w:rsidP="00482A5F">
      <w:pPr>
        <w:pStyle w:val="NormalWeb"/>
        <w:keepNext/>
        <w:tabs>
          <w:tab w:val="left" w:pos="567"/>
          <w:tab w:val="left" w:pos="1134"/>
          <w:tab w:val="left" w:pos="1701"/>
        </w:tabs>
        <w:spacing w:before="120" w:beforeAutospacing="0" w:after="0" w:afterAutospacing="0" w:line="259" w:lineRule="auto"/>
        <w:rPr>
          <w:rFonts w:asciiTheme="minorHAnsi" w:hAnsiTheme="minorHAnsi" w:cstheme="minorHAnsi"/>
        </w:rPr>
      </w:pPr>
      <w:r w:rsidRPr="00437FA4">
        <w:rPr>
          <w:rFonts w:asciiTheme="minorHAnsi" w:eastAsiaTheme="minorEastAsia" w:hAnsiTheme="minorHAnsi" w:cstheme="minorHAnsi"/>
          <w:color w:val="00B0F0"/>
          <w:kern w:val="24"/>
        </w:rPr>
        <w:lastRenderedPageBreak/>
        <w:t xml:space="preserve">The proposals </w:t>
      </w:r>
    </w:p>
    <w:p w14:paraId="0B835B26" w14:textId="77777777" w:rsidR="00DB7467" w:rsidRPr="00437FA4" w:rsidRDefault="00DB7467" w:rsidP="00437FA4">
      <w:pPr>
        <w:pStyle w:val="NormalWeb"/>
        <w:tabs>
          <w:tab w:val="left" w:pos="567"/>
          <w:tab w:val="left" w:pos="1134"/>
          <w:tab w:val="left" w:pos="1701"/>
        </w:tabs>
        <w:overflowPunct w:val="0"/>
        <w:spacing w:before="120" w:beforeAutospacing="0" w:after="0" w:afterAutospacing="0" w:line="216" w:lineRule="auto"/>
        <w:rPr>
          <w:rFonts w:asciiTheme="minorHAnsi" w:hAnsiTheme="minorHAnsi" w:cstheme="minorHAnsi"/>
        </w:rPr>
      </w:pPr>
      <w:r w:rsidRPr="00437FA4">
        <w:rPr>
          <w:rFonts w:asciiTheme="minorHAnsi" w:eastAsiaTheme="minorEastAsia" w:hAnsiTheme="minorHAnsi" w:cstheme="minorHAnsi"/>
          <w:color w:val="000000" w:themeColor="text1"/>
          <w:kern w:val="24"/>
        </w:rPr>
        <w:t xml:space="preserve">Design side events to create impact with carefully selected theme(s), stakeholders, clear </w:t>
      </w:r>
      <w:proofErr w:type="gramStart"/>
      <w:r w:rsidRPr="00437FA4">
        <w:rPr>
          <w:rFonts w:asciiTheme="minorHAnsi" w:eastAsiaTheme="minorEastAsia" w:hAnsiTheme="minorHAnsi" w:cstheme="minorHAnsi"/>
          <w:color w:val="000000" w:themeColor="text1"/>
          <w:kern w:val="24"/>
        </w:rPr>
        <w:t>agenda</w:t>
      </w:r>
      <w:proofErr w:type="gramEnd"/>
      <w:r w:rsidRPr="00437FA4">
        <w:rPr>
          <w:rFonts w:asciiTheme="minorHAnsi" w:eastAsiaTheme="minorEastAsia" w:hAnsiTheme="minorHAnsi" w:cstheme="minorHAnsi"/>
          <w:color w:val="000000" w:themeColor="text1"/>
          <w:kern w:val="24"/>
        </w:rPr>
        <w:t xml:space="preserve"> and value proposition.</w:t>
      </w:r>
    </w:p>
    <w:p w14:paraId="494C6FC9" w14:textId="77777777" w:rsidR="00DB7467" w:rsidRPr="00437FA4" w:rsidRDefault="00DB7467" w:rsidP="00437FA4">
      <w:pPr>
        <w:pStyle w:val="NormalWeb"/>
        <w:tabs>
          <w:tab w:val="left" w:pos="567"/>
          <w:tab w:val="left" w:pos="1134"/>
          <w:tab w:val="left" w:pos="1701"/>
        </w:tabs>
        <w:overflowPunct w:val="0"/>
        <w:spacing w:before="120" w:beforeAutospacing="0" w:after="0" w:afterAutospacing="0" w:line="216" w:lineRule="auto"/>
        <w:rPr>
          <w:rFonts w:asciiTheme="minorHAnsi" w:eastAsiaTheme="minorEastAsia" w:hAnsiTheme="minorHAnsi" w:cstheme="minorHAnsi"/>
          <w:color w:val="000000" w:themeColor="text1"/>
          <w:kern w:val="24"/>
        </w:rPr>
      </w:pPr>
      <w:r w:rsidRPr="00437FA4">
        <w:rPr>
          <w:rFonts w:asciiTheme="minorHAnsi" w:eastAsiaTheme="minorEastAsia" w:hAnsiTheme="minorHAnsi" w:cstheme="minorHAnsi"/>
          <w:color w:val="000000" w:themeColor="text1"/>
          <w:kern w:val="24"/>
        </w:rPr>
        <w:t>For this purpose, there could be:</w:t>
      </w:r>
    </w:p>
    <w:p w14:paraId="25EC2FF8" w14:textId="6F29AFF5" w:rsidR="00DB7467"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t>Proposal 4.1:</w:t>
      </w:r>
      <w:r w:rsidRPr="00437FA4">
        <w:rPr>
          <w:rFonts w:cstheme="minorHAnsi"/>
          <w:szCs w:val="24"/>
        </w:rPr>
        <w:t xml:space="preserve"> A</w:t>
      </w:r>
      <w:r w:rsidR="00103497" w:rsidRPr="00437FA4">
        <w:rPr>
          <w:rFonts w:cstheme="minorHAnsi"/>
          <w:szCs w:val="24"/>
        </w:rPr>
        <w:t xml:space="preserve"> distinct “side </w:t>
      </w:r>
      <w:r w:rsidRPr="00437FA4">
        <w:rPr>
          <w:rFonts w:cstheme="minorHAnsi"/>
          <w:szCs w:val="24"/>
        </w:rPr>
        <w:t>event” preparatory process.</w:t>
      </w:r>
    </w:p>
    <w:p w14:paraId="70F8F4D6" w14:textId="305827ED" w:rsidR="00DB7467"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t>Proposal 4.2:</w:t>
      </w:r>
      <w:r w:rsidRPr="00437FA4">
        <w:rPr>
          <w:rFonts w:cstheme="minorHAnsi"/>
          <w:szCs w:val="24"/>
        </w:rPr>
        <w:t xml:space="preserve"> Side</w:t>
      </w:r>
      <w:r w:rsidR="00103497" w:rsidRPr="00437FA4">
        <w:rPr>
          <w:rFonts w:cstheme="minorHAnsi"/>
          <w:szCs w:val="24"/>
        </w:rPr>
        <w:t xml:space="preserve"> </w:t>
      </w:r>
      <w:r w:rsidRPr="00437FA4">
        <w:rPr>
          <w:rFonts w:cstheme="minorHAnsi"/>
          <w:szCs w:val="24"/>
        </w:rPr>
        <w:t>events could be made an integral part of WTDC and constituting a “development” track in complement to the current programme of the conference.</w:t>
      </w:r>
    </w:p>
    <w:p w14:paraId="19D5BB58" w14:textId="77777777" w:rsidR="00DB7467"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t>Proposal 4.3:</w:t>
      </w:r>
      <w:r w:rsidRPr="00437FA4">
        <w:rPr>
          <w:rFonts w:cstheme="minorHAnsi"/>
          <w:szCs w:val="24"/>
        </w:rPr>
        <w:t xml:space="preserve"> A post-conference process after WTDC to further coordinate or implement “side-event” outcomes with the involved stakeholders.</w:t>
      </w:r>
    </w:p>
    <w:p w14:paraId="3780CD5A" w14:textId="77777777" w:rsidR="00DB7467" w:rsidRPr="00437FA4" w:rsidRDefault="00DB7467" w:rsidP="00437FA4">
      <w:pPr>
        <w:tabs>
          <w:tab w:val="left" w:pos="567"/>
          <w:tab w:val="left" w:pos="1134"/>
          <w:tab w:val="left" w:pos="1701"/>
        </w:tabs>
        <w:ind w:left="360"/>
        <w:rPr>
          <w:rFonts w:cstheme="minorHAnsi"/>
          <w:szCs w:val="24"/>
        </w:rPr>
      </w:pPr>
      <w:r w:rsidRPr="00437FA4">
        <w:rPr>
          <w:rFonts w:cstheme="minorHAnsi"/>
          <w:szCs w:val="24"/>
        </w:rPr>
        <w:t>Characteristics of the “development” track during WTDC: Proposal 4.1: A distinct “side-event” preparatory process.</w:t>
      </w:r>
    </w:p>
    <w:p w14:paraId="6352B9E1" w14:textId="77777777" w:rsidR="00DB7467"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t>Proposal 4.4:</w:t>
      </w:r>
      <w:r w:rsidRPr="00437FA4">
        <w:rPr>
          <w:rFonts w:cstheme="minorHAnsi"/>
          <w:szCs w:val="24"/>
        </w:rPr>
        <w:t xml:space="preserve"> The development track could be organized around key thematic areas, for example “regional priorities” should be diverse, </w:t>
      </w:r>
      <w:proofErr w:type="gramStart"/>
      <w:r w:rsidRPr="00437FA4">
        <w:rPr>
          <w:rFonts w:cstheme="minorHAnsi"/>
          <w:szCs w:val="24"/>
        </w:rPr>
        <w:t>interactive</w:t>
      </w:r>
      <w:proofErr w:type="gramEnd"/>
      <w:r w:rsidRPr="00437FA4">
        <w:rPr>
          <w:rFonts w:cstheme="minorHAnsi"/>
          <w:szCs w:val="24"/>
        </w:rPr>
        <w:t xml:space="preserve"> and dynamic. </w:t>
      </w:r>
    </w:p>
    <w:p w14:paraId="77B1D1D0" w14:textId="77777777" w:rsidR="00DB7467"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t>Proposal 4.5:</w:t>
      </w:r>
      <w:r w:rsidRPr="00437FA4">
        <w:rPr>
          <w:rFonts w:cstheme="minorHAnsi"/>
          <w:szCs w:val="24"/>
        </w:rPr>
        <w:t xml:space="preserve"> The High-Level policy session (which includes delivery of policy statements) could be repurposed to become thematic events to address development challenges and clearly identified priorities. The thematic events could aim to find solutions to those challenges, including the financing aspects. </w:t>
      </w:r>
    </w:p>
    <w:p w14:paraId="7BCB1A09" w14:textId="512BDEFE" w:rsidR="00DB7467"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t>Proposal 4.6:</w:t>
      </w:r>
      <w:r w:rsidRPr="00437FA4">
        <w:rPr>
          <w:rFonts w:cstheme="minorHAnsi"/>
          <w:szCs w:val="24"/>
        </w:rPr>
        <w:t xml:space="preserve"> The speakers and audience could include</w:t>
      </w:r>
      <w:r w:rsidR="007F35D0" w:rsidRPr="00437FA4">
        <w:rPr>
          <w:rFonts w:cstheme="minorHAnsi"/>
          <w:szCs w:val="24"/>
        </w:rPr>
        <w:t xml:space="preserve"> four</w:t>
      </w:r>
      <w:r w:rsidRPr="00437FA4">
        <w:rPr>
          <w:rFonts w:cstheme="minorHAnsi"/>
          <w:szCs w:val="24"/>
        </w:rPr>
        <w:t xml:space="preserve"> types of stakeholders (problem owners, solution owners, fund owners and beneficiaries) to increase chances of interaction and interest.</w:t>
      </w:r>
    </w:p>
    <w:p w14:paraId="6AB0511F" w14:textId="77777777" w:rsidR="009C5BD9"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t>Proposal 4.7:</w:t>
      </w:r>
      <w:r w:rsidRPr="00437FA4">
        <w:rPr>
          <w:rFonts w:cstheme="minorHAnsi"/>
          <w:szCs w:val="24"/>
        </w:rPr>
        <w:t xml:space="preserve"> Outcomes of this development track could be new/finalized project proposals and initiatives in relation with the themes, expressions of interest/commitments to finance them, concrete work plans to fol</w:t>
      </w:r>
      <w:r w:rsidR="005875AA" w:rsidRPr="00437FA4">
        <w:rPr>
          <w:rFonts w:cstheme="minorHAnsi"/>
          <w:szCs w:val="24"/>
        </w:rPr>
        <w:t xml:space="preserve">low </w:t>
      </w:r>
      <w:r w:rsidRPr="00437FA4">
        <w:rPr>
          <w:rFonts w:cstheme="minorHAnsi"/>
          <w:szCs w:val="24"/>
        </w:rPr>
        <w:t>up on them.</w:t>
      </w:r>
    </w:p>
    <w:p w14:paraId="1A7CBAFC" w14:textId="76C64E92" w:rsidR="00DB7467" w:rsidRPr="00437FA4" w:rsidRDefault="00DB7467" w:rsidP="00482A5F">
      <w:pPr>
        <w:keepNext/>
        <w:tabs>
          <w:tab w:val="clear" w:pos="794"/>
          <w:tab w:val="clear" w:pos="1191"/>
          <w:tab w:val="clear" w:pos="1588"/>
          <w:tab w:val="clear" w:pos="1985"/>
          <w:tab w:val="left" w:pos="567"/>
          <w:tab w:val="left" w:pos="1134"/>
          <w:tab w:val="left" w:pos="1701"/>
        </w:tabs>
        <w:overflowPunct/>
        <w:autoSpaceDE/>
        <w:autoSpaceDN/>
        <w:adjustRightInd/>
        <w:spacing w:line="259" w:lineRule="auto"/>
        <w:textAlignment w:val="auto"/>
        <w:rPr>
          <w:rFonts w:cstheme="minorHAnsi"/>
          <w:szCs w:val="24"/>
        </w:rPr>
      </w:pPr>
      <w:r w:rsidRPr="00437FA4">
        <w:rPr>
          <w:rFonts w:eastAsiaTheme="minorEastAsia" w:cstheme="minorHAnsi"/>
          <w:color w:val="00B0F0"/>
          <w:kern w:val="24"/>
          <w:szCs w:val="24"/>
        </w:rPr>
        <w:t xml:space="preserve">The discussion </w:t>
      </w:r>
    </w:p>
    <w:p w14:paraId="218F19E1" w14:textId="5EEAEFDB" w:rsidR="00DB7467" w:rsidRPr="00437FA4" w:rsidRDefault="008073EA" w:rsidP="00437FA4">
      <w:pPr>
        <w:tabs>
          <w:tab w:val="left" w:pos="567"/>
          <w:tab w:val="left" w:pos="1134"/>
          <w:tab w:val="left" w:pos="1701"/>
        </w:tabs>
        <w:rPr>
          <w:rFonts w:cstheme="minorHAnsi"/>
          <w:szCs w:val="24"/>
        </w:rPr>
      </w:pPr>
      <w:r w:rsidRPr="00437FA4">
        <w:rPr>
          <w:rFonts w:cstheme="minorHAnsi"/>
          <w:szCs w:val="24"/>
        </w:rPr>
        <w:t>There was unanimous support for renaming side events and making them an integral part of the conference. There were a number of</w:t>
      </w:r>
      <w:r w:rsidR="00E030B3" w:rsidRPr="00437FA4">
        <w:rPr>
          <w:rFonts w:cstheme="minorHAnsi"/>
          <w:szCs w:val="24"/>
        </w:rPr>
        <w:t xml:space="preserve"> </w:t>
      </w:r>
      <w:r w:rsidRPr="00437FA4">
        <w:rPr>
          <w:rFonts w:cstheme="minorHAnsi"/>
          <w:szCs w:val="24"/>
        </w:rPr>
        <w:t>proposals</w:t>
      </w:r>
      <w:r w:rsidR="00E030B3" w:rsidRPr="00437FA4">
        <w:rPr>
          <w:rFonts w:cstheme="minorHAnsi"/>
          <w:szCs w:val="24"/>
        </w:rPr>
        <w:t xml:space="preserve"> on </w:t>
      </w:r>
      <w:r w:rsidRPr="00437FA4">
        <w:rPr>
          <w:rFonts w:cstheme="minorHAnsi"/>
          <w:szCs w:val="24"/>
        </w:rPr>
        <w:t xml:space="preserve">how this could </w:t>
      </w:r>
      <w:proofErr w:type="gramStart"/>
      <w:r w:rsidR="00185416" w:rsidRPr="00437FA4">
        <w:rPr>
          <w:rFonts w:cstheme="minorHAnsi"/>
          <w:szCs w:val="24"/>
        </w:rPr>
        <w:t>done</w:t>
      </w:r>
      <w:proofErr w:type="gramEnd"/>
      <w:r w:rsidRPr="00437FA4">
        <w:rPr>
          <w:rFonts w:cstheme="minorHAnsi"/>
          <w:szCs w:val="24"/>
        </w:rPr>
        <w:t xml:space="preserve">, including the suggestion to look at ways that other conferences, other entities manage to achieve this.  </w:t>
      </w:r>
    </w:p>
    <w:p w14:paraId="70FAD155" w14:textId="77777777" w:rsidR="009C5BD9" w:rsidRPr="00437FA4" w:rsidRDefault="00DB7467" w:rsidP="00437FA4">
      <w:pPr>
        <w:tabs>
          <w:tab w:val="left" w:pos="567"/>
          <w:tab w:val="left" w:pos="1134"/>
          <w:tab w:val="left" w:pos="1701"/>
        </w:tabs>
        <w:rPr>
          <w:rFonts w:cstheme="minorHAnsi"/>
          <w:szCs w:val="24"/>
        </w:rPr>
      </w:pPr>
      <w:r w:rsidRPr="00437FA4">
        <w:rPr>
          <w:rFonts w:cstheme="minorHAnsi"/>
          <w:szCs w:val="24"/>
        </w:rPr>
        <w:t>There was also a word of caution that based on the WTDC-17 experience, the idea is to understand how to save time, not how to increase it on events</w:t>
      </w:r>
      <w:r w:rsidR="002D561A" w:rsidRPr="00437FA4">
        <w:rPr>
          <w:rFonts w:cstheme="minorHAnsi"/>
          <w:szCs w:val="24"/>
        </w:rPr>
        <w:t xml:space="preserve"> </w:t>
      </w:r>
      <w:r w:rsidRPr="00437FA4">
        <w:rPr>
          <w:rFonts w:cstheme="minorHAnsi"/>
          <w:szCs w:val="24"/>
        </w:rPr>
        <w:t xml:space="preserve">which are not related to ITU-D activities and WTDC documents, such as resolutions and the declaration. If the number of side events increases without the necessary coordination and understanding of how they are linked to the work of the conference committees, that might be problematic. </w:t>
      </w:r>
    </w:p>
    <w:p w14:paraId="09E09413" w14:textId="1250D81D" w:rsidR="00DB7467" w:rsidRPr="00437FA4" w:rsidRDefault="009C5BD9" w:rsidP="00437FA4">
      <w:pPr>
        <w:tabs>
          <w:tab w:val="left" w:pos="567"/>
          <w:tab w:val="left" w:pos="1134"/>
          <w:tab w:val="left" w:pos="1701"/>
        </w:tabs>
        <w:rPr>
          <w:rFonts w:cstheme="minorHAnsi"/>
          <w:szCs w:val="24"/>
        </w:rPr>
      </w:pPr>
      <w:r w:rsidRPr="00437FA4">
        <w:rPr>
          <w:rFonts w:cstheme="minorHAnsi"/>
          <w:szCs w:val="24"/>
        </w:rPr>
        <w:t>A similar comment was that w</w:t>
      </w:r>
      <w:r w:rsidR="00DB7467" w:rsidRPr="00437FA4">
        <w:rPr>
          <w:rFonts w:cstheme="minorHAnsi"/>
          <w:szCs w:val="24"/>
        </w:rPr>
        <w:t>hile appreciating side events, members also have to be cautious about how to balance side events with the main deliberations so that sm</w:t>
      </w:r>
      <w:r w:rsidRPr="00437FA4">
        <w:rPr>
          <w:rFonts w:cstheme="minorHAnsi"/>
          <w:szCs w:val="24"/>
        </w:rPr>
        <w:t xml:space="preserve">all delegations do not miss out </w:t>
      </w:r>
      <w:r w:rsidR="00DB7467" w:rsidRPr="00437FA4">
        <w:rPr>
          <w:rFonts w:cstheme="minorHAnsi"/>
          <w:szCs w:val="24"/>
        </w:rPr>
        <w:t>on the benefits of the side events,</w:t>
      </w:r>
      <w:r w:rsidRPr="00437FA4">
        <w:rPr>
          <w:rFonts w:cstheme="minorHAnsi"/>
          <w:szCs w:val="24"/>
        </w:rPr>
        <w:t xml:space="preserve"> and that plenary sessions are not left </w:t>
      </w:r>
      <w:r w:rsidR="008A068B" w:rsidRPr="00437FA4">
        <w:rPr>
          <w:rFonts w:cstheme="minorHAnsi"/>
          <w:szCs w:val="24"/>
        </w:rPr>
        <w:t xml:space="preserve">without the </w:t>
      </w:r>
      <w:r w:rsidRPr="00437FA4">
        <w:rPr>
          <w:rFonts w:cstheme="minorHAnsi"/>
          <w:szCs w:val="24"/>
        </w:rPr>
        <w:t>quorum to conduct their work.</w:t>
      </w:r>
    </w:p>
    <w:p w14:paraId="38AE7015" w14:textId="766E408E" w:rsidR="00DB7467" w:rsidRPr="00437FA4" w:rsidRDefault="009C5BD9" w:rsidP="00437FA4">
      <w:pPr>
        <w:tabs>
          <w:tab w:val="left" w:pos="567"/>
          <w:tab w:val="left" w:pos="1134"/>
          <w:tab w:val="left" w:pos="1701"/>
        </w:tabs>
        <w:rPr>
          <w:rFonts w:cstheme="minorHAnsi"/>
          <w:szCs w:val="24"/>
        </w:rPr>
      </w:pPr>
      <w:r w:rsidRPr="00437FA4">
        <w:rPr>
          <w:rFonts w:cstheme="minorHAnsi"/>
          <w:szCs w:val="24"/>
        </w:rPr>
        <w:t xml:space="preserve">Others stressed that side </w:t>
      </w:r>
      <w:r w:rsidR="00DB7467" w:rsidRPr="00437FA4">
        <w:rPr>
          <w:rFonts w:cstheme="minorHAnsi"/>
          <w:szCs w:val="24"/>
        </w:rPr>
        <w:t>events are needed to attract as many people as possible</w:t>
      </w:r>
      <w:r w:rsidRPr="00437FA4">
        <w:rPr>
          <w:rFonts w:cstheme="minorHAnsi"/>
          <w:szCs w:val="24"/>
        </w:rPr>
        <w:t xml:space="preserve">, given </w:t>
      </w:r>
      <w:r w:rsidR="00DB7467" w:rsidRPr="00437FA4">
        <w:rPr>
          <w:rFonts w:cstheme="minorHAnsi"/>
          <w:szCs w:val="24"/>
        </w:rPr>
        <w:t xml:space="preserve">their unique characteristics to discuss the development process of all sectors of society and not just the ICT sector. </w:t>
      </w:r>
      <w:r w:rsidR="007F35D0" w:rsidRPr="00437FA4">
        <w:rPr>
          <w:rFonts w:cstheme="minorHAnsi"/>
          <w:szCs w:val="24"/>
        </w:rPr>
        <w:t>I</w:t>
      </w:r>
      <w:r w:rsidR="00E51A44" w:rsidRPr="00437FA4">
        <w:rPr>
          <w:rFonts w:cstheme="minorHAnsi"/>
          <w:szCs w:val="24"/>
        </w:rPr>
        <w:t>t was pointed out that m</w:t>
      </w:r>
      <w:r w:rsidR="00DB7467" w:rsidRPr="00437FA4">
        <w:rPr>
          <w:rFonts w:cstheme="minorHAnsi"/>
          <w:szCs w:val="24"/>
        </w:rPr>
        <w:t xml:space="preserve">any stakeholders, especially high-level participants, cannot attend the two weeks of WTDC. If side events are created in an impactful way to discuss critical ICT </w:t>
      </w:r>
      <w:r w:rsidR="00DB7467" w:rsidRPr="00437FA4">
        <w:rPr>
          <w:rFonts w:cstheme="minorHAnsi"/>
          <w:szCs w:val="24"/>
        </w:rPr>
        <w:lastRenderedPageBreak/>
        <w:t xml:space="preserve">developmental issues, they would attract high-level participants from various stakeholders, participants who are not necessarily interested in resolutions. </w:t>
      </w:r>
    </w:p>
    <w:p w14:paraId="10BA99C7" w14:textId="41E4C70C" w:rsidR="00DB7467" w:rsidRPr="00437FA4" w:rsidRDefault="004A0545" w:rsidP="00437FA4">
      <w:pPr>
        <w:tabs>
          <w:tab w:val="left" w:pos="567"/>
          <w:tab w:val="left" w:pos="1134"/>
          <w:tab w:val="left" w:pos="1701"/>
        </w:tabs>
        <w:rPr>
          <w:rFonts w:cstheme="minorHAnsi"/>
          <w:szCs w:val="24"/>
        </w:rPr>
      </w:pPr>
      <w:r w:rsidRPr="00437FA4">
        <w:rPr>
          <w:rFonts w:cstheme="minorHAnsi"/>
          <w:szCs w:val="24"/>
        </w:rPr>
        <w:t xml:space="preserve">One suggestion was </w:t>
      </w:r>
      <w:r w:rsidR="007F35D0" w:rsidRPr="00437FA4">
        <w:rPr>
          <w:rFonts w:cstheme="minorHAnsi"/>
          <w:szCs w:val="24"/>
        </w:rPr>
        <w:t xml:space="preserve">that </w:t>
      </w:r>
      <w:r w:rsidR="00DB7467" w:rsidRPr="00437FA4">
        <w:rPr>
          <w:rFonts w:cstheme="minorHAnsi"/>
          <w:szCs w:val="24"/>
        </w:rPr>
        <w:t>once</w:t>
      </w:r>
      <w:r w:rsidR="007F35D0" w:rsidRPr="00437FA4">
        <w:rPr>
          <w:rFonts w:cstheme="minorHAnsi"/>
          <w:szCs w:val="24"/>
        </w:rPr>
        <w:t xml:space="preserve"> side events </w:t>
      </w:r>
      <w:r w:rsidR="00DB7467" w:rsidRPr="00437FA4">
        <w:rPr>
          <w:rFonts w:cstheme="minorHAnsi"/>
          <w:szCs w:val="24"/>
        </w:rPr>
        <w:t>have been renamed</w:t>
      </w:r>
      <w:r w:rsidR="007F35D0" w:rsidRPr="00437FA4">
        <w:rPr>
          <w:rFonts w:cstheme="minorHAnsi"/>
          <w:szCs w:val="24"/>
        </w:rPr>
        <w:t xml:space="preserve">, they could be </w:t>
      </w:r>
      <w:proofErr w:type="gramStart"/>
      <w:r w:rsidR="00E51A44" w:rsidRPr="00437FA4">
        <w:rPr>
          <w:rFonts w:cstheme="minorHAnsi"/>
          <w:szCs w:val="24"/>
        </w:rPr>
        <w:t>similar to</w:t>
      </w:r>
      <w:proofErr w:type="gramEnd"/>
      <w:r w:rsidR="00E51A44" w:rsidRPr="00437FA4">
        <w:rPr>
          <w:rFonts w:cstheme="minorHAnsi"/>
          <w:szCs w:val="24"/>
        </w:rPr>
        <w:t xml:space="preserve"> </w:t>
      </w:r>
      <w:r w:rsidR="00DB7467" w:rsidRPr="00437FA4">
        <w:rPr>
          <w:rFonts w:cstheme="minorHAnsi"/>
          <w:szCs w:val="24"/>
        </w:rPr>
        <w:t xml:space="preserve">the </w:t>
      </w:r>
      <w:r w:rsidR="007F35D0" w:rsidRPr="00437FA4">
        <w:rPr>
          <w:rFonts w:cstheme="minorHAnsi"/>
          <w:szCs w:val="24"/>
        </w:rPr>
        <w:t xml:space="preserve">ITU </w:t>
      </w:r>
      <w:r w:rsidR="00DB7467" w:rsidRPr="00437FA4">
        <w:rPr>
          <w:rFonts w:cstheme="minorHAnsi"/>
          <w:szCs w:val="24"/>
        </w:rPr>
        <w:t>regional development forum,</w:t>
      </w:r>
      <w:r w:rsidR="00E51A44" w:rsidRPr="00437FA4">
        <w:rPr>
          <w:rFonts w:cstheme="minorHAnsi"/>
          <w:szCs w:val="24"/>
        </w:rPr>
        <w:t xml:space="preserve"> but at a global level</w:t>
      </w:r>
      <w:r w:rsidR="007F35D0" w:rsidRPr="00437FA4">
        <w:rPr>
          <w:rFonts w:cstheme="minorHAnsi"/>
          <w:szCs w:val="24"/>
        </w:rPr>
        <w:t xml:space="preserve"> </w:t>
      </w:r>
      <w:r w:rsidR="00E51A44" w:rsidRPr="00437FA4">
        <w:rPr>
          <w:rFonts w:cstheme="minorHAnsi"/>
          <w:szCs w:val="24"/>
        </w:rPr>
        <w:t>and would discuss the developmental track. ITU regional development forums pr</w:t>
      </w:r>
      <w:r w:rsidR="00DB7467" w:rsidRPr="00437FA4">
        <w:rPr>
          <w:rFonts w:cstheme="minorHAnsi"/>
          <w:szCs w:val="24"/>
        </w:rPr>
        <w:t xml:space="preserve">ovide a platform for open dialogue, cooperation and partnerships among telecommunication/ICT </w:t>
      </w:r>
      <w:proofErr w:type="gramStart"/>
      <w:r w:rsidR="00DB7467" w:rsidRPr="00437FA4">
        <w:rPr>
          <w:rFonts w:cstheme="minorHAnsi"/>
          <w:szCs w:val="24"/>
        </w:rPr>
        <w:t>policy-makers</w:t>
      </w:r>
      <w:proofErr w:type="gramEnd"/>
      <w:r w:rsidR="00DB7467" w:rsidRPr="00437FA4">
        <w:rPr>
          <w:rFonts w:cstheme="minorHAnsi"/>
          <w:szCs w:val="24"/>
        </w:rPr>
        <w:t xml:space="preserve">, regulators, industry, academia, regional and international development agencies and organizations on specific regional telecommunication and ICT matters. </w:t>
      </w:r>
    </w:p>
    <w:p w14:paraId="1B6EC2D2" w14:textId="314A587E" w:rsidR="00016034" w:rsidRPr="00437FA4" w:rsidRDefault="00016034" w:rsidP="00437FA4">
      <w:pPr>
        <w:tabs>
          <w:tab w:val="left" w:pos="567"/>
          <w:tab w:val="left" w:pos="1134"/>
          <w:tab w:val="left" w:pos="1701"/>
        </w:tabs>
        <w:jc w:val="center"/>
        <w:rPr>
          <w:rFonts w:cstheme="minorHAnsi"/>
          <w:szCs w:val="24"/>
        </w:rPr>
      </w:pPr>
      <w:r w:rsidRPr="00437FA4">
        <w:rPr>
          <w:rFonts w:cstheme="minorHAnsi"/>
          <w:szCs w:val="24"/>
        </w:rPr>
        <w:t>________________</w:t>
      </w:r>
    </w:p>
    <w:sectPr w:rsidR="00016034" w:rsidRPr="00437FA4" w:rsidSect="00473791">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DCD5F" w14:textId="77777777" w:rsidR="005B0770" w:rsidRDefault="005B0770">
      <w:r>
        <w:separator/>
      </w:r>
    </w:p>
  </w:endnote>
  <w:endnote w:type="continuationSeparator" w:id="0">
    <w:p w14:paraId="2565974C" w14:textId="77777777" w:rsidR="005B0770" w:rsidRDefault="005B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5A9A9" w14:textId="77777777" w:rsidR="007A36AB" w:rsidRDefault="007A3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48A9C" w14:textId="38297DEF" w:rsidR="007A36AB" w:rsidRDefault="007A36AB" w:rsidP="00432C39">
    <w:pPr>
      <w:tabs>
        <w:tab w:val="clear" w:pos="794"/>
        <w:tab w:val="clear" w:pos="1191"/>
        <w:tab w:val="clear" w:pos="1588"/>
        <w:tab w:val="clear" w:pos="1985"/>
        <w:tab w:val="center" w:pos="4820"/>
        <w:tab w:val="right" w:pos="9639"/>
      </w:tabs>
      <w:ind w:right="1"/>
    </w:pPr>
    <w:r w:rsidRPr="00972BCD">
      <w:rPr>
        <w:sz w:val="22"/>
        <w:szCs w:val="22"/>
      </w:rPr>
      <w:tab/>
    </w:r>
    <w:r w:rsidRPr="006D271A">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271870">
      <w:rPr>
        <w:noProof/>
        <w:sz w:val="22"/>
        <w:szCs w:val="22"/>
        <w:lang w:val="de-CH"/>
      </w:rPr>
      <w:t>10</w:t>
    </w:r>
    <w:r w:rsidRPr="00972BCD">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F5D9" w14:textId="30B1281D" w:rsidR="007A36AB" w:rsidRPr="00432C39" w:rsidRDefault="007A36AB" w:rsidP="00432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7E85E" w14:textId="77777777" w:rsidR="005B0770" w:rsidRDefault="005B0770">
      <w:r>
        <w:t>____________________</w:t>
      </w:r>
    </w:p>
  </w:footnote>
  <w:footnote w:type="continuationSeparator" w:id="0">
    <w:p w14:paraId="79E3E726" w14:textId="77777777" w:rsidR="005B0770" w:rsidRDefault="005B0770">
      <w:r>
        <w:continuationSeparator/>
      </w:r>
    </w:p>
  </w:footnote>
  <w:footnote w:id="1">
    <w:p w14:paraId="27BC32BC" w14:textId="77777777" w:rsidR="006F7F45" w:rsidRDefault="006F7F45" w:rsidP="006F7F45">
      <w:pPr>
        <w:pStyle w:val="FootnoteText"/>
        <w:rPr>
          <w:sz w:val="22"/>
          <w:szCs w:val="22"/>
        </w:rPr>
      </w:pPr>
      <w:r>
        <w:rPr>
          <w:rStyle w:val="FootnoteReference"/>
        </w:rPr>
        <w:t>1</w:t>
      </w:r>
      <w:r>
        <w:t xml:space="preserve"> </w:t>
      </w:r>
      <w:r>
        <w:tab/>
      </w:r>
      <w:r w:rsidRPr="0062681A">
        <w:rPr>
          <w:sz w:val="18"/>
          <w:szCs w:val="18"/>
        </w:rPr>
        <w:t>Africa, Americas, Arab States, Asia and the Pacific, Commonwealth of Independent States,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A9216" w14:textId="77777777" w:rsidR="007A36AB" w:rsidRDefault="007A3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77777777" w:rsidR="007A36AB" w:rsidRPr="00A525CC" w:rsidRDefault="007A36AB" w:rsidP="00194F24">
    <w:pPr>
      <w:pStyle w:val="Header"/>
      <w:jc w:val="left"/>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DE9CB" w14:textId="77777777" w:rsidR="007A36AB" w:rsidRDefault="007A3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3401"/>
    <w:multiLevelType w:val="hybridMultilevel"/>
    <w:tmpl w:val="AECC4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B5A65"/>
    <w:multiLevelType w:val="hybridMultilevel"/>
    <w:tmpl w:val="7A325E1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0A7728E3"/>
    <w:multiLevelType w:val="hybridMultilevel"/>
    <w:tmpl w:val="A4085C32"/>
    <w:lvl w:ilvl="0" w:tplc="518E18E0">
      <w:start w:val="1"/>
      <w:numFmt w:val="bullet"/>
      <w:lvlText w:val="•"/>
      <w:lvlJc w:val="left"/>
      <w:pPr>
        <w:tabs>
          <w:tab w:val="num" w:pos="720"/>
        </w:tabs>
        <w:ind w:left="720" w:hanging="360"/>
      </w:pPr>
      <w:rPr>
        <w:rFonts w:ascii="Arial" w:hAnsi="Arial" w:hint="default"/>
      </w:rPr>
    </w:lvl>
    <w:lvl w:ilvl="1" w:tplc="CDACCD60" w:tentative="1">
      <w:start w:val="1"/>
      <w:numFmt w:val="bullet"/>
      <w:lvlText w:val="•"/>
      <w:lvlJc w:val="left"/>
      <w:pPr>
        <w:tabs>
          <w:tab w:val="num" w:pos="1440"/>
        </w:tabs>
        <w:ind w:left="1440" w:hanging="360"/>
      </w:pPr>
      <w:rPr>
        <w:rFonts w:ascii="Arial" w:hAnsi="Arial" w:hint="default"/>
      </w:rPr>
    </w:lvl>
    <w:lvl w:ilvl="2" w:tplc="909E76FA" w:tentative="1">
      <w:start w:val="1"/>
      <w:numFmt w:val="bullet"/>
      <w:lvlText w:val="•"/>
      <w:lvlJc w:val="left"/>
      <w:pPr>
        <w:tabs>
          <w:tab w:val="num" w:pos="2160"/>
        </w:tabs>
        <w:ind w:left="2160" w:hanging="360"/>
      </w:pPr>
      <w:rPr>
        <w:rFonts w:ascii="Arial" w:hAnsi="Arial" w:hint="default"/>
      </w:rPr>
    </w:lvl>
    <w:lvl w:ilvl="3" w:tplc="D4A0A042" w:tentative="1">
      <w:start w:val="1"/>
      <w:numFmt w:val="bullet"/>
      <w:lvlText w:val="•"/>
      <w:lvlJc w:val="left"/>
      <w:pPr>
        <w:tabs>
          <w:tab w:val="num" w:pos="2880"/>
        </w:tabs>
        <w:ind w:left="2880" w:hanging="360"/>
      </w:pPr>
      <w:rPr>
        <w:rFonts w:ascii="Arial" w:hAnsi="Arial" w:hint="default"/>
      </w:rPr>
    </w:lvl>
    <w:lvl w:ilvl="4" w:tplc="91BEB860" w:tentative="1">
      <w:start w:val="1"/>
      <w:numFmt w:val="bullet"/>
      <w:lvlText w:val="•"/>
      <w:lvlJc w:val="left"/>
      <w:pPr>
        <w:tabs>
          <w:tab w:val="num" w:pos="3600"/>
        </w:tabs>
        <w:ind w:left="3600" w:hanging="360"/>
      </w:pPr>
      <w:rPr>
        <w:rFonts w:ascii="Arial" w:hAnsi="Arial" w:hint="default"/>
      </w:rPr>
    </w:lvl>
    <w:lvl w:ilvl="5" w:tplc="B5921C94" w:tentative="1">
      <w:start w:val="1"/>
      <w:numFmt w:val="bullet"/>
      <w:lvlText w:val="•"/>
      <w:lvlJc w:val="left"/>
      <w:pPr>
        <w:tabs>
          <w:tab w:val="num" w:pos="4320"/>
        </w:tabs>
        <w:ind w:left="4320" w:hanging="360"/>
      </w:pPr>
      <w:rPr>
        <w:rFonts w:ascii="Arial" w:hAnsi="Arial" w:hint="default"/>
      </w:rPr>
    </w:lvl>
    <w:lvl w:ilvl="6" w:tplc="A984D1AA" w:tentative="1">
      <w:start w:val="1"/>
      <w:numFmt w:val="bullet"/>
      <w:lvlText w:val="•"/>
      <w:lvlJc w:val="left"/>
      <w:pPr>
        <w:tabs>
          <w:tab w:val="num" w:pos="5040"/>
        </w:tabs>
        <w:ind w:left="5040" w:hanging="360"/>
      </w:pPr>
      <w:rPr>
        <w:rFonts w:ascii="Arial" w:hAnsi="Arial" w:hint="default"/>
      </w:rPr>
    </w:lvl>
    <w:lvl w:ilvl="7" w:tplc="E45AE5C0" w:tentative="1">
      <w:start w:val="1"/>
      <w:numFmt w:val="bullet"/>
      <w:lvlText w:val="•"/>
      <w:lvlJc w:val="left"/>
      <w:pPr>
        <w:tabs>
          <w:tab w:val="num" w:pos="5760"/>
        </w:tabs>
        <w:ind w:left="5760" w:hanging="360"/>
      </w:pPr>
      <w:rPr>
        <w:rFonts w:ascii="Arial" w:hAnsi="Arial" w:hint="default"/>
      </w:rPr>
    </w:lvl>
    <w:lvl w:ilvl="8" w:tplc="BE1E18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D16100"/>
    <w:multiLevelType w:val="hybridMultilevel"/>
    <w:tmpl w:val="014AE69A"/>
    <w:lvl w:ilvl="0" w:tplc="5AE80FD6">
      <w:start w:val="1"/>
      <w:numFmt w:val="bullet"/>
      <w:lvlText w:val="•"/>
      <w:lvlJc w:val="left"/>
      <w:pPr>
        <w:tabs>
          <w:tab w:val="num" w:pos="720"/>
        </w:tabs>
        <w:ind w:left="720" w:hanging="360"/>
      </w:pPr>
      <w:rPr>
        <w:rFonts w:ascii="Arial" w:hAnsi="Arial" w:hint="default"/>
      </w:rPr>
    </w:lvl>
    <w:lvl w:ilvl="1" w:tplc="F454DBF6" w:tentative="1">
      <w:start w:val="1"/>
      <w:numFmt w:val="bullet"/>
      <w:lvlText w:val="•"/>
      <w:lvlJc w:val="left"/>
      <w:pPr>
        <w:tabs>
          <w:tab w:val="num" w:pos="1440"/>
        </w:tabs>
        <w:ind w:left="1440" w:hanging="360"/>
      </w:pPr>
      <w:rPr>
        <w:rFonts w:ascii="Arial" w:hAnsi="Arial" w:hint="default"/>
      </w:rPr>
    </w:lvl>
    <w:lvl w:ilvl="2" w:tplc="EB4EBC44" w:tentative="1">
      <w:start w:val="1"/>
      <w:numFmt w:val="bullet"/>
      <w:lvlText w:val="•"/>
      <w:lvlJc w:val="left"/>
      <w:pPr>
        <w:tabs>
          <w:tab w:val="num" w:pos="2160"/>
        </w:tabs>
        <w:ind w:left="2160" w:hanging="360"/>
      </w:pPr>
      <w:rPr>
        <w:rFonts w:ascii="Arial" w:hAnsi="Arial" w:hint="default"/>
      </w:rPr>
    </w:lvl>
    <w:lvl w:ilvl="3" w:tplc="EB3C15B0" w:tentative="1">
      <w:start w:val="1"/>
      <w:numFmt w:val="bullet"/>
      <w:lvlText w:val="•"/>
      <w:lvlJc w:val="left"/>
      <w:pPr>
        <w:tabs>
          <w:tab w:val="num" w:pos="2880"/>
        </w:tabs>
        <w:ind w:left="2880" w:hanging="360"/>
      </w:pPr>
      <w:rPr>
        <w:rFonts w:ascii="Arial" w:hAnsi="Arial" w:hint="default"/>
      </w:rPr>
    </w:lvl>
    <w:lvl w:ilvl="4" w:tplc="881625B4" w:tentative="1">
      <w:start w:val="1"/>
      <w:numFmt w:val="bullet"/>
      <w:lvlText w:val="•"/>
      <w:lvlJc w:val="left"/>
      <w:pPr>
        <w:tabs>
          <w:tab w:val="num" w:pos="3600"/>
        </w:tabs>
        <w:ind w:left="3600" w:hanging="360"/>
      </w:pPr>
      <w:rPr>
        <w:rFonts w:ascii="Arial" w:hAnsi="Arial" w:hint="default"/>
      </w:rPr>
    </w:lvl>
    <w:lvl w:ilvl="5" w:tplc="DD966E24" w:tentative="1">
      <w:start w:val="1"/>
      <w:numFmt w:val="bullet"/>
      <w:lvlText w:val="•"/>
      <w:lvlJc w:val="left"/>
      <w:pPr>
        <w:tabs>
          <w:tab w:val="num" w:pos="4320"/>
        </w:tabs>
        <w:ind w:left="4320" w:hanging="360"/>
      </w:pPr>
      <w:rPr>
        <w:rFonts w:ascii="Arial" w:hAnsi="Arial" w:hint="default"/>
      </w:rPr>
    </w:lvl>
    <w:lvl w:ilvl="6" w:tplc="B44AEE58" w:tentative="1">
      <w:start w:val="1"/>
      <w:numFmt w:val="bullet"/>
      <w:lvlText w:val="•"/>
      <w:lvlJc w:val="left"/>
      <w:pPr>
        <w:tabs>
          <w:tab w:val="num" w:pos="5040"/>
        </w:tabs>
        <w:ind w:left="5040" w:hanging="360"/>
      </w:pPr>
      <w:rPr>
        <w:rFonts w:ascii="Arial" w:hAnsi="Arial" w:hint="default"/>
      </w:rPr>
    </w:lvl>
    <w:lvl w:ilvl="7" w:tplc="31307632" w:tentative="1">
      <w:start w:val="1"/>
      <w:numFmt w:val="bullet"/>
      <w:lvlText w:val="•"/>
      <w:lvlJc w:val="left"/>
      <w:pPr>
        <w:tabs>
          <w:tab w:val="num" w:pos="5760"/>
        </w:tabs>
        <w:ind w:left="5760" w:hanging="360"/>
      </w:pPr>
      <w:rPr>
        <w:rFonts w:ascii="Arial" w:hAnsi="Arial" w:hint="default"/>
      </w:rPr>
    </w:lvl>
    <w:lvl w:ilvl="8" w:tplc="C57225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B94DFF"/>
    <w:multiLevelType w:val="hybridMultilevel"/>
    <w:tmpl w:val="EF227624"/>
    <w:lvl w:ilvl="0" w:tplc="D8AA70E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1E78CF"/>
    <w:multiLevelType w:val="hybridMultilevel"/>
    <w:tmpl w:val="C436D2BC"/>
    <w:lvl w:ilvl="0" w:tplc="F92C94BC">
      <w:start w:val="1"/>
      <w:numFmt w:val="lowerLetter"/>
      <w:lvlText w:val="%1)"/>
      <w:lvlJc w:val="left"/>
      <w:pPr>
        <w:tabs>
          <w:tab w:val="num" w:pos="720"/>
        </w:tabs>
        <w:ind w:left="720" w:hanging="360"/>
      </w:pPr>
    </w:lvl>
    <w:lvl w:ilvl="1" w:tplc="63649210" w:tentative="1">
      <w:start w:val="1"/>
      <w:numFmt w:val="lowerLetter"/>
      <w:lvlText w:val="%2)"/>
      <w:lvlJc w:val="left"/>
      <w:pPr>
        <w:tabs>
          <w:tab w:val="num" w:pos="1440"/>
        </w:tabs>
        <w:ind w:left="1440" w:hanging="360"/>
      </w:pPr>
    </w:lvl>
    <w:lvl w:ilvl="2" w:tplc="125CB32E" w:tentative="1">
      <w:start w:val="1"/>
      <w:numFmt w:val="lowerLetter"/>
      <w:lvlText w:val="%3)"/>
      <w:lvlJc w:val="left"/>
      <w:pPr>
        <w:tabs>
          <w:tab w:val="num" w:pos="2160"/>
        </w:tabs>
        <w:ind w:left="2160" w:hanging="360"/>
      </w:pPr>
    </w:lvl>
    <w:lvl w:ilvl="3" w:tplc="65B069DC" w:tentative="1">
      <w:start w:val="1"/>
      <w:numFmt w:val="lowerLetter"/>
      <w:lvlText w:val="%4)"/>
      <w:lvlJc w:val="left"/>
      <w:pPr>
        <w:tabs>
          <w:tab w:val="num" w:pos="2880"/>
        </w:tabs>
        <w:ind w:left="2880" w:hanging="360"/>
      </w:pPr>
    </w:lvl>
    <w:lvl w:ilvl="4" w:tplc="96B2D054" w:tentative="1">
      <w:start w:val="1"/>
      <w:numFmt w:val="lowerLetter"/>
      <w:lvlText w:val="%5)"/>
      <w:lvlJc w:val="left"/>
      <w:pPr>
        <w:tabs>
          <w:tab w:val="num" w:pos="3600"/>
        </w:tabs>
        <w:ind w:left="3600" w:hanging="360"/>
      </w:pPr>
    </w:lvl>
    <w:lvl w:ilvl="5" w:tplc="E54C26C6" w:tentative="1">
      <w:start w:val="1"/>
      <w:numFmt w:val="lowerLetter"/>
      <w:lvlText w:val="%6)"/>
      <w:lvlJc w:val="left"/>
      <w:pPr>
        <w:tabs>
          <w:tab w:val="num" w:pos="4320"/>
        </w:tabs>
        <w:ind w:left="4320" w:hanging="360"/>
      </w:pPr>
    </w:lvl>
    <w:lvl w:ilvl="6" w:tplc="C37E6F20" w:tentative="1">
      <w:start w:val="1"/>
      <w:numFmt w:val="lowerLetter"/>
      <w:lvlText w:val="%7)"/>
      <w:lvlJc w:val="left"/>
      <w:pPr>
        <w:tabs>
          <w:tab w:val="num" w:pos="5040"/>
        </w:tabs>
        <w:ind w:left="5040" w:hanging="360"/>
      </w:pPr>
    </w:lvl>
    <w:lvl w:ilvl="7" w:tplc="900E0F82" w:tentative="1">
      <w:start w:val="1"/>
      <w:numFmt w:val="lowerLetter"/>
      <w:lvlText w:val="%8)"/>
      <w:lvlJc w:val="left"/>
      <w:pPr>
        <w:tabs>
          <w:tab w:val="num" w:pos="5760"/>
        </w:tabs>
        <w:ind w:left="5760" w:hanging="360"/>
      </w:pPr>
    </w:lvl>
    <w:lvl w:ilvl="8" w:tplc="2E20E844" w:tentative="1">
      <w:start w:val="1"/>
      <w:numFmt w:val="lowerLetter"/>
      <w:lvlText w:val="%9)"/>
      <w:lvlJc w:val="left"/>
      <w:pPr>
        <w:tabs>
          <w:tab w:val="num" w:pos="6480"/>
        </w:tabs>
        <w:ind w:left="6480" w:hanging="360"/>
      </w:pPr>
    </w:lvl>
  </w:abstractNum>
  <w:abstractNum w:abstractNumId="6" w15:restartNumberingAfterBreak="0">
    <w:nsid w:val="21ED33B1"/>
    <w:multiLevelType w:val="hybridMultilevel"/>
    <w:tmpl w:val="38625272"/>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248E03D4"/>
    <w:multiLevelType w:val="hybridMultilevel"/>
    <w:tmpl w:val="F5568E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251F5F50"/>
    <w:multiLevelType w:val="hybridMultilevel"/>
    <w:tmpl w:val="71427108"/>
    <w:lvl w:ilvl="0" w:tplc="FFFFFFFF">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26680FF3"/>
    <w:multiLevelType w:val="hybridMultilevel"/>
    <w:tmpl w:val="1940267C"/>
    <w:lvl w:ilvl="0" w:tplc="E0C0E988">
      <w:start w:val="1"/>
      <w:numFmt w:val="bullet"/>
      <w:lvlText w:val=""/>
      <w:lvlJc w:val="left"/>
      <w:pPr>
        <w:ind w:left="720" w:hanging="360"/>
      </w:pPr>
      <w:rPr>
        <w:rFonts w:ascii="Symbol" w:hAnsi="Symbol" w:hint="default"/>
      </w:rPr>
    </w:lvl>
    <w:lvl w:ilvl="1" w:tplc="B3B0EA4A">
      <w:start w:val="1"/>
      <w:numFmt w:val="bullet"/>
      <w:lvlText w:val="o"/>
      <w:lvlJc w:val="left"/>
      <w:pPr>
        <w:ind w:left="1440" w:hanging="360"/>
      </w:pPr>
      <w:rPr>
        <w:rFonts w:ascii="Courier New" w:hAnsi="Courier New" w:hint="default"/>
      </w:rPr>
    </w:lvl>
    <w:lvl w:ilvl="2" w:tplc="B3FECFB4">
      <w:start w:val="1"/>
      <w:numFmt w:val="bullet"/>
      <w:lvlText w:val=""/>
      <w:lvlJc w:val="left"/>
      <w:pPr>
        <w:ind w:left="2160" w:hanging="360"/>
      </w:pPr>
      <w:rPr>
        <w:rFonts w:ascii="Wingdings" w:hAnsi="Wingdings" w:hint="default"/>
      </w:rPr>
    </w:lvl>
    <w:lvl w:ilvl="3" w:tplc="A88A5E04">
      <w:start w:val="1"/>
      <w:numFmt w:val="bullet"/>
      <w:lvlText w:val=""/>
      <w:lvlJc w:val="left"/>
      <w:pPr>
        <w:ind w:left="2880" w:hanging="360"/>
      </w:pPr>
      <w:rPr>
        <w:rFonts w:ascii="Symbol" w:hAnsi="Symbol" w:hint="default"/>
      </w:rPr>
    </w:lvl>
    <w:lvl w:ilvl="4" w:tplc="3AECEB60">
      <w:start w:val="1"/>
      <w:numFmt w:val="bullet"/>
      <w:lvlText w:val="o"/>
      <w:lvlJc w:val="left"/>
      <w:pPr>
        <w:ind w:left="3600" w:hanging="360"/>
      </w:pPr>
      <w:rPr>
        <w:rFonts w:ascii="Courier New" w:hAnsi="Courier New" w:hint="default"/>
      </w:rPr>
    </w:lvl>
    <w:lvl w:ilvl="5" w:tplc="82E8A006">
      <w:start w:val="1"/>
      <w:numFmt w:val="bullet"/>
      <w:lvlText w:val=""/>
      <w:lvlJc w:val="left"/>
      <w:pPr>
        <w:ind w:left="4320" w:hanging="360"/>
      </w:pPr>
      <w:rPr>
        <w:rFonts w:ascii="Wingdings" w:hAnsi="Wingdings" w:hint="default"/>
      </w:rPr>
    </w:lvl>
    <w:lvl w:ilvl="6" w:tplc="AAEC97D8">
      <w:start w:val="1"/>
      <w:numFmt w:val="bullet"/>
      <w:lvlText w:val=""/>
      <w:lvlJc w:val="left"/>
      <w:pPr>
        <w:ind w:left="5040" w:hanging="360"/>
      </w:pPr>
      <w:rPr>
        <w:rFonts w:ascii="Symbol" w:hAnsi="Symbol" w:hint="default"/>
      </w:rPr>
    </w:lvl>
    <w:lvl w:ilvl="7" w:tplc="A5D4226C">
      <w:start w:val="1"/>
      <w:numFmt w:val="bullet"/>
      <w:lvlText w:val="o"/>
      <w:lvlJc w:val="left"/>
      <w:pPr>
        <w:ind w:left="5760" w:hanging="360"/>
      </w:pPr>
      <w:rPr>
        <w:rFonts w:ascii="Courier New" w:hAnsi="Courier New" w:hint="default"/>
      </w:rPr>
    </w:lvl>
    <w:lvl w:ilvl="8" w:tplc="D0E2E376">
      <w:start w:val="1"/>
      <w:numFmt w:val="bullet"/>
      <w:lvlText w:val=""/>
      <w:lvlJc w:val="left"/>
      <w:pPr>
        <w:ind w:left="6480" w:hanging="360"/>
      </w:pPr>
      <w:rPr>
        <w:rFonts w:ascii="Wingdings" w:hAnsi="Wingdings" w:hint="default"/>
      </w:rPr>
    </w:lvl>
  </w:abstractNum>
  <w:abstractNum w:abstractNumId="10" w15:restartNumberingAfterBreak="0">
    <w:nsid w:val="323554B9"/>
    <w:multiLevelType w:val="hybridMultilevel"/>
    <w:tmpl w:val="0188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2695C"/>
    <w:multiLevelType w:val="multilevel"/>
    <w:tmpl w:val="6AB294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5DD11AB"/>
    <w:multiLevelType w:val="hybridMultilevel"/>
    <w:tmpl w:val="254AEA9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6731CDC"/>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4" w15:restartNumberingAfterBreak="0">
    <w:nsid w:val="3A645878"/>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5" w15:restartNumberingAfterBreak="0">
    <w:nsid w:val="3AB863BE"/>
    <w:multiLevelType w:val="hybridMultilevel"/>
    <w:tmpl w:val="6C56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D273B"/>
    <w:multiLevelType w:val="hybridMultilevel"/>
    <w:tmpl w:val="8362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04F6F"/>
    <w:multiLevelType w:val="hybridMultilevel"/>
    <w:tmpl w:val="762265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30D7A17"/>
    <w:multiLevelType w:val="hybridMultilevel"/>
    <w:tmpl w:val="0916F218"/>
    <w:lvl w:ilvl="0" w:tplc="04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4E70B65"/>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5DD7FAD"/>
    <w:multiLevelType w:val="hybridMultilevel"/>
    <w:tmpl w:val="CC987DD4"/>
    <w:lvl w:ilvl="0" w:tplc="0B16947C">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0254B"/>
    <w:multiLevelType w:val="hybridMultilevel"/>
    <w:tmpl w:val="00E4896A"/>
    <w:lvl w:ilvl="0" w:tplc="658C3EA0">
      <w:numFmt w:val="bullet"/>
      <w:lvlText w:val="•"/>
      <w:lvlJc w:val="left"/>
      <w:pPr>
        <w:ind w:left="1155" w:hanging="795"/>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4C9409F4"/>
    <w:multiLevelType w:val="hybridMultilevel"/>
    <w:tmpl w:val="2D5A4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4" w15:restartNumberingAfterBreak="0">
    <w:nsid w:val="6CC62A08"/>
    <w:multiLevelType w:val="hybridMultilevel"/>
    <w:tmpl w:val="7B7828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7B0071E1"/>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23"/>
  </w:num>
  <w:num w:numId="3">
    <w:abstractNumId w:val="11"/>
  </w:num>
  <w:num w:numId="4">
    <w:abstractNumId w:val="17"/>
  </w:num>
  <w:num w:numId="5">
    <w:abstractNumId w:val="6"/>
  </w:num>
  <w:num w:numId="6">
    <w:abstractNumId w:val="8"/>
  </w:num>
  <w:num w:numId="7">
    <w:abstractNumId w:val="1"/>
  </w:num>
  <w:num w:numId="8">
    <w:abstractNumId w:val="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5"/>
  </w:num>
  <w:num w:numId="12">
    <w:abstractNumId w:val="19"/>
  </w:num>
  <w:num w:numId="13">
    <w:abstractNumId w:val="24"/>
  </w:num>
  <w:num w:numId="14">
    <w:abstractNumId w:val="10"/>
  </w:num>
  <w:num w:numId="15">
    <w:abstractNumId w:val="13"/>
  </w:num>
  <w:num w:numId="16">
    <w:abstractNumId w:val="14"/>
  </w:num>
  <w:num w:numId="17">
    <w:abstractNumId w:val="4"/>
  </w:num>
  <w:num w:numId="18">
    <w:abstractNumId w:val="22"/>
  </w:num>
  <w:num w:numId="19">
    <w:abstractNumId w:val="15"/>
  </w:num>
  <w:num w:numId="20">
    <w:abstractNumId w:val="16"/>
  </w:num>
  <w:num w:numId="21">
    <w:abstractNumId w:val="18"/>
  </w:num>
  <w:num w:numId="22">
    <w:abstractNumId w:val="21"/>
  </w:num>
  <w:num w:numId="23">
    <w:abstractNumId w:val="12"/>
  </w:num>
  <w:num w:numId="24">
    <w:abstractNumId w:val="3"/>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CE"/>
    <w:rsid w:val="00002716"/>
    <w:rsid w:val="00005791"/>
    <w:rsid w:val="00010827"/>
    <w:rsid w:val="00015089"/>
    <w:rsid w:val="00016034"/>
    <w:rsid w:val="0002520B"/>
    <w:rsid w:val="00037A9E"/>
    <w:rsid w:val="00037F91"/>
    <w:rsid w:val="000456AF"/>
    <w:rsid w:val="00050B2F"/>
    <w:rsid w:val="00052BD2"/>
    <w:rsid w:val="000539F1"/>
    <w:rsid w:val="00054747"/>
    <w:rsid w:val="00055A2A"/>
    <w:rsid w:val="000615C1"/>
    <w:rsid w:val="00061675"/>
    <w:rsid w:val="00062DFE"/>
    <w:rsid w:val="00066E00"/>
    <w:rsid w:val="000715A7"/>
    <w:rsid w:val="000743AA"/>
    <w:rsid w:val="00087412"/>
    <w:rsid w:val="0009225C"/>
    <w:rsid w:val="00096996"/>
    <w:rsid w:val="000A0940"/>
    <w:rsid w:val="000A17C4"/>
    <w:rsid w:val="000A1B77"/>
    <w:rsid w:val="000A36A4"/>
    <w:rsid w:val="000A3A00"/>
    <w:rsid w:val="000A754A"/>
    <w:rsid w:val="000B2352"/>
    <w:rsid w:val="000B2750"/>
    <w:rsid w:val="000C7B84"/>
    <w:rsid w:val="000D07E0"/>
    <w:rsid w:val="000D261B"/>
    <w:rsid w:val="000D560E"/>
    <w:rsid w:val="000D58A3"/>
    <w:rsid w:val="000E304E"/>
    <w:rsid w:val="000E3CF6"/>
    <w:rsid w:val="000E3ED4"/>
    <w:rsid w:val="000E3F9C"/>
    <w:rsid w:val="000E400E"/>
    <w:rsid w:val="000E68DE"/>
    <w:rsid w:val="000F1550"/>
    <w:rsid w:val="000F251B"/>
    <w:rsid w:val="000F2DB5"/>
    <w:rsid w:val="000F5FE8"/>
    <w:rsid w:val="000F6644"/>
    <w:rsid w:val="000F74F6"/>
    <w:rsid w:val="00100833"/>
    <w:rsid w:val="00102F72"/>
    <w:rsid w:val="00103497"/>
    <w:rsid w:val="00104739"/>
    <w:rsid w:val="00107E85"/>
    <w:rsid w:val="00113EE8"/>
    <w:rsid w:val="0011455A"/>
    <w:rsid w:val="00114A65"/>
    <w:rsid w:val="00120F71"/>
    <w:rsid w:val="00125989"/>
    <w:rsid w:val="00130874"/>
    <w:rsid w:val="00131BED"/>
    <w:rsid w:val="00131C41"/>
    <w:rsid w:val="00133061"/>
    <w:rsid w:val="00141699"/>
    <w:rsid w:val="001469B3"/>
    <w:rsid w:val="00147000"/>
    <w:rsid w:val="00156805"/>
    <w:rsid w:val="00163091"/>
    <w:rsid w:val="001645CB"/>
    <w:rsid w:val="00166305"/>
    <w:rsid w:val="00167545"/>
    <w:rsid w:val="001703C6"/>
    <w:rsid w:val="00172CE4"/>
    <w:rsid w:val="00173781"/>
    <w:rsid w:val="00175ADF"/>
    <w:rsid w:val="00175CAE"/>
    <w:rsid w:val="001828DB"/>
    <w:rsid w:val="00182DDB"/>
    <w:rsid w:val="001850FE"/>
    <w:rsid w:val="00185135"/>
    <w:rsid w:val="00185416"/>
    <w:rsid w:val="00187DFF"/>
    <w:rsid w:val="0019037C"/>
    <w:rsid w:val="001905A9"/>
    <w:rsid w:val="00191273"/>
    <w:rsid w:val="001942A7"/>
    <w:rsid w:val="00194F24"/>
    <w:rsid w:val="0019587B"/>
    <w:rsid w:val="001A0E05"/>
    <w:rsid w:val="001A163D"/>
    <w:rsid w:val="001A38D0"/>
    <w:rsid w:val="001A441E"/>
    <w:rsid w:val="001A604A"/>
    <w:rsid w:val="001A6733"/>
    <w:rsid w:val="001A71B8"/>
    <w:rsid w:val="001B357F"/>
    <w:rsid w:val="001B3759"/>
    <w:rsid w:val="001B3DFC"/>
    <w:rsid w:val="001B7080"/>
    <w:rsid w:val="001C3444"/>
    <w:rsid w:val="001C3702"/>
    <w:rsid w:val="001C4656"/>
    <w:rsid w:val="001C46BC"/>
    <w:rsid w:val="001D0F49"/>
    <w:rsid w:val="001D3191"/>
    <w:rsid w:val="001F23E6"/>
    <w:rsid w:val="001F4238"/>
    <w:rsid w:val="001F47EC"/>
    <w:rsid w:val="001F7A1D"/>
    <w:rsid w:val="00200A38"/>
    <w:rsid w:val="00200A46"/>
    <w:rsid w:val="00200E89"/>
    <w:rsid w:val="002020DF"/>
    <w:rsid w:val="00207740"/>
    <w:rsid w:val="00211B6F"/>
    <w:rsid w:val="00212541"/>
    <w:rsid w:val="00217CC3"/>
    <w:rsid w:val="00220AB6"/>
    <w:rsid w:val="0022120F"/>
    <w:rsid w:val="00225AEB"/>
    <w:rsid w:val="0022711D"/>
    <w:rsid w:val="0022754A"/>
    <w:rsid w:val="00230E2F"/>
    <w:rsid w:val="00236560"/>
    <w:rsid w:val="0023662E"/>
    <w:rsid w:val="00241A29"/>
    <w:rsid w:val="00244D61"/>
    <w:rsid w:val="00245D0F"/>
    <w:rsid w:val="002460BD"/>
    <w:rsid w:val="002501FB"/>
    <w:rsid w:val="002502E3"/>
    <w:rsid w:val="002548C3"/>
    <w:rsid w:val="00257ACD"/>
    <w:rsid w:val="00260979"/>
    <w:rsid w:val="00262908"/>
    <w:rsid w:val="002640B0"/>
    <w:rsid w:val="002650F4"/>
    <w:rsid w:val="00270F1E"/>
    <w:rsid w:val="002715FD"/>
    <w:rsid w:val="00271870"/>
    <w:rsid w:val="00272D69"/>
    <w:rsid w:val="002753DC"/>
    <w:rsid w:val="002770B1"/>
    <w:rsid w:val="00282161"/>
    <w:rsid w:val="00285B33"/>
    <w:rsid w:val="00287A3C"/>
    <w:rsid w:val="0029395C"/>
    <w:rsid w:val="002A06ED"/>
    <w:rsid w:val="002A0ECF"/>
    <w:rsid w:val="002A2FC6"/>
    <w:rsid w:val="002A5429"/>
    <w:rsid w:val="002B74A5"/>
    <w:rsid w:val="002C03DC"/>
    <w:rsid w:val="002C1BB4"/>
    <w:rsid w:val="002C1EC7"/>
    <w:rsid w:val="002C3015"/>
    <w:rsid w:val="002C4342"/>
    <w:rsid w:val="002C7EA3"/>
    <w:rsid w:val="002D204D"/>
    <w:rsid w:val="002D20AE"/>
    <w:rsid w:val="002D46CA"/>
    <w:rsid w:val="002D561A"/>
    <w:rsid w:val="002D5742"/>
    <w:rsid w:val="002D6C61"/>
    <w:rsid w:val="002D7D33"/>
    <w:rsid w:val="002E0D75"/>
    <w:rsid w:val="002E0FD5"/>
    <w:rsid w:val="002E2104"/>
    <w:rsid w:val="002E2DAC"/>
    <w:rsid w:val="002E6963"/>
    <w:rsid w:val="002E6F8F"/>
    <w:rsid w:val="002F05D8"/>
    <w:rsid w:val="002F2DE0"/>
    <w:rsid w:val="002F2F59"/>
    <w:rsid w:val="002F5E25"/>
    <w:rsid w:val="002F64B6"/>
    <w:rsid w:val="00301016"/>
    <w:rsid w:val="0030353C"/>
    <w:rsid w:val="0030699B"/>
    <w:rsid w:val="003101BE"/>
    <w:rsid w:val="003125C3"/>
    <w:rsid w:val="00312AE6"/>
    <w:rsid w:val="003143AB"/>
    <w:rsid w:val="00317D1A"/>
    <w:rsid w:val="003211FF"/>
    <w:rsid w:val="00323B1B"/>
    <w:rsid w:val="003242AB"/>
    <w:rsid w:val="00327247"/>
    <w:rsid w:val="003278DD"/>
    <w:rsid w:val="00327A9D"/>
    <w:rsid w:val="0033130E"/>
    <w:rsid w:val="0033269C"/>
    <w:rsid w:val="00346445"/>
    <w:rsid w:val="00351C79"/>
    <w:rsid w:val="0035516C"/>
    <w:rsid w:val="00355A4C"/>
    <w:rsid w:val="00357E0C"/>
    <w:rsid w:val="003604FB"/>
    <w:rsid w:val="00360B73"/>
    <w:rsid w:val="00376FCF"/>
    <w:rsid w:val="00380B71"/>
    <w:rsid w:val="00382A0C"/>
    <w:rsid w:val="0038365A"/>
    <w:rsid w:val="00386A89"/>
    <w:rsid w:val="0039648E"/>
    <w:rsid w:val="00397CA4"/>
    <w:rsid w:val="003A26F6"/>
    <w:rsid w:val="003A3A30"/>
    <w:rsid w:val="003A4AE4"/>
    <w:rsid w:val="003A5AFE"/>
    <w:rsid w:val="003A5D5F"/>
    <w:rsid w:val="003A7FFE"/>
    <w:rsid w:val="003B0A63"/>
    <w:rsid w:val="003B50E1"/>
    <w:rsid w:val="003C1746"/>
    <w:rsid w:val="003C2AA9"/>
    <w:rsid w:val="003C52C7"/>
    <w:rsid w:val="003C58BF"/>
    <w:rsid w:val="003D0E74"/>
    <w:rsid w:val="003D30E5"/>
    <w:rsid w:val="003D451D"/>
    <w:rsid w:val="003F2DD8"/>
    <w:rsid w:val="003F3F2D"/>
    <w:rsid w:val="003F50B2"/>
    <w:rsid w:val="00400CCF"/>
    <w:rsid w:val="00400DE4"/>
    <w:rsid w:val="00401BFF"/>
    <w:rsid w:val="0040216D"/>
    <w:rsid w:val="00404424"/>
    <w:rsid w:val="0041156B"/>
    <w:rsid w:val="004122C5"/>
    <w:rsid w:val="00413B78"/>
    <w:rsid w:val="004140F5"/>
    <w:rsid w:val="00416DDE"/>
    <w:rsid w:val="00431733"/>
    <w:rsid w:val="00432C39"/>
    <w:rsid w:val="00437FA4"/>
    <w:rsid w:val="004426E4"/>
    <w:rsid w:val="0044411E"/>
    <w:rsid w:val="00452003"/>
    <w:rsid w:val="00453435"/>
    <w:rsid w:val="00460089"/>
    <w:rsid w:val="00460A3F"/>
    <w:rsid w:val="00462ED4"/>
    <w:rsid w:val="00466398"/>
    <w:rsid w:val="004669BA"/>
    <w:rsid w:val="00470067"/>
    <w:rsid w:val="0047098C"/>
    <w:rsid w:val="00470C66"/>
    <w:rsid w:val="0047306D"/>
    <w:rsid w:val="00473791"/>
    <w:rsid w:val="00476E48"/>
    <w:rsid w:val="00481DE9"/>
    <w:rsid w:val="00482A5F"/>
    <w:rsid w:val="0049128B"/>
    <w:rsid w:val="00493B49"/>
    <w:rsid w:val="00495501"/>
    <w:rsid w:val="00497AE7"/>
    <w:rsid w:val="004A0545"/>
    <w:rsid w:val="004A070A"/>
    <w:rsid w:val="004A320E"/>
    <w:rsid w:val="004A44B2"/>
    <w:rsid w:val="004A4E9C"/>
    <w:rsid w:val="004A7237"/>
    <w:rsid w:val="004B1A3C"/>
    <w:rsid w:val="004C0D61"/>
    <w:rsid w:val="004C283F"/>
    <w:rsid w:val="004D1A0E"/>
    <w:rsid w:val="004D2CC3"/>
    <w:rsid w:val="004D2F0B"/>
    <w:rsid w:val="004D35CB"/>
    <w:rsid w:val="004D7066"/>
    <w:rsid w:val="004D7DAB"/>
    <w:rsid w:val="004E20E5"/>
    <w:rsid w:val="004E64EA"/>
    <w:rsid w:val="004E7828"/>
    <w:rsid w:val="004F46AA"/>
    <w:rsid w:val="004F4CFD"/>
    <w:rsid w:val="004F6A70"/>
    <w:rsid w:val="00500587"/>
    <w:rsid w:val="00500AD7"/>
    <w:rsid w:val="005013A7"/>
    <w:rsid w:val="00502ABF"/>
    <w:rsid w:val="0050325B"/>
    <w:rsid w:val="00503A56"/>
    <w:rsid w:val="00504DB0"/>
    <w:rsid w:val="00507C35"/>
    <w:rsid w:val="00510735"/>
    <w:rsid w:val="00512F77"/>
    <w:rsid w:val="00514D2F"/>
    <w:rsid w:val="00536F33"/>
    <w:rsid w:val="005419CE"/>
    <w:rsid w:val="0054420E"/>
    <w:rsid w:val="00544D1B"/>
    <w:rsid w:val="005456B9"/>
    <w:rsid w:val="00545DC0"/>
    <w:rsid w:val="00545F6C"/>
    <w:rsid w:val="005477D9"/>
    <w:rsid w:val="00547E9A"/>
    <w:rsid w:val="00550DB7"/>
    <w:rsid w:val="0055720C"/>
    <w:rsid w:val="00561796"/>
    <w:rsid w:val="005632DD"/>
    <w:rsid w:val="005633B3"/>
    <w:rsid w:val="0056423B"/>
    <w:rsid w:val="00567576"/>
    <w:rsid w:val="00573424"/>
    <w:rsid w:val="0057402F"/>
    <w:rsid w:val="00581653"/>
    <w:rsid w:val="005849D6"/>
    <w:rsid w:val="00585367"/>
    <w:rsid w:val="005871A1"/>
    <w:rsid w:val="0058737E"/>
    <w:rsid w:val="005875AA"/>
    <w:rsid w:val="00590FB2"/>
    <w:rsid w:val="00592518"/>
    <w:rsid w:val="00592E3E"/>
    <w:rsid w:val="00592E87"/>
    <w:rsid w:val="0059420B"/>
    <w:rsid w:val="00594C4D"/>
    <w:rsid w:val="00595331"/>
    <w:rsid w:val="005959F7"/>
    <w:rsid w:val="0059775D"/>
    <w:rsid w:val="005A33B0"/>
    <w:rsid w:val="005A43D0"/>
    <w:rsid w:val="005B0770"/>
    <w:rsid w:val="005C2DC2"/>
    <w:rsid w:val="005C304A"/>
    <w:rsid w:val="005C3D69"/>
    <w:rsid w:val="005C52B8"/>
    <w:rsid w:val="005C5459"/>
    <w:rsid w:val="005C7C98"/>
    <w:rsid w:val="005D1315"/>
    <w:rsid w:val="005D2C3A"/>
    <w:rsid w:val="005D402A"/>
    <w:rsid w:val="005D55A4"/>
    <w:rsid w:val="005D57C8"/>
    <w:rsid w:val="005D61B4"/>
    <w:rsid w:val="005D672A"/>
    <w:rsid w:val="005D6EE7"/>
    <w:rsid w:val="005D7761"/>
    <w:rsid w:val="005E0278"/>
    <w:rsid w:val="005E056F"/>
    <w:rsid w:val="005E090D"/>
    <w:rsid w:val="005E106B"/>
    <w:rsid w:val="005E3A8B"/>
    <w:rsid w:val="005E3CA0"/>
    <w:rsid w:val="005E44B1"/>
    <w:rsid w:val="005E582A"/>
    <w:rsid w:val="005E67B0"/>
    <w:rsid w:val="005E7047"/>
    <w:rsid w:val="005E777F"/>
    <w:rsid w:val="005F1CA7"/>
    <w:rsid w:val="005F43DD"/>
    <w:rsid w:val="005F51A9"/>
    <w:rsid w:val="005F6655"/>
    <w:rsid w:val="005F6BE1"/>
    <w:rsid w:val="005F7416"/>
    <w:rsid w:val="00600C11"/>
    <w:rsid w:val="00605A90"/>
    <w:rsid w:val="00606B89"/>
    <w:rsid w:val="00611EAF"/>
    <w:rsid w:val="00612100"/>
    <w:rsid w:val="0061463F"/>
    <w:rsid w:val="0061650B"/>
    <w:rsid w:val="006176EE"/>
    <w:rsid w:val="00620EEC"/>
    <w:rsid w:val="00623F30"/>
    <w:rsid w:val="00625FB8"/>
    <w:rsid w:val="006261BD"/>
    <w:rsid w:val="006262C0"/>
    <w:rsid w:val="0062681A"/>
    <w:rsid w:val="0063189D"/>
    <w:rsid w:val="00631D82"/>
    <w:rsid w:val="006354A1"/>
    <w:rsid w:val="00635EDB"/>
    <w:rsid w:val="00637472"/>
    <w:rsid w:val="0064734E"/>
    <w:rsid w:val="00650137"/>
    <w:rsid w:val="00650386"/>
    <w:rsid w:val="006509D7"/>
    <w:rsid w:val="00651CE8"/>
    <w:rsid w:val="0065521B"/>
    <w:rsid w:val="00664B17"/>
    <w:rsid w:val="00671EF6"/>
    <w:rsid w:val="0067205B"/>
    <w:rsid w:val="006748F8"/>
    <w:rsid w:val="00680489"/>
    <w:rsid w:val="00683C32"/>
    <w:rsid w:val="00684A64"/>
    <w:rsid w:val="00685CAF"/>
    <w:rsid w:val="00690BB2"/>
    <w:rsid w:val="0069265C"/>
    <w:rsid w:val="00693D09"/>
    <w:rsid w:val="006A5E03"/>
    <w:rsid w:val="006A6549"/>
    <w:rsid w:val="006A7710"/>
    <w:rsid w:val="006A7A61"/>
    <w:rsid w:val="006B1E59"/>
    <w:rsid w:val="006B2FFB"/>
    <w:rsid w:val="006B4E8D"/>
    <w:rsid w:val="006C10A2"/>
    <w:rsid w:val="006C1538"/>
    <w:rsid w:val="006C1F18"/>
    <w:rsid w:val="006C3562"/>
    <w:rsid w:val="006D40D5"/>
    <w:rsid w:val="006E1E84"/>
    <w:rsid w:val="006E6F73"/>
    <w:rsid w:val="006E7A29"/>
    <w:rsid w:val="006F009A"/>
    <w:rsid w:val="006F3D93"/>
    <w:rsid w:val="006F7F45"/>
    <w:rsid w:val="007019B1"/>
    <w:rsid w:val="007033C5"/>
    <w:rsid w:val="0070787F"/>
    <w:rsid w:val="00711D17"/>
    <w:rsid w:val="00715CCF"/>
    <w:rsid w:val="00720A88"/>
    <w:rsid w:val="00721657"/>
    <w:rsid w:val="0072754D"/>
    <w:rsid w:val="007279A8"/>
    <w:rsid w:val="00727B1A"/>
    <w:rsid w:val="00731232"/>
    <w:rsid w:val="00741337"/>
    <w:rsid w:val="00752258"/>
    <w:rsid w:val="007529E1"/>
    <w:rsid w:val="00753CDE"/>
    <w:rsid w:val="00755F48"/>
    <w:rsid w:val="00762880"/>
    <w:rsid w:val="00762AD6"/>
    <w:rsid w:val="00762E02"/>
    <w:rsid w:val="0076415C"/>
    <w:rsid w:val="00770B69"/>
    <w:rsid w:val="00772290"/>
    <w:rsid w:val="00773010"/>
    <w:rsid w:val="00777265"/>
    <w:rsid w:val="00777851"/>
    <w:rsid w:val="007805E7"/>
    <w:rsid w:val="0078222A"/>
    <w:rsid w:val="00787D48"/>
    <w:rsid w:val="00792CB4"/>
    <w:rsid w:val="00795294"/>
    <w:rsid w:val="00797BF2"/>
    <w:rsid w:val="007A36AB"/>
    <w:rsid w:val="007A4E50"/>
    <w:rsid w:val="007A525C"/>
    <w:rsid w:val="007A684A"/>
    <w:rsid w:val="007B18A7"/>
    <w:rsid w:val="007B250E"/>
    <w:rsid w:val="007C27FC"/>
    <w:rsid w:val="007C32D0"/>
    <w:rsid w:val="007C51FF"/>
    <w:rsid w:val="007D4CA1"/>
    <w:rsid w:val="007D50E4"/>
    <w:rsid w:val="007E00EF"/>
    <w:rsid w:val="007E1AF9"/>
    <w:rsid w:val="007E2DC5"/>
    <w:rsid w:val="007F1CC7"/>
    <w:rsid w:val="007F2125"/>
    <w:rsid w:val="007F35D0"/>
    <w:rsid w:val="007F41CA"/>
    <w:rsid w:val="007F6C3D"/>
    <w:rsid w:val="007F76F7"/>
    <w:rsid w:val="0080041D"/>
    <w:rsid w:val="00800CB8"/>
    <w:rsid w:val="00801D9C"/>
    <w:rsid w:val="008027AC"/>
    <w:rsid w:val="008028CE"/>
    <w:rsid w:val="0080332E"/>
    <w:rsid w:val="00807021"/>
    <w:rsid w:val="008073EA"/>
    <w:rsid w:val="008141E0"/>
    <w:rsid w:val="00816EE1"/>
    <w:rsid w:val="00816F88"/>
    <w:rsid w:val="00821996"/>
    <w:rsid w:val="00822323"/>
    <w:rsid w:val="00827077"/>
    <w:rsid w:val="00827722"/>
    <w:rsid w:val="00827BC6"/>
    <w:rsid w:val="008300AD"/>
    <w:rsid w:val="00833024"/>
    <w:rsid w:val="008419B1"/>
    <w:rsid w:val="00844A56"/>
    <w:rsid w:val="00845B11"/>
    <w:rsid w:val="00845CA2"/>
    <w:rsid w:val="00852081"/>
    <w:rsid w:val="008520C7"/>
    <w:rsid w:val="00864D82"/>
    <w:rsid w:val="00872B6E"/>
    <w:rsid w:val="00874DFD"/>
    <w:rsid w:val="00876F54"/>
    <w:rsid w:val="00877124"/>
    <w:rsid w:val="008802F9"/>
    <w:rsid w:val="0088297D"/>
    <w:rsid w:val="00883086"/>
    <w:rsid w:val="0088718D"/>
    <w:rsid w:val="008879FD"/>
    <w:rsid w:val="00894C37"/>
    <w:rsid w:val="008A00EA"/>
    <w:rsid w:val="008A068B"/>
    <w:rsid w:val="008A3F93"/>
    <w:rsid w:val="008A41D7"/>
    <w:rsid w:val="008A592C"/>
    <w:rsid w:val="008A6236"/>
    <w:rsid w:val="008A6E1C"/>
    <w:rsid w:val="008A72FD"/>
    <w:rsid w:val="008B1B4D"/>
    <w:rsid w:val="008B2E0B"/>
    <w:rsid w:val="008B2EDF"/>
    <w:rsid w:val="008B4236"/>
    <w:rsid w:val="008B47C7"/>
    <w:rsid w:val="008B54CB"/>
    <w:rsid w:val="008B5A3D"/>
    <w:rsid w:val="008B663C"/>
    <w:rsid w:val="008C4010"/>
    <w:rsid w:val="008C40F6"/>
    <w:rsid w:val="008C4FDF"/>
    <w:rsid w:val="008C6B1F"/>
    <w:rsid w:val="008C7C04"/>
    <w:rsid w:val="008D3FDE"/>
    <w:rsid w:val="008D52C4"/>
    <w:rsid w:val="008D5E4F"/>
    <w:rsid w:val="008E11F7"/>
    <w:rsid w:val="008F11DD"/>
    <w:rsid w:val="008F14F5"/>
    <w:rsid w:val="008F20C8"/>
    <w:rsid w:val="008F393C"/>
    <w:rsid w:val="008F71C1"/>
    <w:rsid w:val="00902D41"/>
    <w:rsid w:val="00902E95"/>
    <w:rsid w:val="00902F49"/>
    <w:rsid w:val="00904230"/>
    <w:rsid w:val="00912D60"/>
    <w:rsid w:val="00914004"/>
    <w:rsid w:val="00922EC1"/>
    <w:rsid w:val="00923CF1"/>
    <w:rsid w:val="00930003"/>
    <w:rsid w:val="009301F1"/>
    <w:rsid w:val="009307DF"/>
    <w:rsid w:val="009359B8"/>
    <w:rsid w:val="00935FF0"/>
    <w:rsid w:val="009431F8"/>
    <w:rsid w:val="00943DC9"/>
    <w:rsid w:val="00947A35"/>
    <w:rsid w:val="00947DA4"/>
    <w:rsid w:val="00951EB6"/>
    <w:rsid w:val="00953E78"/>
    <w:rsid w:val="0096201B"/>
    <w:rsid w:val="00962081"/>
    <w:rsid w:val="00966CB5"/>
    <w:rsid w:val="00975786"/>
    <w:rsid w:val="0098137B"/>
    <w:rsid w:val="00981CB7"/>
    <w:rsid w:val="00982705"/>
    <w:rsid w:val="00983E1F"/>
    <w:rsid w:val="009928CD"/>
    <w:rsid w:val="00993F46"/>
    <w:rsid w:val="00994EF6"/>
    <w:rsid w:val="00997358"/>
    <w:rsid w:val="009A0DF7"/>
    <w:rsid w:val="009A452B"/>
    <w:rsid w:val="009B050C"/>
    <w:rsid w:val="009B087F"/>
    <w:rsid w:val="009B2AF4"/>
    <w:rsid w:val="009B4DC3"/>
    <w:rsid w:val="009C110B"/>
    <w:rsid w:val="009C1387"/>
    <w:rsid w:val="009C2A70"/>
    <w:rsid w:val="009C3E82"/>
    <w:rsid w:val="009C42DA"/>
    <w:rsid w:val="009C5441"/>
    <w:rsid w:val="009C5BD9"/>
    <w:rsid w:val="009C7DCE"/>
    <w:rsid w:val="009D119F"/>
    <w:rsid w:val="009D49A2"/>
    <w:rsid w:val="009D7388"/>
    <w:rsid w:val="009E3BBE"/>
    <w:rsid w:val="009F1CCE"/>
    <w:rsid w:val="009F3940"/>
    <w:rsid w:val="009F3EB2"/>
    <w:rsid w:val="009F52BE"/>
    <w:rsid w:val="009F6EB1"/>
    <w:rsid w:val="009F7317"/>
    <w:rsid w:val="00A00F4D"/>
    <w:rsid w:val="00A0330C"/>
    <w:rsid w:val="00A06AAA"/>
    <w:rsid w:val="00A1029F"/>
    <w:rsid w:val="00A1186D"/>
    <w:rsid w:val="00A11D05"/>
    <w:rsid w:val="00A13162"/>
    <w:rsid w:val="00A14FE4"/>
    <w:rsid w:val="00A20267"/>
    <w:rsid w:val="00A21787"/>
    <w:rsid w:val="00A229E5"/>
    <w:rsid w:val="00A22CFD"/>
    <w:rsid w:val="00A2517B"/>
    <w:rsid w:val="00A270B2"/>
    <w:rsid w:val="00A27AE3"/>
    <w:rsid w:val="00A3158C"/>
    <w:rsid w:val="00A320B9"/>
    <w:rsid w:val="00A32DF3"/>
    <w:rsid w:val="00A33E32"/>
    <w:rsid w:val="00A35E20"/>
    <w:rsid w:val="00A3607C"/>
    <w:rsid w:val="00A36F6D"/>
    <w:rsid w:val="00A3764E"/>
    <w:rsid w:val="00A422C1"/>
    <w:rsid w:val="00A50CA0"/>
    <w:rsid w:val="00A525CC"/>
    <w:rsid w:val="00A53E7C"/>
    <w:rsid w:val="00A57870"/>
    <w:rsid w:val="00A60087"/>
    <w:rsid w:val="00A661E7"/>
    <w:rsid w:val="00A705E8"/>
    <w:rsid w:val="00A721F4"/>
    <w:rsid w:val="00A85A09"/>
    <w:rsid w:val="00A87452"/>
    <w:rsid w:val="00A91E70"/>
    <w:rsid w:val="00A9392C"/>
    <w:rsid w:val="00A9462B"/>
    <w:rsid w:val="00A97276"/>
    <w:rsid w:val="00A97D59"/>
    <w:rsid w:val="00AA3E09"/>
    <w:rsid w:val="00AA4BEF"/>
    <w:rsid w:val="00AA75FA"/>
    <w:rsid w:val="00AB1659"/>
    <w:rsid w:val="00AB1F17"/>
    <w:rsid w:val="00AB3DFC"/>
    <w:rsid w:val="00AB4962"/>
    <w:rsid w:val="00AB6B40"/>
    <w:rsid w:val="00AB734E"/>
    <w:rsid w:val="00AB740F"/>
    <w:rsid w:val="00AB7F4B"/>
    <w:rsid w:val="00AC5AFA"/>
    <w:rsid w:val="00AC6F14"/>
    <w:rsid w:val="00AC7221"/>
    <w:rsid w:val="00AD04D0"/>
    <w:rsid w:val="00AD359C"/>
    <w:rsid w:val="00AD5CA2"/>
    <w:rsid w:val="00AE2F66"/>
    <w:rsid w:val="00AE3915"/>
    <w:rsid w:val="00AE5961"/>
    <w:rsid w:val="00AE5ACF"/>
    <w:rsid w:val="00AE7515"/>
    <w:rsid w:val="00AF0745"/>
    <w:rsid w:val="00AF277A"/>
    <w:rsid w:val="00AF3B01"/>
    <w:rsid w:val="00AF4971"/>
    <w:rsid w:val="00AF5276"/>
    <w:rsid w:val="00AF6061"/>
    <w:rsid w:val="00AF7C86"/>
    <w:rsid w:val="00B01046"/>
    <w:rsid w:val="00B0690B"/>
    <w:rsid w:val="00B235AA"/>
    <w:rsid w:val="00B310F9"/>
    <w:rsid w:val="00B37328"/>
    <w:rsid w:val="00B37866"/>
    <w:rsid w:val="00B412FB"/>
    <w:rsid w:val="00B4576B"/>
    <w:rsid w:val="00B46350"/>
    <w:rsid w:val="00B46DF3"/>
    <w:rsid w:val="00B521CF"/>
    <w:rsid w:val="00B53197"/>
    <w:rsid w:val="00B5553D"/>
    <w:rsid w:val="00B628A7"/>
    <w:rsid w:val="00B648C7"/>
    <w:rsid w:val="00B66E8F"/>
    <w:rsid w:val="00B7169F"/>
    <w:rsid w:val="00B7396B"/>
    <w:rsid w:val="00B80157"/>
    <w:rsid w:val="00B82AED"/>
    <w:rsid w:val="00B83D5E"/>
    <w:rsid w:val="00B8460A"/>
    <w:rsid w:val="00B8650D"/>
    <w:rsid w:val="00B879B4"/>
    <w:rsid w:val="00B90F07"/>
    <w:rsid w:val="00B94C88"/>
    <w:rsid w:val="00B97BB9"/>
    <w:rsid w:val="00BA0009"/>
    <w:rsid w:val="00BA382A"/>
    <w:rsid w:val="00BB0D94"/>
    <w:rsid w:val="00BB1863"/>
    <w:rsid w:val="00BB25EE"/>
    <w:rsid w:val="00BB363A"/>
    <w:rsid w:val="00BB3DE0"/>
    <w:rsid w:val="00BB4196"/>
    <w:rsid w:val="00BC10A0"/>
    <w:rsid w:val="00BC207E"/>
    <w:rsid w:val="00BC3401"/>
    <w:rsid w:val="00BC3991"/>
    <w:rsid w:val="00BC512C"/>
    <w:rsid w:val="00BC55E6"/>
    <w:rsid w:val="00BC7BA2"/>
    <w:rsid w:val="00BD426B"/>
    <w:rsid w:val="00BD79F0"/>
    <w:rsid w:val="00BE2B4D"/>
    <w:rsid w:val="00BF14E9"/>
    <w:rsid w:val="00BF546F"/>
    <w:rsid w:val="00BF5BED"/>
    <w:rsid w:val="00BF6345"/>
    <w:rsid w:val="00C00995"/>
    <w:rsid w:val="00C015F8"/>
    <w:rsid w:val="00C070C7"/>
    <w:rsid w:val="00C07E26"/>
    <w:rsid w:val="00C1011C"/>
    <w:rsid w:val="00C12F94"/>
    <w:rsid w:val="00C164F1"/>
    <w:rsid w:val="00C177C5"/>
    <w:rsid w:val="00C30F8F"/>
    <w:rsid w:val="00C34EC3"/>
    <w:rsid w:val="00C4038C"/>
    <w:rsid w:val="00C42BA2"/>
    <w:rsid w:val="00C44066"/>
    <w:rsid w:val="00C44E13"/>
    <w:rsid w:val="00C51A5C"/>
    <w:rsid w:val="00C60312"/>
    <w:rsid w:val="00C60A41"/>
    <w:rsid w:val="00C62DE8"/>
    <w:rsid w:val="00C62DFB"/>
    <w:rsid w:val="00C630E6"/>
    <w:rsid w:val="00C63812"/>
    <w:rsid w:val="00C64AF3"/>
    <w:rsid w:val="00C64BED"/>
    <w:rsid w:val="00C66F4D"/>
    <w:rsid w:val="00C67BB5"/>
    <w:rsid w:val="00C72713"/>
    <w:rsid w:val="00C848EF"/>
    <w:rsid w:val="00C858F4"/>
    <w:rsid w:val="00C86600"/>
    <w:rsid w:val="00C87BCA"/>
    <w:rsid w:val="00C87EED"/>
    <w:rsid w:val="00C9036A"/>
    <w:rsid w:val="00C94506"/>
    <w:rsid w:val="00C954BC"/>
    <w:rsid w:val="00CA1627"/>
    <w:rsid w:val="00CA1F0B"/>
    <w:rsid w:val="00CA7BF0"/>
    <w:rsid w:val="00CB110F"/>
    <w:rsid w:val="00CB131B"/>
    <w:rsid w:val="00CB2A2E"/>
    <w:rsid w:val="00CB338A"/>
    <w:rsid w:val="00CB79C5"/>
    <w:rsid w:val="00CC32C1"/>
    <w:rsid w:val="00CC411F"/>
    <w:rsid w:val="00CC4B75"/>
    <w:rsid w:val="00CC732E"/>
    <w:rsid w:val="00CD02AF"/>
    <w:rsid w:val="00CD2FCD"/>
    <w:rsid w:val="00CD7053"/>
    <w:rsid w:val="00CD7207"/>
    <w:rsid w:val="00CE0422"/>
    <w:rsid w:val="00CE0DBE"/>
    <w:rsid w:val="00CE5E4D"/>
    <w:rsid w:val="00CF02C4"/>
    <w:rsid w:val="00CF167F"/>
    <w:rsid w:val="00CF53FF"/>
    <w:rsid w:val="00CF72E5"/>
    <w:rsid w:val="00D013EE"/>
    <w:rsid w:val="00D01F54"/>
    <w:rsid w:val="00D040F7"/>
    <w:rsid w:val="00D04A76"/>
    <w:rsid w:val="00D10FC7"/>
    <w:rsid w:val="00D12277"/>
    <w:rsid w:val="00D122BF"/>
    <w:rsid w:val="00D1519F"/>
    <w:rsid w:val="00D20E99"/>
    <w:rsid w:val="00D21C83"/>
    <w:rsid w:val="00D23A13"/>
    <w:rsid w:val="00D262FA"/>
    <w:rsid w:val="00D263F8"/>
    <w:rsid w:val="00D30BE0"/>
    <w:rsid w:val="00D32DE6"/>
    <w:rsid w:val="00D34F34"/>
    <w:rsid w:val="00D35BDD"/>
    <w:rsid w:val="00D3701A"/>
    <w:rsid w:val="00D45F2A"/>
    <w:rsid w:val="00D47853"/>
    <w:rsid w:val="00D52812"/>
    <w:rsid w:val="00D56C4D"/>
    <w:rsid w:val="00D57D4B"/>
    <w:rsid w:val="00D615B7"/>
    <w:rsid w:val="00D63006"/>
    <w:rsid w:val="00D646DE"/>
    <w:rsid w:val="00D648DA"/>
    <w:rsid w:val="00D67676"/>
    <w:rsid w:val="00D72301"/>
    <w:rsid w:val="00D7295D"/>
    <w:rsid w:val="00D87716"/>
    <w:rsid w:val="00D87F37"/>
    <w:rsid w:val="00D911DE"/>
    <w:rsid w:val="00D91B97"/>
    <w:rsid w:val="00D91E02"/>
    <w:rsid w:val="00D93ACC"/>
    <w:rsid w:val="00D93BBA"/>
    <w:rsid w:val="00D93C08"/>
    <w:rsid w:val="00D95DAC"/>
    <w:rsid w:val="00D9669D"/>
    <w:rsid w:val="00D97E93"/>
    <w:rsid w:val="00DA0B53"/>
    <w:rsid w:val="00DA10E0"/>
    <w:rsid w:val="00DA1D65"/>
    <w:rsid w:val="00DA3B35"/>
    <w:rsid w:val="00DB1171"/>
    <w:rsid w:val="00DB1519"/>
    <w:rsid w:val="00DB2840"/>
    <w:rsid w:val="00DB7467"/>
    <w:rsid w:val="00DC07CE"/>
    <w:rsid w:val="00DC1220"/>
    <w:rsid w:val="00DC1BD3"/>
    <w:rsid w:val="00DC2C1A"/>
    <w:rsid w:val="00DC4CF9"/>
    <w:rsid w:val="00DC6A5A"/>
    <w:rsid w:val="00DD66B4"/>
    <w:rsid w:val="00DE1972"/>
    <w:rsid w:val="00DE27AB"/>
    <w:rsid w:val="00DF2AB3"/>
    <w:rsid w:val="00DF2D33"/>
    <w:rsid w:val="00DF7250"/>
    <w:rsid w:val="00E00CAA"/>
    <w:rsid w:val="00E0150B"/>
    <w:rsid w:val="00E030B3"/>
    <w:rsid w:val="00E03EBF"/>
    <w:rsid w:val="00E05209"/>
    <w:rsid w:val="00E11BCF"/>
    <w:rsid w:val="00E2258E"/>
    <w:rsid w:val="00E260C2"/>
    <w:rsid w:val="00E278D4"/>
    <w:rsid w:val="00E32596"/>
    <w:rsid w:val="00E32660"/>
    <w:rsid w:val="00E368F7"/>
    <w:rsid w:val="00E36EB8"/>
    <w:rsid w:val="00E37FB8"/>
    <w:rsid w:val="00E40B07"/>
    <w:rsid w:val="00E42326"/>
    <w:rsid w:val="00E42AE5"/>
    <w:rsid w:val="00E43544"/>
    <w:rsid w:val="00E44D89"/>
    <w:rsid w:val="00E477EA"/>
    <w:rsid w:val="00E51A44"/>
    <w:rsid w:val="00E55807"/>
    <w:rsid w:val="00E63B14"/>
    <w:rsid w:val="00E642A9"/>
    <w:rsid w:val="00E642E3"/>
    <w:rsid w:val="00E65510"/>
    <w:rsid w:val="00E65CA0"/>
    <w:rsid w:val="00E70D04"/>
    <w:rsid w:val="00E70D9F"/>
    <w:rsid w:val="00E71A04"/>
    <w:rsid w:val="00E775D1"/>
    <w:rsid w:val="00E83810"/>
    <w:rsid w:val="00E8404C"/>
    <w:rsid w:val="00E86933"/>
    <w:rsid w:val="00E92B0A"/>
    <w:rsid w:val="00E94B76"/>
    <w:rsid w:val="00E95405"/>
    <w:rsid w:val="00E9605B"/>
    <w:rsid w:val="00E96D77"/>
    <w:rsid w:val="00E97298"/>
    <w:rsid w:val="00E97753"/>
    <w:rsid w:val="00EA0C51"/>
    <w:rsid w:val="00EA50C1"/>
    <w:rsid w:val="00EA7DE7"/>
    <w:rsid w:val="00EB7A8A"/>
    <w:rsid w:val="00EC1B9D"/>
    <w:rsid w:val="00EC6FED"/>
    <w:rsid w:val="00EC7F3B"/>
    <w:rsid w:val="00ED11A1"/>
    <w:rsid w:val="00ED1D0A"/>
    <w:rsid w:val="00ED4F7D"/>
    <w:rsid w:val="00EE3A64"/>
    <w:rsid w:val="00EE50E5"/>
    <w:rsid w:val="00EF01CF"/>
    <w:rsid w:val="00EF1168"/>
    <w:rsid w:val="00EF2C46"/>
    <w:rsid w:val="00EF5D90"/>
    <w:rsid w:val="00EF753D"/>
    <w:rsid w:val="00F0099D"/>
    <w:rsid w:val="00F03590"/>
    <w:rsid w:val="00F03622"/>
    <w:rsid w:val="00F0486A"/>
    <w:rsid w:val="00F077FD"/>
    <w:rsid w:val="00F16A1E"/>
    <w:rsid w:val="00F204F3"/>
    <w:rsid w:val="00F218AB"/>
    <w:rsid w:val="00F238B3"/>
    <w:rsid w:val="00F24FED"/>
    <w:rsid w:val="00F25586"/>
    <w:rsid w:val="00F2651D"/>
    <w:rsid w:val="00F27362"/>
    <w:rsid w:val="00F31498"/>
    <w:rsid w:val="00F32FEF"/>
    <w:rsid w:val="00F41B1C"/>
    <w:rsid w:val="00F42E13"/>
    <w:rsid w:val="00F42F1C"/>
    <w:rsid w:val="00F4307E"/>
    <w:rsid w:val="00F43B44"/>
    <w:rsid w:val="00F440E5"/>
    <w:rsid w:val="00F448F6"/>
    <w:rsid w:val="00F46399"/>
    <w:rsid w:val="00F476E2"/>
    <w:rsid w:val="00F52741"/>
    <w:rsid w:val="00F52D4E"/>
    <w:rsid w:val="00F53D8A"/>
    <w:rsid w:val="00F626F7"/>
    <w:rsid w:val="00F64784"/>
    <w:rsid w:val="00F64CB8"/>
    <w:rsid w:val="00F65A2F"/>
    <w:rsid w:val="00F67157"/>
    <w:rsid w:val="00F736F9"/>
    <w:rsid w:val="00F73833"/>
    <w:rsid w:val="00F771D0"/>
    <w:rsid w:val="00F7771F"/>
    <w:rsid w:val="00F86886"/>
    <w:rsid w:val="00F91FE3"/>
    <w:rsid w:val="00F9211C"/>
    <w:rsid w:val="00FA095D"/>
    <w:rsid w:val="00FA6C8B"/>
    <w:rsid w:val="00FA6CDA"/>
    <w:rsid w:val="00FA71F2"/>
    <w:rsid w:val="00FA7C89"/>
    <w:rsid w:val="00FB4139"/>
    <w:rsid w:val="00FB476E"/>
    <w:rsid w:val="00FC0D90"/>
    <w:rsid w:val="00FC6887"/>
    <w:rsid w:val="00FC7D8C"/>
    <w:rsid w:val="00FD3980"/>
    <w:rsid w:val="00FD431E"/>
    <w:rsid w:val="00FD5A2C"/>
    <w:rsid w:val="00FE0D47"/>
    <w:rsid w:val="00FE1B85"/>
    <w:rsid w:val="00FE1D5C"/>
    <w:rsid w:val="00FE2F8B"/>
    <w:rsid w:val="00FE3669"/>
    <w:rsid w:val="00FE5204"/>
    <w:rsid w:val="00FF287F"/>
    <w:rsid w:val="00FF74A8"/>
    <w:rsid w:val="01C17AEB"/>
    <w:rsid w:val="0207F2BE"/>
    <w:rsid w:val="020A4942"/>
    <w:rsid w:val="05779FC5"/>
    <w:rsid w:val="0A7052E9"/>
    <w:rsid w:val="0CBB856E"/>
    <w:rsid w:val="0DB551B4"/>
    <w:rsid w:val="0E05D02C"/>
    <w:rsid w:val="0E269563"/>
    <w:rsid w:val="107D7A0D"/>
    <w:rsid w:val="11F2736B"/>
    <w:rsid w:val="12396298"/>
    <w:rsid w:val="145DE084"/>
    <w:rsid w:val="15FA1600"/>
    <w:rsid w:val="1676B447"/>
    <w:rsid w:val="1850FB32"/>
    <w:rsid w:val="19483BCF"/>
    <w:rsid w:val="1A55CF17"/>
    <w:rsid w:val="1AC8D590"/>
    <w:rsid w:val="1B07FFBE"/>
    <w:rsid w:val="1B778AEC"/>
    <w:rsid w:val="1E910B23"/>
    <w:rsid w:val="1FB6FCB9"/>
    <w:rsid w:val="1FD5D2DB"/>
    <w:rsid w:val="206E1A05"/>
    <w:rsid w:val="21C75AFC"/>
    <w:rsid w:val="226923FA"/>
    <w:rsid w:val="227A1325"/>
    <w:rsid w:val="23935E95"/>
    <w:rsid w:val="27561C25"/>
    <w:rsid w:val="28A054C2"/>
    <w:rsid w:val="28D30230"/>
    <w:rsid w:val="28DB5A1C"/>
    <w:rsid w:val="2BD2F5E0"/>
    <w:rsid w:val="2EDF5F88"/>
    <w:rsid w:val="2EFBC026"/>
    <w:rsid w:val="348D3036"/>
    <w:rsid w:val="35CF51B1"/>
    <w:rsid w:val="367D863D"/>
    <w:rsid w:val="372D8617"/>
    <w:rsid w:val="377B1D85"/>
    <w:rsid w:val="37DA1D16"/>
    <w:rsid w:val="383E0297"/>
    <w:rsid w:val="38C6AC9F"/>
    <w:rsid w:val="3A215B89"/>
    <w:rsid w:val="3CB42783"/>
    <w:rsid w:val="3CC047F8"/>
    <w:rsid w:val="3CE6A381"/>
    <w:rsid w:val="3DDFF33C"/>
    <w:rsid w:val="3F724D37"/>
    <w:rsid w:val="40521DC1"/>
    <w:rsid w:val="42AC2FB3"/>
    <w:rsid w:val="46E3A5FA"/>
    <w:rsid w:val="47553FB0"/>
    <w:rsid w:val="481AF308"/>
    <w:rsid w:val="4A21F3B5"/>
    <w:rsid w:val="50452F08"/>
    <w:rsid w:val="5219AE97"/>
    <w:rsid w:val="533CB25B"/>
    <w:rsid w:val="543D664C"/>
    <w:rsid w:val="54ECED7B"/>
    <w:rsid w:val="58869227"/>
    <w:rsid w:val="5B7A6B5A"/>
    <w:rsid w:val="5C66A4C3"/>
    <w:rsid w:val="5DF41B29"/>
    <w:rsid w:val="609F45F3"/>
    <w:rsid w:val="63E09A40"/>
    <w:rsid w:val="653CA445"/>
    <w:rsid w:val="6C83E74B"/>
    <w:rsid w:val="6DC6A4A4"/>
    <w:rsid w:val="6E81C377"/>
    <w:rsid w:val="6F357CFE"/>
    <w:rsid w:val="727C5556"/>
    <w:rsid w:val="785426CD"/>
    <w:rsid w:val="7890DCF1"/>
    <w:rsid w:val="7AB2A17A"/>
    <w:rsid w:val="7E2714C6"/>
    <w:rsid w:val="7F1D43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3B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customStyle="1" w:styleId="xxxmsonormal">
    <w:name w:val="x_x_xmsonormal"/>
    <w:basedOn w:val="Normal"/>
    <w:rsid w:val="002D574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paragraph" w:styleId="NormalWeb">
    <w:name w:val="Normal (Web)"/>
    <w:basedOn w:val="Normal"/>
    <w:uiPriority w:val="99"/>
    <w:unhideWhenUsed/>
    <w:rsid w:val="00876F5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rsid w:val="00876F54"/>
    <w:rPr>
      <w:rFonts w:asciiTheme="minorHAnsi" w:hAnsiTheme="minorHAns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76F54"/>
    <w:rPr>
      <w:rFonts w:asciiTheme="minorHAnsi" w:hAnsiTheme="minorHAnsi"/>
      <w:sz w:val="24"/>
      <w:lang w:val="en-GB" w:eastAsia="en-US"/>
    </w:rPr>
  </w:style>
  <w:style w:type="character" w:styleId="CommentReference">
    <w:name w:val="annotation reference"/>
    <w:basedOn w:val="DefaultParagraphFont"/>
    <w:semiHidden/>
    <w:unhideWhenUsed/>
    <w:rsid w:val="00876F54"/>
    <w:rPr>
      <w:sz w:val="16"/>
      <w:szCs w:val="16"/>
    </w:rPr>
  </w:style>
  <w:style w:type="paragraph" w:styleId="CommentText">
    <w:name w:val="annotation text"/>
    <w:basedOn w:val="Normal"/>
    <w:link w:val="CommentTextChar"/>
    <w:semiHidden/>
    <w:unhideWhenUsed/>
    <w:rsid w:val="00876F54"/>
    <w:rPr>
      <w:sz w:val="20"/>
    </w:rPr>
  </w:style>
  <w:style w:type="character" w:customStyle="1" w:styleId="CommentTextChar">
    <w:name w:val="Comment Text Char"/>
    <w:basedOn w:val="DefaultParagraphFont"/>
    <w:link w:val="CommentText"/>
    <w:semiHidden/>
    <w:rsid w:val="00876F54"/>
    <w:rPr>
      <w:rFonts w:asciiTheme="minorHAnsi" w:hAnsiTheme="minorHAnsi"/>
      <w:lang w:val="en-GB" w:eastAsia="en-US"/>
    </w:rPr>
  </w:style>
  <w:style w:type="character" w:customStyle="1" w:styleId="UnresolvedMention1">
    <w:name w:val="Unresolved Mention1"/>
    <w:basedOn w:val="DefaultParagraphFont"/>
    <w:uiPriority w:val="99"/>
    <w:semiHidden/>
    <w:unhideWhenUsed/>
    <w:rsid w:val="00125989"/>
    <w:rPr>
      <w:color w:val="605E5C"/>
      <w:shd w:val="clear" w:color="auto" w:fill="E1DFDD"/>
    </w:rPr>
  </w:style>
  <w:style w:type="paragraph" w:styleId="BalloonText">
    <w:name w:val="Balloon Text"/>
    <w:basedOn w:val="Normal"/>
    <w:link w:val="BalloonTextChar"/>
    <w:semiHidden/>
    <w:unhideWhenUsed/>
    <w:rsid w:val="00C51A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A5C"/>
    <w:rPr>
      <w:rFonts w:ascii="Segoe UI" w:hAnsi="Segoe UI" w:cs="Segoe UI"/>
      <w:sz w:val="18"/>
      <w:szCs w:val="18"/>
      <w:lang w:val="en-GB" w:eastAsia="en-US"/>
    </w:rPr>
  </w:style>
  <w:style w:type="paragraph" w:customStyle="1" w:styleId="Default">
    <w:name w:val="Default"/>
    <w:rsid w:val="009D7388"/>
    <w:pPr>
      <w:autoSpaceDE w:val="0"/>
      <w:autoSpaceDN w:val="0"/>
      <w:adjustRightInd w:val="0"/>
    </w:pPr>
    <w:rPr>
      <w:rFonts w:ascii="Georgia" w:eastAsiaTheme="minorHAnsi" w:hAnsi="Georgia" w:cs="Georgia"/>
      <w:color w:val="000000"/>
      <w:sz w:val="24"/>
      <w:szCs w:val="24"/>
      <w:lang w:eastAsia="en-US"/>
    </w:rPr>
  </w:style>
  <w:style w:type="character" w:customStyle="1" w:styleId="href">
    <w:name w:val="href"/>
    <w:basedOn w:val="DefaultParagraphFont"/>
    <w:uiPriority w:val="99"/>
    <w:rsid w:val="00DB746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146225">
      <w:bodyDiv w:val="1"/>
      <w:marLeft w:val="0"/>
      <w:marRight w:val="0"/>
      <w:marTop w:val="0"/>
      <w:marBottom w:val="0"/>
      <w:divBdr>
        <w:top w:val="none" w:sz="0" w:space="0" w:color="auto"/>
        <w:left w:val="none" w:sz="0" w:space="0" w:color="auto"/>
        <w:bottom w:val="none" w:sz="0" w:space="0" w:color="auto"/>
        <w:right w:val="none" w:sz="0" w:space="0" w:color="auto"/>
      </w:divBdr>
      <w:divsChild>
        <w:div w:id="680156607">
          <w:marLeft w:val="0"/>
          <w:marRight w:val="0"/>
          <w:marTop w:val="0"/>
          <w:marBottom w:val="0"/>
          <w:divBdr>
            <w:top w:val="none" w:sz="0" w:space="0" w:color="auto"/>
            <w:left w:val="none" w:sz="0" w:space="0" w:color="auto"/>
            <w:bottom w:val="none" w:sz="0" w:space="0" w:color="auto"/>
            <w:right w:val="none" w:sz="0" w:space="0" w:color="auto"/>
          </w:divBdr>
        </w:div>
        <w:div w:id="68162286">
          <w:marLeft w:val="0"/>
          <w:marRight w:val="0"/>
          <w:marTop w:val="0"/>
          <w:marBottom w:val="0"/>
          <w:divBdr>
            <w:top w:val="none" w:sz="0" w:space="0" w:color="auto"/>
            <w:left w:val="none" w:sz="0" w:space="0" w:color="auto"/>
            <w:bottom w:val="none" w:sz="0" w:space="0" w:color="auto"/>
            <w:right w:val="none" w:sz="0" w:space="0" w:color="auto"/>
          </w:divBdr>
        </w:div>
        <w:div w:id="1157572171">
          <w:marLeft w:val="0"/>
          <w:marRight w:val="0"/>
          <w:marTop w:val="0"/>
          <w:marBottom w:val="0"/>
          <w:divBdr>
            <w:top w:val="none" w:sz="0" w:space="0" w:color="auto"/>
            <w:left w:val="none" w:sz="0" w:space="0" w:color="auto"/>
            <w:bottom w:val="none" w:sz="0" w:space="0" w:color="auto"/>
            <w:right w:val="none" w:sz="0" w:space="0" w:color="auto"/>
          </w:divBdr>
        </w:div>
        <w:div w:id="578365038">
          <w:marLeft w:val="0"/>
          <w:marRight w:val="0"/>
          <w:marTop w:val="0"/>
          <w:marBottom w:val="0"/>
          <w:divBdr>
            <w:top w:val="none" w:sz="0" w:space="0" w:color="auto"/>
            <w:left w:val="none" w:sz="0" w:space="0" w:color="auto"/>
            <w:bottom w:val="none" w:sz="0" w:space="0" w:color="auto"/>
            <w:right w:val="none" w:sz="0" w:space="0" w:color="auto"/>
          </w:divBdr>
        </w:div>
        <w:div w:id="1561744900">
          <w:marLeft w:val="0"/>
          <w:marRight w:val="0"/>
          <w:marTop w:val="0"/>
          <w:marBottom w:val="0"/>
          <w:divBdr>
            <w:top w:val="none" w:sz="0" w:space="0" w:color="auto"/>
            <w:left w:val="none" w:sz="0" w:space="0" w:color="auto"/>
            <w:bottom w:val="none" w:sz="0" w:space="0" w:color="auto"/>
            <w:right w:val="none" w:sz="0" w:space="0" w:color="auto"/>
          </w:divBdr>
        </w:div>
        <w:div w:id="1807700890">
          <w:marLeft w:val="0"/>
          <w:marRight w:val="0"/>
          <w:marTop w:val="0"/>
          <w:marBottom w:val="0"/>
          <w:divBdr>
            <w:top w:val="none" w:sz="0" w:space="0" w:color="auto"/>
            <w:left w:val="none" w:sz="0" w:space="0" w:color="auto"/>
            <w:bottom w:val="none" w:sz="0" w:space="0" w:color="auto"/>
            <w:right w:val="none" w:sz="0" w:space="0" w:color="auto"/>
          </w:divBdr>
        </w:div>
        <w:div w:id="708184513">
          <w:marLeft w:val="0"/>
          <w:marRight w:val="0"/>
          <w:marTop w:val="0"/>
          <w:marBottom w:val="0"/>
          <w:divBdr>
            <w:top w:val="none" w:sz="0" w:space="0" w:color="auto"/>
            <w:left w:val="none" w:sz="0" w:space="0" w:color="auto"/>
            <w:bottom w:val="none" w:sz="0" w:space="0" w:color="auto"/>
            <w:right w:val="none" w:sz="0" w:space="0" w:color="auto"/>
          </w:divBdr>
          <w:divsChild>
            <w:div w:id="1824273423">
              <w:marLeft w:val="0"/>
              <w:marRight w:val="0"/>
              <w:marTop w:val="0"/>
              <w:marBottom w:val="0"/>
              <w:divBdr>
                <w:top w:val="none" w:sz="0" w:space="0" w:color="auto"/>
                <w:left w:val="none" w:sz="0" w:space="0" w:color="auto"/>
                <w:bottom w:val="none" w:sz="0" w:space="0" w:color="auto"/>
                <w:right w:val="none" w:sz="0" w:space="0" w:color="auto"/>
              </w:divBdr>
            </w:div>
            <w:div w:id="824976269">
              <w:marLeft w:val="0"/>
              <w:marRight w:val="0"/>
              <w:marTop w:val="0"/>
              <w:marBottom w:val="0"/>
              <w:divBdr>
                <w:top w:val="none" w:sz="0" w:space="0" w:color="auto"/>
                <w:left w:val="none" w:sz="0" w:space="0" w:color="auto"/>
                <w:bottom w:val="none" w:sz="0" w:space="0" w:color="auto"/>
                <w:right w:val="none" w:sz="0" w:space="0" w:color="auto"/>
              </w:divBdr>
            </w:div>
            <w:div w:id="2005353176">
              <w:marLeft w:val="0"/>
              <w:marRight w:val="0"/>
              <w:marTop w:val="0"/>
              <w:marBottom w:val="0"/>
              <w:divBdr>
                <w:top w:val="none" w:sz="0" w:space="0" w:color="auto"/>
                <w:left w:val="none" w:sz="0" w:space="0" w:color="auto"/>
                <w:bottom w:val="none" w:sz="0" w:space="0" w:color="auto"/>
                <w:right w:val="none" w:sz="0" w:space="0" w:color="auto"/>
              </w:divBdr>
            </w:div>
            <w:div w:id="122431790">
              <w:marLeft w:val="0"/>
              <w:marRight w:val="0"/>
              <w:marTop w:val="0"/>
              <w:marBottom w:val="0"/>
              <w:divBdr>
                <w:top w:val="none" w:sz="0" w:space="0" w:color="auto"/>
                <w:left w:val="none" w:sz="0" w:space="0" w:color="auto"/>
                <w:bottom w:val="none" w:sz="0" w:space="0" w:color="auto"/>
                <w:right w:val="none" w:sz="0" w:space="0" w:color="auto"/>
              </w:divBdr>
            </w:div>
            <w:div w:id="1677884821">
              <w:marLeft w:val="0"/>
              <w:marRight w:val="0"/>
              <w:marTop w:val="0"/>
              <w:marBottom w:val="0"/>
              <w:divBdr>
                <w:top w:val="none" w:sz="0" w:space="0" w:color="auto"/>
                <w:left w:val="none" w:sz="0" w:space="0" w:color="auto"/>
                <w:bottom w:val="none" w:sz="0" w:space="0" w:color="auto"/>
                <w:right w:val="none" w:sz="0" w:space="0" w:color="auto"/>
              </w:divBdr>
            </w:div>
            <w:div w:id="1491828154">
              <w:marLeft w:val="0"/>
              <w:marRight w:val="0"/>
              <w:marTop w:val="0"/>
              <w:marBottom w:val="0"/>
              <w:divBdr>
                <w:top w:val="none" w:sz="0" w:space="0" w:color="auto"/>
                <w:left w:val="none" w:sz="0" w:space="0" w:color="auto"/>
                <w:bottom w:val="none" w:sz="0" w:space="0" w:color="auto"/>
                <w:right w:val="none" w:sz="0" w:space="0" w:color="auto"/>
              </w:divBdr>
            </w:div>
            <w:div w:id="1730348854">
              <w:marLeft w:val="0"/>
              <w:marRight w:val="0"/>
              <w:marTop w:val="0"/>
              <w:marBottom w:val="0"/>
              <w:divBdr>
                <w:top w:val="none" w:sz="0" w:space="0" w:color="auto"/>
                <w:left w:val="none" w:sz="0" w:space="0" w:color="auto"/>
                <w:bottom w:val="none" w:sz="0" w:space="0" w:color="auto"/>
                <w:right w:val="none" w:sz="0" w:space="0" w:color="auto"/>
              </w:divBdr>
            </w:div>
            <w:div w:id="6184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5679">
      <w:bodyDiv w:val="1"/>
      <w:marLeft w:val="0"/>
      <w:marRight w:val="0"/>
      <w:marTop w:val="0"/>
      <w:marBottom w:val="0"/>
      <w:divBdr>
        <w:top w:val="none" w:sz="0" w:space="0" w:color="auto"/>
        <w:left w:val="none" w:sz="0" w:space="0" w:color="auto"/>
        <w:bottom w:val="none" w:sz="0" w:space="0" w:color="auto"/>
        <w:right w:val="none" w:sz="0" w:space="0" w:color="auto"/>
      </w:divBdr>
      <w:divsChild>
        <w:div w:id="1917130870">
          <w:marLeft w:val="0"/>
          <w:marRight w:val="0"/>
          <w:marTop w:val="0"/>
          <w:marBottom w:val="0"/>
          <w:divBdr>
            <w:top w:val="none" w:sz="0" w:space="0" w:color="auto"/>
            <w:left w:val="none" w:sz="0" w:space="0" w:color="auto"/>
            <w:bottom w:val="none" w:sz="0" w:space="0" w:color="auto"/>
            <w:right w:val="none" w:sz="0" w:space="0" w:color="auto"/>
          </w:divBdr>
        </w:div>
        <w:div w:id="2025012929">
          <w:marLeft w:val="0"/>
          <w:marRight w:val="0"/>
          <w:marTop w:val="0"/>
          <w:marBottom w:val="0"/>
          <w:divBdr>
            <w:top w:val="none" w:sz="0" w:space="0" w:color="auto"/>
            <w:left w:val="none" w:sz="0" w:space="0" w:color="auto"/>
            <w:bottom w:val="none" w:sz="0" w:space="0" w:color="auto"/>
            <w:right w:val="none" w:sz="0" w:space="0" w:color="auto"/>
          </w:divBdr>
        </w:div>
        <w:div w:id="164171610">
          <w:marLeft w:val="0"/>
          <w:marRight w:val="0"/>
          <w:marTop w:val="0"/>
          <w:marBottom w:val="0"/>
          <w:divBdr>
            <w:top w:val="none" w:sz="0" w:space="0" w:color="auto"/>
            <w:left w:val="none" w:sz="0" w:space="0" w:color="auto"/>
            <w:bottom w:val="none" w:sz="0" w:space="0" w:color="auto"/>
            <w:right w:val="none" w:sz="0" w:space="0" w:color="auto"/>
          </w:divBdr>
        </w:div>
        <w:div w:id="94252391">
          <w:marLeft w:val="0"/>
          <w:marRight w:val="0"/>
          <w:marTop w:val="0"/>
          <w:marBottom w:val="0"/>
          <w:divBdr>
            <w:top w:val="none" w:sz="0" w:space="0" w:color="auto"/>
            <w:left w:val="none" w:sz="0" w:space="0" w:color="auto"/>
            <w:bottom w:val="none" w:sz="0" w:space="0" w:color="auto"/>
            <w:right w:val="none" w:sz="0" w:space="0" w:color="auto"/>
          </w:divBdr>
        </w:div>
        <w:div w:id="1473789886">
          <w:marLeft w:val="0"/>
          <w:marRight w:val="0"/>
          <w:marTop w:val="0"/>
          <w:marBottom w:val="0"/>
          <w:divBdr>
            <w:top w:val="none" w:sz="0" w:space="0" w:color="auto"/>
            <w:left w:val="none" w:sz="0" w:space="0" w:color="auto"/>
            <w:bottom w:val="none" w:sz="0" w:space="0" w:color="auto"/>
            <w:right w:val="none" w:sz="0" w:space="0" w:color="auto"/>
          </w:divBdr>
        </w:div>
        <w:div w:id="1824153467">
          <w:marLeft w:val="0"/>
          <w:marRight w:val="0"/>
          <w:marTop w:val="0"/>
          <w:marBottom w:val="0"/>
          <w:divBdr>
            <w:top w:val="none" w:sz="0" w:space="0" w:color="auto"/>
            <w:left w:val="none" w:sz="0" w:space="0" w:color="auto"/>
            <w:bottom w:val="none" w:sz="0" w:space="0" w:color="auto"/>
            <w:right w:val="none" w:sz="0" w:space="0" w:color="auto"/>
          </w:divBdr>
        </w:div>
        <w:div w:id="50079251">
          <w:marLeft w:val="0"/>
          <w:marRight w:val="0"/>
          <w:marTop w:val="0"/>
          <w:marBottom w:val="0"/>
          <w:divBdr>
            <w:top w:val="none" w:sz="0" w:space="0" w:color="auto"/>
            <w:left w:val="none" w:sz="0" w:space="0" w:color="auto"/>
            <w:bottom w:val="none" w:sz="0" w:space="0" w:color="auto"/>
            <w:right w:val="none" w:sz="0" w:space="0" w:color="auto"/>
          </w:divBdr>
          <w:divsChild>
            <w:div w:id="333454651">
              <w:marLeft w:val="0"/>
              <w:marRight w:val="0"/>
              <w:marTop w:val="0"/>
              <w:marBottom w:val="0"/>
              <w:divBdr>
                <w:top w:val="none" w:sz="0" w:space="0" w:color="auto"/>
                <w:left w:val="none" w:sz="0" w:space="0" w:color="auto"/>
                <w:bottom w:val="none" w:sz="0" w:space="0" w:color="auto"/>
                <w:right w:val="none" w:sz="0" w:space="0" w:color="auto"/>
              </w:divBdr>
            </w:div>
            <w:div w:id="2105303542">
              <w:marLeft w:val="0"/>
              <w:marRight w:val="0"/>
              <w:marTop w:val="0"/>
              <w:marBottom w:val="0"/>
              <w:divBdr>
                <w:top w:val="none" w:sz="0" w:space="0" w:color="auto"/>
                <w:left w:val="none" w:sz="0" w:space="0" w:color="auto"/>
                <w:bottom w:val="none" w:sz="0" w:space="0" w:color="auto"/>
                <w:right w:val="none" w:sz="0" w:space="0" w:color="auto"/>
              </w:divBdr>
            </w:div>
            <w:div w:id="1137532495">
              <w:marLeft w:val="0"/>
              <w:marRight w:val="0"/>
              <w:marTop w:val="0"/>
              <w:marBottom w:val="0"/>
              <w:divBdr>
                <w:top w:val="none" w:sz="0" w:space="0" w:color="auto"/>
                <w:left w:val="none" w:sz="0" w:space="0" w:color="auto"/>
                <w:bottom w:val="none" w:sz="0" w:space="0" w:color="auto"/>
                <w:right w:val="none" w:sz="0" w:space="0" w:color="auto"/>
              </w:divBdr>
            </w:div>
            <w:div w:id="828447267">
              <w:marLeft w:val="0"/>
              <w:marRight w:val="0"/>
              <w:marTop w:val="0"/>
              <w:marBottom w:val="0"/>
              <w:divBdr>
                <w:top w:val="none" w:sz="0" w:space="0" w:color="auto"/>
                <w:left w:val="none" w:sz="0" w:space="0" w:color="auto"/>
                <w:bottom w:val="none" w:sz="0" w:space="0" w:color="auto"/>
                <w:right w:val="none" w:sz="0" w:space="0" w:color="auto"/>
              </w:divBdr>
            </w:div>
            <w:div w:id="1122963986">
              <w:marLeft w:val="0"/>
              <w:marRight w:val="0"/>
              <w:marTop w:val="0"/>
              <w:marBottom w:val="0"/>
              <w:divBdr>
                <w:top w:val="none" w:sz="0" w:space="0" w:color="auto"/>
                <w:left w:val="none" w:sz="0" w:space="0" w:color="auto"/>
                <w:bottom w:val="none" w:sz="0" w:space="0" w:color="auto"/>
                <w:right w:val="none" w:sz="0" w:space="0" w:color="auto"/>
              </w:divBdr>
            </w:div>
            <w:div w:id="1533763382">
              <w:marLeft w:val="0"/>
              <w:marRight w:val="0"/>
              <w:marTop w:val="0"/>
              <w:marBottom w:val="0"/>
              <w:divBdr>
                <w:top w:val="none" w:sz="0" w:space="0" w:color="auto"/>
                <w:left w:val="none" w:sz="0" w:space="0" w:color="auto"/>
                <w:bottom w:val="none" w:sz="0" w:space="0" w:color="auto"/>
                <w:right w:val="none" w:sz="0" w:space="0" w:color="auto"/>
              </w:divBdr>
            </w:div>
            <w:div w:id="832720618">
              <w:marLeft w:val="0"/>
              <w:marRight w:val="0"/>
              <w:marTop w:val="0"/>
              <w:marBottom w:val="0"/>
              <w:divBdr>
                <w:top w:val="none" w:sz="0" w:space="0" w:color="auto"/>
                <w:left w:val="none" w:sz="0" w:space="0" w:color="auto"/>
                <w:bottom w:val="none" w:sz="0" w:space="0" w:color="auto"/>
                <w:right w:val="none" w:sz="0" w:space="0" w:color="auto"/>
              </w:divBdr>
            </w:div>
            <w:div w:id="19411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4916">
      <w:bodyDiv w:val="1"/>
      <w:marLeft w:val="0"/>
      <w:marRight w:val="0"/>
      <w:marTop w:val="0"/>
      <w:marBottom w:val="0"/>
      <w:divBdr>
        <w:top w:val="none" w:sz="0" w:space="0" w:color="auto"/>
        <w:left w:val="none" w:sz="0" w:space="0" w:color="auto"/>
        <w:bottom w:val="none" w:sz="0" w:space="0" w:color="auto"/>
        <w:right w:val="none" w:sz="0" w:space="0" w:color="auto"/>
      </w:divBdr>
      <w:divsChild>
        <w:div w:id="585261293">
          <w:marLeft w:val="0"/>
          <w:marRight w:val="0"/>
          <w:marTop w:val="0"/>
          <w:marBottom w:val="0"/>
          <w:divBdr>
            <w:top w:val="none" w:sz="0" w:space="0" w:color="auto"/>
            <w:left w:val="none" w:sz="0" w:space="0" w:color="auto"/>
            <w:bottom w:val="none" w:sz="0" w:space="0" w:color="auto"/>
            <w:right w:val="none" w:sz="0" w:space="0" w:color="auto"/>
          </w:divBdr>
        </w:div>
        <w:div w:id="190805591">
          <w:marLeft w:val="0"/>
          <w:marRight w:val="0"/>
          <w:marTop w:val="0"/>
          <w:marBottom w:val="0"/>
          <w:divBdr>
            <w:top w:val="none" w:sz="0" w:space="0" w:color="auto"/>
            <w:left w:val="none" w:sz="0" w:space="0" w:color="auto"/>
            <w:bottom w:val="none" w:sz="0" w:space="0" w:color="auto"/>
            <w:right w:val="none" w:sz="0" w:space="0" w:color="auto"/>
          </w:divBdr>
        </w:div>
        <w:div w:id="233663403">
          <w:marLeft w:val="0"/>
          <w:marRight w:val="0"/>
          <w:marTop w:val="0"/>
          <w:marBottom w:val="0"/>
          <w:divBdr>
            <w:top w:val="none" w:sz="0" w:space="0" w:color="auto"/>
            <w:left w:val="none" w:sz="0" w:space="0" w:color="auto"/>
            <w:bottom w:val="none" w:sz="0" w:space="0" w:color="auto"/>
            <w:right w:val="none" w:sz="0" w:space="0" w:color="auto"/>
          </w:divBdr>
        </w:div>
        <w:div w:id="914314726">
          <w:marLeft w:val="0"/>
          <w:marRight w:val="0"/>
          <w:marTop w:val="0"/>
          <w:marBottom w:val="0"/>
          <w:divBdr>
            <w:top w:val="none" w:sz="0" w:space="0" w:color="auto"/>
            <w:left w:val="none" w:sz="0" w:space="0" w:color="auto"/>
            <w:bottom w:val="none" w:sz="0" w:space="0" w:color="auto"/>
            <w:right w:val="none" w:sz="0" w:space="0" w:color="auto"/>
          </w:divBdr>
        </w:div>
        <w:div w:id="2013220209">
          <w:marLeft w:val="0"/>
          <w:marRight w:val="0"/>
          <w:marTop w:val="0"/>
          <w:marBottom w:val="0"/>
          <w:divBdr>
            <w:top w:val="none" w:sz="0" w:space="0" w:color="auto"/>
            <w:left w:val="none" w:sz="0" w:space="0" w:color="auto"/>
            <w:bottom w:val="none" w:sz="0" w:space="0" w:color="auto"/>
            <w:right w:val="none" w:sz="0" w:space="0" w:color="auto"/>
          </w:divBdr>
        </w:div>
        <w:div w:id="2074500880">
          <w:marLeft w:val="0"/>
          <w:marRight w:val="0"/>
          <w:marTop w:val="0"/>
          <w:marBottom w:val="0"/>
          <w:divBdr>
            <w:top w:val="none" w:sz="0" w:space="0" w:color="auto"/>
            <w:left w:val="none" w:sz="0" w:space="0" w:color="auto"/>
            <w:bottom w:val="none" w:sz="0" w:space="0" w:color="auto"/>
            <w:right w:val="none" w:sz="0" w:space="0" w:color="auto"/>
          </w:divBdr>
        </w:div>
        <w:div w:id="956908374">
          <w:marLeft w:val="0"/>
          <w:marRight w:val="0"/>
          <w:marTop w:val="0"/>
          <w:marBottom w:val="0"/>
          <w:divBdr>
            <w:top w:val="none" w:sz="0" w:space="0" w:color="auto"/>
            <w:left w:val="none" w:sz="0" w:space="0" w:color="auto"/>
            <w:bottom w:val="none" w:sz="0" w:space="0" w:color="auto"/>
            <w:right w:val="none" w:sz="0" w:space="0" w:color="auto"/>
          </w:divBdr>
          <w:divsChild>
            <w:div w:id="187453666">
              <w:marLeft w:val="0"/>
              <w:marRight w:val="0"/>
              <w:marTop w:val="0"/>
              <w:marBottom w:val="0"/>
              <w:divBdr>
                <w:top w:val="none" w:sz="0" w:space="0" w:color="auto"/>
                <w:left w:val="none" w:sz="0" w:space="0" w:color="auto"/>
                <w:bottom w:val="none" w:sz="0" w:space="0" w:color="auto"/>
                <w:right w:val="none" w:sz="0" w:space="0" w:color="auto"/>
              </w:divBdr>
            </w:div>
            <w:div w:id="403069729">
              <w:marLeft w:val="0"/>
              <w:marRight w:val="0"/>
              <w:marTop w:val="0"/>
              <w:marBottom w:val="0"/>
              <w:divBdr>
                <w:top w:val="none" w:sz="0" w:space="0" w:color="auto"/>
                <w:left w:val="none" w:sz="0" w:space="0" w:color="auto"/>
                <w:bottom w:val="none" w:sz="0" w:space="0" w:color="auto"/>
                <w:right w:val="none" w:sz="0" w:space="0" w:color="auto"/>
              </w:divBdr>
            </w:div>
            <w:div w:id="775171707">
              <w:marLeft w:val="0"/>
              <w:marRight w:val="0"/>
              <w:marTop w:val="0"/>
              <w:marBottom w:val="0"/>
              <w:divBdr>
                <w:top w:val="none" w:sz="0" w:space="0" w:color="auto"/>
                <w:left w:val="none" w:sz="0" w:space="0" w:color="auto"/>
                <w:bottom w:val="none" w:sz="0" w:space="0" w:color="auto"/>
                <w:right w:val="none" w:sz="0" w:space="0" w:color="auto"/>
              </w:divBdr>
            </w:div>
            <w:div w:id="1005281659">
              <w:marLeft w:val="0"/>
              <w:marRight w:val="0"/>
              <w:marTop w:val="0"/>
              <w:marBottom w:val="0"/>
              <w:divBdr>
                <w:top w:val="none" w:sz="0" w:space="0" w:color="auto"/>
                <w:left w:val="none" w:sz="0" w:space="0" w:color="auto"/>
                <w:bottom w:val="none" w:sz="0" w:space="0" w:color="auto"/>
                <w:right w:val="none" w:sz="0" w:space="0" w:color="auto"/>
              </w:divBdr>
            </w:div>
            <w:div w:id="1326937316">
              <w:marLeft w:val="0"/>
              <w:marRight w:val="0"/>
              <w:marTop w:val="0"/>
              <w:marBottom w:val="0"/>
              <w:divBdr>
                <w:top w:val="none" w:sz="0" w:space="0" w:color="auto"/>
                <w:left w:val="none" w:sz="0" w:space="0" w:color="auto"/>
                <w:bottom w:val="none" w:sz="0" w:space="0" w:color="auto"/>
                <w:right w:val="none" w:sz="0" w:space="0" w:color="auto"/>
              </w:divBdr>
            </w:div>
            <w:div w:id="174272970">
              <w:marLeft w:val="0"/>
              <w:marRight w:val="0"/>
              <w:marTop w:val="0"/>
              <w:marBottom w:val="0"/>
              <w:divBdr>
                <w:top w:val="none" w:sz="0" w:space="0" w:color="auto"/>
                <w:left w:val="none" w:sz="0" w:space="0" w:color="auto"/>
                <w:bottom w:val="none" w:sz="0" w:space="0" w:color="auto"/>
                <w:right w:val="none" w:sz="0" w:space="0" w:color="auto"/>
              </w:divBdr>
            </w:div>
            <w:div w:id="598560424">
              <w:marLeft w:val="0"/>
              <w:marRight w:val="0"/>
              <w:marTop w:val="0"/>
              <w:marBottom w:val="0"/>
              <w:divBdr>
                <w:top w:val="none" w:sz="0" w:space="0" w:color="auto"/>
                <w:left w:val="none" w:sz="0" w:space="0" w:color="auto"/>
                <w:bottom w:val="none" w:sz="0" w:space="0" w:color="auto"/>
                <w:right w:val="none" w:sz="0" w:space="0" w:color="auto"/>
              </w:divBdr>
            </w:div>
            <w:div w:id="3857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18-TDAG25.2-C-0037/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10787-4E1C-4A3A-B476-5D759471E319}"/>
</file>

<file path=customXml/itemProps2.xml><?xml version="1.0" encoding="utf-8"?>
<ds:datastoreItem xmlns:ds="http://schemas.openxmlformats.org/officeDocument/2006/customXml" ds:itemID="{2E6C86BA-09E9-46B2-A0A5-1EDCE8E5CBF8}"/>
</file>

<file path=customXml/itemProps3.xml><?xml version="1.0" encoding="utf-8"?>
<ds:datastoreItem xmlns:ds="http://schemas.openxmlformats.org/officeDocument/2006/customXml" ds:itemID="{3F72073A-FE92-4A5F-AC82-BCA09947BB80}"/>
</file>

<file path=customXml/itemProps4.xml><?xml version="1.0" encoding="utf-8"?>
<ds:datastoreItem xmlns:ds="http://schemas.openxmlformats.org/officeDocument/2006/customXml" ds:itemID="{D63A27F3-D80E-4055-B316-43BE16136691}"/>
</file>

<file path=docProps/app.xml><?xml version="1.0" encoding="utf-8"?>
<Properties xmlns="http://schemas.openxmlformats.org/officeDocument/2006/extended-properties" xmlns:vt="http://schemas.openxmlformats.org/officeDocument/2006/docPropsVTypes">
  <Template>Normal.dotm</Template>
  <TotalTime>10</TotalTime>
  <Pages>10</Pages>
  <Words>4363</Words>
  <Characters>24534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patricia.lusweti@itu.int</dc:creator>
  <cp:lastModifiedBy>Comas Barnes, Maite</cp:lastModifiedBy>
  <cp:revision>12</cp:revision>
  <cp:lastPrinted>2014-11-04T09:22:00Z</cp:lastPrinted>
  <dcterms:created xsi:type="dcterms:W3CDTF">2020-05-13T11:25:00Z</dcterms:created>
  <dcterms:modified xsi:type="dcterms:W3CDTF">2020-05-13T11:34:00Z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0x01010087413FF6915D684E968F677E18ADA217</vt:lpwstr>
  </property>
</Properties>
</file>