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91"/>
        <w:gridCol w:w="1838"/>
      </w:tblGrid>
      <w:tr w:rsidR="00267011" w:rsidRPr="00267011" w14:paraId="142AE7DD" w14:textId="77777777" w:rsidTr="005D74A6">
        <w:tc>
          <w:tcPr>
            <w:tcW w:w="8368" w:type="dxa"/>
            <w:gridSpan w:val="2"/>
            <w:vAlign w:val="center"/>
          </w:tcPr>
          <w:p w14:paraId="41E53AC8" w14:textId="77777777" w:rsidR="00267011" w:rsidRPr="00267011" w:rsidRDefault="00267011" w:rsidP="00267011">
            <w:pPr>
              <w:rPr>
                <w:b/>
                <w:bCs/>
                <w:lang w:val="fr-FR"/>
              </w:rPr>
            </w:pPr>
            <w:r w:rsidRPr="00267011">
              <w:rPr>
                <w:noProof/>
                <w:lang w:val="en-US"/>
              </w:rPr>
              <w:drawing>
                <wp:inline distT="0" distB="0" distL="0" distR="0" wp14:anchorId="10BCD86F" wp14:editId="37C7DAFD">
                  <wp:extent cx="2260121" cy="431207"/>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9632" cy="474995"/>
                          </a:xfrm>
                          <a:prstGeom prst="rect">
                            <a:avLst/>
                          </a:prstGeom>
                        </pic:spPr>
                      </pic:pic>
                    </a:graphicData>
                  </a:graphic>
                </wp:inline>
              </w:drawing>
            </w:r>
          </w:p>
        </w:tc>
        <w:tc>
          <w:tcPr>
            <w:tcW w:w="1838" w:type="dxa"/>
          </w:tcPr>
          <w:p w14:paraId="120CE7F2" w14:textId="77777777" w:rsidR="00267011" w:rsidRPr="00267011" w:rsidRDefault="00267011" w:rsidP="00267011">
            <w:pPr>
              <w:rPr>
                <w:lang w:val="fr-FR"/>
              </w:rPr>
            </w:pPr>
            <w:r w:rsidRPr="00267011">
              <w:rPr>
                <w:noProof/>
                <w:lang w:val="en-US"/>
              </w:rPr>
              <w:drawing>
                <wp:inline distT="0" distB="0" distL="0" distR="0" wp14:anchorId="0928EC63" wp14:editId="02014897">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267011" w:rsidRPr="00267011" w14:paraId="1627196C" w14:textId="77777777" w:rsidTr="005D74A6">
        <w:tc>
          <w:tcPr>
            <w:tcW w:w="2977" w:type="dxa"/>
          </w:tcPr>
          <w:p w14:paraId="4D0DBE8F" w14:textId="77777777" w:rsidR="00267011" w:rsidRPr="00267011" w:rsidRDefault="00267011" w:rsidP="00181B64">
            <w:pPr>
              <w:jc w:val="right"/>
              <w:rPr>
                <w:b/>
                <w:bCs/>
                <w:lang w:val="fr-FR"/>
              </w:rPr>
            </w:pPr>
            <w:r w:rsidRPr="00267011">
              <w:rPr>
                <w:b/>
                <w:bCs/>
                <w:sz w:val="28"/>
                <w:szCs w:val="22"/>
                <w:lang w:val="fr-FR"/>
              </w:rPr>
              <w:t>Séances de travail en petits groupes</w:t>
            </w:r>
            <w:r w:rsidRPr="00267011">
              <w:rPr>
                <w:b/>
                <w:bCs/>
                <w:sz w:val="28"/>
                <w:szCs w:val="22"/>
                <w:lang w:val="fr-FR"/>
              </w:rPr>
              <w:br/>
              <w:t>Réforme de la CMDT</w:t>
            </w:r>
          </w:p>
          <w:p w14:paraId="7510A65A" w14:textId="0BF41EDB" w:rsidR="00267011" w:rsidRPr="00E123D5" w:rsidRDefault="00267011" w:rsidP="00F46EE1">
            <w:pPr>
              <w:pStyle w:val="Headingb"/>
              <w:spacing w:before="480"/>
              <w:rPr>
                <w:lang w:val="fr-FR"/>
              </w:rPr>
            </w:pPr>
            <w:r w:rsidRPr="00E123D5">
              <w:rPr>
                <w:lang w:val="fr-FR"/>
              </w:rPr>
              <w:t>Thèmes examinés à l</w:t>
            </w:r>
            <w:r w:rsidR="0097430A" w:rsidRPr="00E123D5">
              <w:rPr>
                <w:lang w:val="fr-FR"/>
              </w:rPr>
              <w:t>'</w:t>
            </w:r>
            <w:r w:rsidRPr="00E123D5">
              <w:rPr>
                <w:lang w:val="fr-FR"/>
              </w:rPr>
              <w:t>occasion des séances en petits groupes</w:t>
            </w:r>
          </w:p>
          <w:p w14:paraId="1ACAC847" w14:textId="45584108" w:rsidR="00267011" w:rsidRPr="00267011" w:rsidRDefault="00267011" w:rsidP="00181B64">
            <w:pPr>
              <w:tabs>
                <w:tab w:val="clear" w:pos="794"/>
                <w:tab w:val="left" w:pos="454"/>
              </w:tabs>
              <w:ind w:left="454" w:hanging="454"/>
              <w:rPr>
                <w:lang w:val="fr-FR"/>
              </w:rPr>
            </w:pPr>
            <w:r w:rsidRPr="00267011">
              <w:rPr>
                <w:lang w:val="fr-FR"/>
              </w:rPr>
              <w:t>1</w:t>
            </w:r>
            <w:r w:rsidR="00181B64" w:rsidRPr="00E123D5">
              <w:rPr>
                <w:lang w:val="fr-FR"/>
              </w:rPr>
              <w:t>)</w:t>
            </w:r>
            <w:r w:rsidR="00181B64" w:rsidRPr="00E123D5">
              <w:rPr>
                <w:lang w:val="fr-FR"/>
              </w:rPr>
              <w:tab/>
            </w:r>
            <w:r w:rsidRPr="00267011">
              <w:rPr>
                <w:lang w:val="fr-FR"/>
              </w:rPr>
              <w:t>Processus préparatoire</w:t>
            </w:r>
          </w:p>
          <w:p w14:paraId="70720FC0" w14:textId="378A0EE0" w:rsidR="00267011" w:rsidRPr="00267011" w:rsidRDefault="00267011" w:rsidP="00181B64">
            <w:pPr>
              <w:tabs>
                <w:tab w:val="clear" w:pos="794"/>
                <w:tab w:val="left" w:pos="454"/>
              </w:tabs>
              <w:ind w:left="454" w:hanging="454"/>
              <w:rPr>
                <w:lang w:val="fr-FR"/>
              </w:rPr>
            </w:pPr>
            <w:r w:rsidRPr="00267011">
              <w:rPr>
                <w:lang w:val="fr-FR"/>
              </w:rPr>
              <w:t>2</w:t>
            </w:r>
            <w:r w:rsidR="00181B64" w:rsidRPr="00E123D5">
              <w:rPr>
                <w:lang w:val="fr-FR"/>
              </w:rPr>
              <w:t>)</w:t>
            </w:r>
            <w:r w:rsidR="00181B64" w:rsidRPr="00E123D5">
              <w:rPr>
                <w:lang w:val="fr-FR"/>
              </w:rPr>
              <w:tab/>
            </w:r>
            <w:r w:rsidRPr="00267011">
              <w:rPr>
                <w:lang w:val="fr-FR"/>
              </w:rPr>
              <w:t>Contenu et structure</w:t>
            </w:r>
          </w:p>
          <w:p w14:paraId="62D32F49" w14:textId="4A0E2B13" w:rsidR="00267011" w:rsidRPr="00267011" w:rsidRDefault="00267011" w:rsidP="00181B64">
            <w:pPr>
              <w:tabs>
                <w:tab w:val="clear" w:pos="794"/>
                <w:tab w:val="left" w:pos="454"/>
              </w:tabs>
              <w:ind w:left="454" w:hanging="454"/>
              <w:rPr>
                <w:lang w:val="fr-FR"/>
              </w:rPr>
            </w:pPr>
            <w:r w:rsidRPr="00267011">
              <w:rPr>
                <w:lang w:val="fr-FR"/>
              </w:rPr>
              <w:t>3</w:t>
            </w:r>
            <w:r w:rsidR="00181B64" w:rsidRPr="00E123D5">
              <w:rPr>
                <w:lang w:val="fr-FR"/>
              </w:rPr>
              <w:t>)</w:t>
            </w:r>
            <w:r w:rsidR="00181B64" w:rsidRPr="00E123D5">
              <w:rPr>
                <w:lang w:val="fr-FR"/>
              </w:rPr>
              <w:tab/>
            </w:r>
            <w:r w:rsidRPr="00267011">
              <w:rPr>
                <w:lang w:val="fr-FR"/>
              </w:rPr>
              <w:t>Mobilisation des parties prenantes</w:t>
            </w:r>
          </w:p>
          <w:p w14:paraId="5AC9EB25" w14:textId="7D8F1D87" w:rsidR="00267011" w:rsidRPr="00267011" w:rsidRDefault="00267011" w:rsidP="00181B64">
            <w:pPr>
              <w:tabs>
                <w:tab w:val="clear" w:pos="794"/>
                <w:tab w:val="left" w:pos="454"/>
              </w:tabs>
              <w:ind w:left="454" w:hanging="454"/>
              <w:rPr>
                <w:lang w:val="fr-FR"/>
              </w:rPr>
            </w:pPr>
            <w:r w:rsidRPr="00267011">
              <w:rPr>
                <w:lang w:val="fr-FR"/>
              </w:rPr>
              <w:t>4</w:t>
            </w:r>
            <w:r w:rsidR="00181B64" w:rsidRPr="00E123D5">
              <w:rPr>
                <w:lang w:val="fr-FR"/>
              </w:rPr>
              <w:t>)</w:t>
            </w:r>
            <w:r w:rsidR="00181B64" w:rsidRPr="00E123D5">
              <w:rPr>
                <w:lang w:val="fr-FR"/>
              </w:rPr>
              <w:tab/>
            </w:r>
            <w:r w:rsidRPr="00267011">
              <w:rPr>
                <w:lang w:val="fr-FR"/>
              </w:rPr>
              <w:t>Manifestations parallèles</w:t>
            </w:r>
          </w:p>
        </w:tc>
        <w:tc>
          <w:tcPr>
            <w:tcW w:w="7229" w:type="dxa"/>
            <w:gridSpan w:val="2"/>
          </w:tcPr>
          <w:p w14:paraId="344CD6B4" w14:textId="77777777" w:rsidR="00267011" w:rsidRPr="00E123D5" w:rsidRDefault="00267011" w:rsidP="00F46EE1">
            <w:pPr>
              <w:pStyle w:val="Headingb"/>
              <w:spacing w:before="1640"/>
              <w:rPr>
                <w:lang w:val="fr-FR"/>
              </w:rPr>
            </w:pPr>
            <w:r w:rsidRPr="00E123D5">
              <w:rPr>
                <w:lang w:val="fr-FR"/>
              </w:rPr>
              <w:t>Considérations générales</w:t>
            </w:r>
          </w:p>
          <w:p w14:paraId="02D58A0A" w14:textId="3FD98BB6" w:rsidR="00267011" w:rsidRPr="00267011" w:rsidRDefault="00267011" w:rsidP="00267011">
            <w:pPr>
              <w:rPr>
                <w:lang w:val="fr-FR"/>
              </w:rPr>
            </w:pPr>
            <w:r w:rsidRPr="00267011">
              <w:rPr>
                <w:lang w:val="fr-FR"/>
              </w:rPr>
              <w:t>La Conférence mondiale de développement des télécommunications (CMDT) est organisée tous les quatre ans et a pour mission de définir le programme du Secteur du développement des télécommunications (UIT-D) en matière de développement. La CMDT constitue également</w:t>
            </w:r>
            <w:r w:rsidR="00181B64" w:rsidRPr="00E123D5">
              <w:rPr>
                <w:lang w:val="fr-FR"/>
              </w:rPr>
              <w:t xml:space="preserve"> </w:t>
            </w:r>
            <w:r w:rsidRPr="00267011">
              <w:rPr>
                <w:lang w:val="fr-FR"/>
              </w:rPr>
              <w:t>une occasion unique pour la communauté internationale de se réunir et de débattre de l'avenir du secteur des TIC et de sa contribution au développement socio-économique. La CMDT est ouverte aux États Membres de l'UIT, aux Membres du Secteur de l'UIT-D et aux établissements universitaires participant aux travaux de l'UIT-D, ainsi qu'à certains observateurs (voir l'article 25 de la Convention de l'UIT et la Résolution 99 (Rév. Dubaï, 2018)) de la Conférence de plénipotentiaires.</w:t>
            </w:r>
          </w:p>
          <w:p w14:paraId="551D6285" w14:textId="1BC3E966" w:rsidR="00267011" w:rsidRPr="00267011" w:rsidRDefault="00267011" w:rsidP="00267011">
            <w:pPr>
              <w:rPr>
                <w:lang w:val="fr-FR"/>
              </w:rPr>
            </w:pPr>
            <w:r w:rsidRPr="00267011">
              <w:rPr>
                <w:lang w:val="fr-FR"/>
              </w:rPr>
              <w:t>En général, les résultats de la CMDT comprennent:</w:t>
            </w:r>
          </w:p>
          <w:p w14:paraId="63596DB2" w14:textId="4FA69209" w:rsidR="00267011" w:rsidRPr="00E123D5" w:rsidRDefault="00181B64" w:rsidP="00181B64">
            <w:pPr>
              <w:pStyle w:val="enumlev1"/>
              <w:rPr>
                <w:lang w:val="fr-FR"/>
              </w:rPr>
            </w:pPr>
            <w:r w:rsidRPr="00E123D5">
              <w:rPr>
                <w:lang w:val="fr-FR"/>
              </w:rPr>
              <w:t>•</w:t>
            </w:r>
            <w:r w:rsidRPr="00E123D5">
              <w:rPr>
                <w:lang w:val="fr-FR"/>
              </w:rPr>
              <w:tab/>
            </w:r>
            <w:r w:rsidR="00F46EE1">
              <w:rPr>
                <w:lang w:val="fr-FR"/>
              </w:rPr>
              <w:t>u</w:t>
            </w:r>
            <w:r w:rsidR="00267011" w:rsidRPr="00E123D5">
              <w:rPr>
                <w:lang w:val="fr-FR"/>
              </w:rPr>
              <w:t>ne déclaration qui renforce l</w:t>
            </w:r>
            <w:r w:rsidR="0097430A" w:rsidRPr="00E123D5">
              <w:rPr>
                <w:lang w:val="fr-FR"/>
              </w:rPr>
              <w:t>'</w:t>
            </w:r>
            <w:r w:rsidR="00267011" w:rsidRPr="00E123D5">
              <w:rPr>
                <w:lang w:val="fr-FR"/>
              </w:rPr>
              <w:t>appui politique en faveur de la mission et des objectifs stratégiques de l</w:t>
            </w:r>
            <w:r w:rsidR="0097430A" w:rsidRPr="00E123D5">
              <w:rPr>
                <w:lang w:val="fr-FR"/>
              </w:rPr>
              <w:t>'</w:t>
            </w:r>
            <w:r w:rsidR="00267011" w:rsidRPr="00E123D5">
              <w:rPr>
                <w:lang w:val="fr-FR"/>
              </w:rPr>
              <w:t>UIT-D;</w:t>
            </w:r>
          </w:p>
          <w:p w14:paraId="78D22D49" w14:textId="2316217C" w:rsidR="00267011" w:rsidRPr="00E123D5" w:rsidRDefault="00181B64" w:rsidP="00181B64">
            <w:pPr>
              <w:pStyle w:val="enumlev1"/>
              <w:rPr>
                <w:lang w:val="fr-FR"/>
              </w:rPr>
            </w:pPr>
            <w:r w:rsidRPr="00E123D5">
              <w:rPr>
                <w:lang w:val="fr-FR"/>
              </w:rPr>
              <w:t>•</w:t>
            </w:r>
            <w:r w:rsidRPr="00E123D5">
              <w:rPr>
                <w:lang w:val="fr-FR"/>
              </w:rPr>
              <w:tab/>
            </w:r>
            <w:r w:rsidR="00F46EE1">
              <w:rPr>
                <w:lang w:val="fr-FR"/>
              </w:rPr>
              <w:t>u</w:t>
            </w:r>
            <w:r w:rsidR="00267011" w:rsidRPr="00E123D5">
              <w:rPr>
                <w:lang w:val="fr-FR"/>
              </w:rPr>
              <w:t xml:space="preserve">ne contribution </w:t>
            </w:r>
            <w:r w:rsidR="00F46EE1">
              <w:rPr>
                <w:lang w:val="fr-FR"/>
              </w:rPr>
              <w:t>au P</w:t>
            </w:r>
            <w:r w:rsidR="00267011" w:rsidRPr="00E123D5">
              <w:rPr>
                <w:lang w:val="fr-FR"/>
              </w:rPr>
              <w:t>lan stratégique de l</w:t>
            </w:r>
            <w:r w:rsidR="0097430A" w:rsidRPr="00E123D5">
              <w:rPr>
                <w:lang w:val="fr-FR"/>
              </w:rPr>
              <w:t>'</w:t>
            </w:r>
            <w:r w:rsidR="00267011" w:rsidRPr="00E123D5">
              <w:rPr>
                <w:lang w:val="fr-FR"/>
              </w:rPr>
              <w:t>UIT suivant en ce qui concerne ses activités de développement;</w:t>
            </w:r>
          </w:p>
          <w:p w14:paraId="322051BE" w14:textId="637570D5" w:rsidR="00267011" w:rsidRPr="00E123D5" w:rsidRDefault="00181B64" w:rsidP="00181B64">
            <w:pPr>
              <w:pStyle w:val="enumlev1"/>
              <w:rPr>
                <w:lang w:val="fr-FR"/>
              </w:rPr>
            </w:pPr>
            <w:r w:rsidRPr="00E123D5">
              <w:rPr>
                <w:lang w:val="fr-FR"/>
              </w:rPr>
              <w:t>•</w:t>
            </w:r>
            <w:r w:rsidRPr="00E123D5">
              <w:rPr>
                <w:lang w:val="fr-FR"/>
              </w:rPr>
              <w:tab/>
            </w:r>
            <w:r w:rsidR="00F46EE1">
              <w:rPr>
                <w:lang w:val="fr-FR"/>
              </w:rPr>
              <w:t>u</w:t>
            </w:r>
            <w:r w:rsidR="00267011" w:rsidRPr="00E123D5">
              <w:rPr>
                <w:lang w:val="fr-FR"/>
              </w:rPr>
              <w:t>n Plan d</w:t>
            </w:r>
            <w:r w:rsidR="0097430A" w:rsidRPr="00E123D5">
              <w:rPr>
                <w:lang w:val="fr-FR"/>
              </w:rPr>
              <w:t>'</w:t>
            </w:r>
            <w:r w:rsidR="00267011" w:rsidRPr="00E123D5">
              <w:rPr>
                <w:lang w:val="fr-FR"/>
              </w:rPr>
              <w:t>action de l</w:t>
            </w:r>
            <w:r w:rsidR="0097430A" w:rsidRPr="00E123D5">
              <w:rPr>
                <w:lang w:val="fr-FR"/>
              </w:rPr>
              <w:t>'</w:t>
            </w:r>
            <w:r w:rsidR="00267011" w:rsidRPr="00E123D5">
              <w:rPr>
                <w:lang w:val="fr-FR"/>
              </w:rPr>
              <w:t>UIT-D comprenant les initiatives régionales et les résolutions et recommandations, nouvelles ou révisées, à l'appui des objectifs du Secteur;</w:t>
            </w:r>
          </w:p>
          <w:p w14:paraId="1CECA231" w14:textId="7E52CAC8" w:rsidR="00267011" w:rsidRPr="00E123D5" w:rsidRDefault="00181B64" w:rsidP="00181B64">
            <w:pPr>
              <w:pStyle w:val="enumlev1"/>
              <w:rPr>
                <w:lang w:val="fr-FR"/>
              </w:rPr>
            </w:pPr>
            <w:r w:rsidRPr="00E123D5">
              <w:rPr>
                <w:lang w:val="fr-FR"/>
              </w:rPr>
              <w:t>•</w:t>
            </w:r>
            <w:r w:rsidRPr="00E123D5">
              <w:rPr>
                <w:lang w:val="fr-FR"/>
              </w:rPr>
              <w:tab/>
            </w:r>
            <w:r w:rsidR="00F46EE1">
              <w:rPr>
                <w:lang w:val="fr-FR"/>
              </w:rPr>
              <w:t>d</w:t>
            </w:r>
            <w:r w:rsidR="00267011" w:rsidRPr="00E123D5">
              <w:rPr>
                <w:lang w:val="fr-FR"/>
              </w:rPr>
              <w:t>es Questions nouvelles ou révisées qui seront étudiées par les commissions d'études de l'UIT-D.</w:t>
            </w:r>
          </w:p>
          <w:p w14:paraId="3D17062C" w14:textId="20BEFFBE" w:rsidR="00267011" w:rsidRPr="00267011" w:rsidRDefault="00267011" w:rsidP="00267011">
            <w:pPr>
              <w:rPr>
                <w:lang w:val="fr-FR"/>
              </w:rPr>
            </w:pPr>
            <w:r w:rsidRPr="00267011">
              <w:rPr>
                <w:lang w:val="fr-FR"/>
              </w:rPr>
              <w:t>Confor</w:t>
            </w:r>
            <w:r w:rsidR="00F46EE1">
              <w:rPr>
                <w:lang w:val="fr-FR"/>
              </w:rPr>
              <w:t>mément à la Résolution 31 (Rév.</w:t>
            </w:r>
            <w:r w:rsidRPr="00267011">
              <w:rPr>
                <w:lang w:val="fr-FR"/>
              </w:rPr>
              <w:t>Buenos Aires, 2017), les réunions préparatoires régionales (RPM), qui visent à faire participer les membres aux travaux préparatoires en vue de la CMDT, sont organisées par le Bureau de développement des télécommunications (BDT). Plus précisément, les RPM ont pour objet de favoriser la coordination régionale avant la conférence proprement dite et de déterminer, au niveau régional, les questions qu</w:t>
            </w:r>
            <w:r w:rsidR="0097430A" w:rsidRPr="00E123D5">
              <w:rPr>
                <w:lang w:val="fr-FR"/>
              </w:rPr>
              <w:t>'</w:t>
            </w:r>
            <w:r w:rsidRPr="00267011">
              <w:rPr>
                <w:lang w:val="fr-FR"/>
              </w:rPr>
              <w:t>il faut examiner afin d'encourager le développement des TIC à l'échelle mondiale.</w:t>
            </w:r>
          </w:p>
          <w:p w14:paraId="37548DB1" w14:textId="61EB2FBC" w:rsidR="00267011" w:rsidRPr="00267011" w:rsidRDefault="00267011" w:rsidP="00181B64">
            <w:pPr>
              <w:keepNext/>
              <w:keepLines/>
              <w:rPr>
                <w:lang w:val="fr-FR"/>
              </w:rPr>
            </w:pPr>
            <w:r w:rsidRPr="00267011">
              <w:rPr>
                <w:lang w:val="fr-FR"/>
              </w:rPr>
              <w:lastRenderedPageBreak/>
              <w:t>La première CMDT, qui s'est tenue en 1994, était axée sur un petit nombre</w:t>
            </w:r>
            <w:r w:rsidR="00181B64" w:rsidRPr="00E123D5">
              <w:rPr>
                <w:lang w:val="fr-FR"/>
              </w:rPr>
              <w:t xml:space="preserve"> </w:t>
            </w:r>
            <w:r w:rsidRPr="00267011">
              <w:rPr>
                <w:lang w:val="fr-FR"/>
              </w:rPr>
              <w:t>d'activités. Elle a débouché s</w:t>
            </w:r>
            <w:r w:rsidR="00F46EE1">
              <w:rPr>
                <w:lang w:val="fr-FR"/>
              </w:rPr>
              <w:t>ur la rédaction d'un rapport de </w:t>
            </w:r>
            <w:r w:rsidRPr="00267011">
              <w:rPr>
                <w:lang w:val="fr-FR"/>
              </w:rPr>
              <w:t>166 pages contenant 11 Résolution</w:t>
            </w:r>
            <w:r w:rsidR="00F46EE1">
              <w:rPr>
                <w:lang w:val="fr-FR"/>
              </w:rPr>
              <w:t>s et 2 Recommandations, mais ne </w:t>
            </w:r>
            <w:r w:rsidRPr="00267011">
              <w:rPr>
                <w:lang w:val="fr-FR"/>
              </w:rPr>
              <w:t>comportant aucune initiative régionale. En revanche, la CMDT-17 a abouti à l'élaboration d'un rapport de 800 pages contenant 66 Résolutions, 5 Recommandations et 30 initiatives régionales. Lors de la dernière réunion du GCDT, il a été proposé d</w:t>
            </w:r>
            <w:r w:rsidR="0097430A" w:rsidRPr="00E123D5">
              <w:rPr>
                <w:lang w:val="fr-FR"/>
              </w:rPr>
              <w:t>'</w:t>
            </w:r>
            <w:r w:rsidRPr="00267011">
              <w:rPr>
                <w:lang w:val="fr-FR"/>
              </w:rPr>
              <w:t>engager une réforme de la CMDT-21, qui doit se tenir à Addis-Abeba du 8 au 19 novembre 2021, et de faire en sorte qu</w:t>
            </w:r>
            <w:r w:rsidR="0097430A" w:rsidRPr="00E123D5">
              <w:rPr>
                <w:lang w:val="fr-FR"/>
              </w:rPr>
              <w:t>'</w:t>
            </w:r>
            <w:r w:rsidRPr="00267011">
              <w:rPr>
                <w:lang w:val="fr-FR"/>
              </w:rPr>
              <w:t>elle</w:t>
            </w:r>
            <w:r w:rsidR="00181B64" w:rsidRPr="00E123D5">
              <w:rPr>
                <w:lang w:val="fr-FR"/>
              </w:rPr>
              <w:t xml:space="preserve"> </w:t>
            </w:r>
            <w:r w:rsidRPr="00267011">
              <w:rPr>
                <w:lang w:val="fr-FR"/>
              </w:rPr>
              <w:t>obtienne des résultats plus constructifs</w:t>
            </w:r>
            <w:r w:rsidR="00181B64" w:rsidRPr="00E123D5">
              <w:rPr>
                <w:lang w:val="fr-FR"/>
              </w:rPr>
              <w:t xml:space="preserve"> </w:t>
            </w:r>
            <w:r w:rsidRPr="00267011">
              <w:rPr>
                <w:lang w:val="fr-FR"/>
              </w:rPr>
              <w:t>. De même, les discussions sur le rôle des réunions préparatoires régionales (RPM) ont essentiellement porté sur la manière de rendre ces réunions plus efficientes et efficaces.</w:t>
            </w:r>
            <w:r w:rsidR="00181B64" w:rsidRPr="00E123D5">
              <w:rPr>
                <w:lang w:val="fr-FR"/>
              </w:rPr>
              <w:t xml:space="preserve"> </w:t>
            </w:r>
          </w:p>
          <w:p w14:paraId="41CC929F" w14:textId="09DCE88D" w:rsidR="00267011" w:rsidRPr="00267011" w:rsidRDefault="00267011" w:rsidP="00267011">
            <w:pPr>
              <w:rPr>
                <w:lang w:val="fr-FR"/>
              </w:rPr>
            </w:pPr>
            <w:r w:rsidRPr="00267011">
              <w:rPr>
                <w:lang w:val="fr-FR"/>
              </w:rPr>
              <w:t>Compte tenu de ce qui précède, les participants à la réunion de 2020 du GCDT auront la possibilité de présenter leurs idées sur la manière d'améliorer l'efficacité de la CMDT-21 et d'en débattre. Cette réunion, qui se tiendra le 4 juin de 9 h 30 à 12 h</w:t>
            </w:r>
            <w:r w:rsidR="00181B64" w:rsidRPr="00E123D5">
              <w:rPr>
                <w:lang w:val="fr-FR"/>
              </w:rPr>
              <w:t xml:space="preserve"> </w:t>
            </w:r>
            <w:r w:rsidRPr="00267011">
              <w:rPr>
                <w:lang w:val="fr-FR"/>
              </w:rPr>
              <w:t>30</w:t>
            </w:r>
            <w:r w:rsidR="00181B64" w:rsidRPr="00E123D5">
              <w:rPr>
                <w:lang w:val="fr-FR"/>
              </w:rPr>
              <w:t xml:space="preserve">, </w:t>
            </w:r>
            <w:r w:rsidRPr="00267011">
              <w:rPr>
                <w:lang w:val="fr-FR"/>
              </w:rPr>
              <w:t>débutera par une présentation en plénière visant à rappeler</w:t>
            </w:r>
            <w:r w:rsidR="00F46EE1">
              <w:rPr>
                <w:lang w:val="fr-FR"/>
              </w:rPr>
              <w:t xml:space="preserve"> l'objet et les objectifs de la </w:t>
            </w:r>
            <w:r w:rsidRPr="00267011">
              <w:rPr>
                <w:lang w:val="fr-FR"/>
              </w:rPr>
              <w:t>CMDT, les faits et</w:t>
            </w:r>
            <w:r w:rsidR="00181B64" w:rsidRPr="00E123D5">
              <w:rPr>
                <w:lang w:val="fr-FR"/>
              </w:rPr>
              <w:t xml:space="preserve"> </w:t>
            </w:r>
            <w:r w:rsidRPr="00267011">
              <w:rPr>
                <w:lang w:val="fr-FR"/>
              </w:rPr>
              <w:t>chiffres importants concernant les dernières CMDT, et les débats de la réunion de 2019 du GCDT sur la possibilité d'améliorer l'efficacité de la CMDT-21. À la suite de cette présentation en plénière, les participants seront invités à participer aux séances de travail de l'un des quatre petits groupes, dont chacun</w:t>
            </w:r>
            <w:r w:rsidR="00181B64" w:rsidRPr="00E123D5">
              <w:rPr>
                <w:lang w:val="fr-FR"/>
              </w:rPr>
              <w:t xml:space="preserve"> </w:t>
            </w:r>
            <w:r w:rsidRPr="00267011">
              <w:rPr>
                <w:lang w:val="fr-FR"/>
              </w:rPr>
              <w:t>se limitera à un aspect différent du processus de la CMDT. Une deuxième série de séances de travail</w:t>
            </w:r>
            <w:r w:rsidR="00181B64" w:rsidRPr="00E123D5">
              <w:rPr>
                <w:lang w:val="fr-FR"/>
              </w:rPr>
              <w:t xml:space="preserve"> </w:t>
            </w:r>
            <w:r w:rsidRPr="00267011">
              <w:rPr>
                <w:lang w:val="fr-FR"/>
              </w:rPr>
              <w:t>en petits groupes permettra aux participants de changer de groupe pour présenter leurs idées sur un deuxième thème et d'en débattre. La réunion s'achèvera par la présentation d'un rapport</w:t>
            </w:r>
            <w:r w:rsidR="00181B64" w:rsidRPr="00E123D5">
              <w:rPr>
                <w:lang w:val="fr-FR"/>
              </w:rPr>
              <w:t xml:space="preserve"> </w:t>
            </w:r>
            <w:r w:rsidRPr="00267011">
              <w:rPr>
                <w:lang w:val="fr-FR"/>
              </w:rPr>
              <w:t>sur</w:t>
            </w:r>
            <w:r w:rsidR="00181B64" w:rsidRPr="00E123D5">
              <w:rPr>
                <w:lang w:val="fr-FR"/>
              </w:rPr>
              <w:t xml:space="preserve"> </w:t>
            </w:r>
            <w:r w:rsidRPr="00267011">
              <w:rPr>
                <w:lang w:val="fr-FR"/>
              </w:rPr>
              <w:t>les résultats des discussions en petits groupes, et en particulier sur les questions à traiter concernant chacun des thèmes abordés en petits groupes, comme indiqué ci-dessous. Les résultats de cette réunion constitueront une contribution importante au processus de préparation et de planification de la CMDT-21.</w:t>
            </w:r>
          </w:p>
          <w:p w14:paraId="6021B700" w14:textId="77777777" w:rsidR="00267011" w:rsidRPr="00267011" w:rsidRDefault="00267011" w:rsidP="00267011">
            <w:pPr>
              <w:rPr>
                <w:lang w:val="fr-FR"/>
              </w:rPr>
            </w:pPr>
            <w:r w:rsidRPr="00267011">
              <w:rPr>
                <w:lang w:val="fr-FR"/>
              </w:rPr>
              <w:t xml:space="preserve">Chacun des petits groupes se concentrera sur l'un des quatre thèmes suivants. Chaque thème constitue un domaine dans lequel il est possible d'apporter des améliorations. </w:t>
            </w:r>
          </w:p>
          <w:p w14:paraId="087661A8" w14:textId="77777777" w:rsidR="00267011" w:rsidRPr="00E123D5" w:rsidRDefault="00267011" w:rsidP="00181B64">
            <w:pPr>
              <w:pStyle w:val="Headingb"/>
              <w:rPr>
                <w:lang w:val="fr-FR"/>
              </w:rPr>
            </w:pPr>
            <w:r w:rsidRPr="00E123D5">
              <w:rPr>
                <w:lang w:val="fr-FR"/>
              </w:rPr>
              <w:t>Thème 1 – Processus préparatoire</w:t>
            </w:r>
          </w:p>
          <w:p w14:paraId="408D17AA" w14:textId="14E928FF" w:rsidR="00267011" w:rsidRPr="00267011" w:rsidRDefault="00267011" w:rsidP="00267011">
            <w:pPr>
              <w:rPr>
                <w:lang w:val="fr-FR"/>
              </w:rPr>
            </w:pPr>
            <w:r w:rsidRPr="00267011">
              <w:rPr>
                <w:lang w:val="fr-FR"/>
              </w:rPr>
              <w:t>Le processus préparatoire actuel, décrit dans la Résolution 31, existe depuis plusieurs années. Toutefois, au cours des discussions menées lors de la réunion de 2019 du GCDT, il a été souligné que la forme actuelle n</w:t>
            </w:r>
            <w:r w:rsidR="0097430A" w:rsidRPr="00E123D5">
              <w:rPr>
                <w:lang w:val="fr-FR"/>
              </w:rPr>
              <w:t>'</w:t>
            </w:r>
            <w:r w:rsidRPr="00267011">
              <w:rPr>
                <w:lang w:val="fr-FR"/>
              </w:rPr>
              <w:t>est peut-être pas</w:t>
            </w:r>
            <w:r w:rsidR="00181B64" w:rsidRPr="00E123D5">
              <w:rPr>
                <w:lang w:val="fr-FR"/>
              </w:rPr>
              <w:t xml:space="preserve"> </w:t>
            </w:r>
            <w:r w:rsidRPr="00267011">
              <w:rPr>
                <w:lang w:val="fr-FR"/>
              </w:rPr>
              <w:t>la plus susceptible de faire aboutir les discussions et les négociations entre les membres. Le processus préparatoire en vue de la CMDT répond-il encore à ses objectifs? Comment assurer une meilleure intégration de ce processus avec le processus préparatoire des organisations régionales de télécommunication? Faudrait-il organiser des réunions interrégionales informelles et, dans l</w:t>
            </w:r>
            <w:r w:rsidR="0097430A" w:rsidRPr="00E123D5">
              <w:rPr>
                <w:lang w:val="fr-FR"/>
              </w:rPr>
              <w:t>'</w:t>
            </w:r>
            <w:r w:rsidRPr="00267011">
              <w:rPr>
                <w:lang w:val="fr-FR"/>
              </w:rPr>
              <w:t>affirmative, quelle devrait en être la forme? Les</w:t>
            </w:r>
            <w:r w:rsidR="00F46EE1">
              <w:rPr>
                <w:lang w:val="fr-FR"/>
              </w:rPr>
              <w:t> </w:t>
            </w:r>
            <w:r w:rsidRPr="00267011">
              <w:rPr>
                <w:lang w:val="fr-FR"/>
              </w:rPr>
              <w:t>réunions interrégionales informelles devraient-elles servir à favoriser la conclusion d</w:t>
            </w:r>
            <w:r w:rsidR="0097430A" w:rsidRPr="00E123D5">
              <w:rPr>
                <w:lang w:val="fr-FR"/>
              </w:rPr>
              <w:t>'</w:t>
            </w:r>
            <w:r w:rsidRPr="00267011">
              <w:rPr>
                <w:lang w:val="fr-FR"/>
              </w:rPr>
              <w:t>accords avant la conférence (par exemple sur les questions d</w:t>
            </w:r>
            <w:r w:rsidR="0097430A" w:rsidRPr="00E123D5">
              <w:rPr>
                <w:lang w:val="fr-FR"/>
              </w:rPr>
              <w:t>'</w:t>
            </w:r>
            <w:r w:rsidRPr="00267011">
              <w:rPr>
                <w:lang w:val="fr-FR"/>
              </w:rPr>
              <w:t>ordre administratif), afin que la conférence dispose de plus de temps pour étudier les questions de développement des TIC revêtant une importance fondamentale?</w:t>
            </w:r>
          </w:p>
          <w:p w14:paraId="7FD19FFB" w14:textId="77777777" w:rsidR="00267011" w:rsidRPr="00E123D5" w:rsidRDefault="00267011" w:rsidP="00181B64">
            <w:pPr>
              <w:pStyle w:val="Headingb"/>
              <w:rPr>
                <w:lang w:val="fr-FR"/>
              </w:rPr>
            </w:pPr>
            <w:r w:rsidRPr="00E123D5">
              <w:rPr>
                <w:lang w:val="fr-FR"/>
              </w:rPr>
              <w:t>Thème 2 – Contenu et structure</w:t>
            </w:r>
          </w:p>
          <w:p w14:paraId="27F36E79" w14:textId="09B79648" w:rsidR="00267011" w:rsidRPr="00267011" w:rsidRDefault="00267011" w:rsidP="00267011">
            <w:pPr>
              <w:rPr>
                <w:lang w:val="fr-FR"/>
              </w:rPr>
            </w:pPr>
            <w:r w:rsidRPr="00267011">
              <w:rPr>
                <w:lang w:val="fr-FR"/>
              </w:rPr>
              <w:t>Il a été noté que les problèmes de développement importants n'étaient pas suffisamment traités lors de la CMDT et que l'on pouvait rendre l'ordre du jour de la conférence plus intéressant pour les décideurs de haut rang et les dirigeants du monde entier. Comment améliorer l'ordre du jour pour que la CMDT soit mieux adaptée aux besoins et suscite davantage d</w:t>
            </w:r>
            <w:r w:rsidR="0097430A" w:rsidRPr="00E123D5">
              <w:rPr>
                <w:lang w:val="fr-FR"/>
              </w:rPr>
              <w:t>'</w:t>
            </w:r>
            <w:r w:rsidRPr="00267011">
              <w:rPr>
                <w:lang w:val="fr-FR"/>
              </w:rPr>
              <w:t>intérêt? Comment recentrer le mandat de la conférence sur les problèmes de développement des TIC qui revêtent une importance essentielle et réorienter les engagements des bailleurs de fonds en faveur du financement des projets sur les TIC au service du développement? Comment pouvons-nous améliorer la contribution de la CMDT au plan stratégique de l'UIT? La CMDT est-elle l</w:t>
            </w:r>
            <w:r w:rsidR="0097430A" w:rsidRPr="00E123D5">
              <w:rPr>
                <w:lang w:val="fr-FR"/>
              </w:rPr>
              <w:t>'</w:t>
            </w:r>
            <w:r w:rsidRPr="00267011">
              <w:rPr>
                <w:lang w:val="fr-FR"/>
              </w:rPr>
              <w:t>instance la mieux placée</w:t>
            </w:r>
            <w:r w:rsidR="00181B64" w:rsidRPr="00E123D5">
              <w:rPr>
                <w:lang w:val="fr-FR"/>
              </w:rPr>
              <w:t xml:space="preserve"> </w:t>
            </w:r>
            <w:r w:rsidRPr="00267011">
              <w:rPr>
                <w:lang w:val="fr-FR"/>
              </w:rPr>
              <w:t>pour discuter de la contribution de l'UIT-D au plan stratégique de l'UIT? Comment renforcer les liens entre les travaux des commissions d'études et les travaux thématiques/les activités menées au titre des programmes, et comment rendre les résultats des commissions d'études plus utiles et pertinents et les produire plus rapidement? Chaque région devrait-elle élaborer des initiatives régionales distinctes</w:t>
            </w:r>
            <w:r w:rsidR="00181B64" w:rsidRPr="00E123D5">
              <w:rPr>
                <w:lang w:val="fr-FR"/>
              </w:rPr>
              <w:t>?</w:t>
            </w:r>
            <w:r w:rsidRPr="00267011">
              <w:rPr>
                <w:lang w:val="fr-FR"/>
              </w:rPr>
              <w:t xml:space="preserve"> </w:t>
            </w:r>
          </w:p>
          <w:p w14:paraId="40E1EF66" w14:textId="77777777" w:rsidR="00267011" w:rsidRPr="00E123D5" w:rsidRDefault="00267011" w:rsidP="00181B64">
            <w:pPr>
              <w:pStyle w:val="Headingb"/>
              <w:rPr>
                <w:lang w:val="fr-FR"/>
              </w:rPr>
            </w:pPr>
            <w:r w:rsidRPr="00E123D5">
              <w:rPr>
                <w:lang w:val="fr-FR"/>
              </w:rPr>
              <w:t>Thème 3 – Mobilisation des parties prenantes</w:t>
            </w:r>
          </w:p>
          <w:p w14:paraId="36A9F4EC" w14:textId="2CC46748" w:rsidR="00267011" w:rsidRPr="00267011" w:rsidRDefault="00267011" w:rsidP="00267011">
            <w:pPr>
              <w:rPr>
                <w:lang w:val="fr-FR"/>
              </w:rPr>
            </w:pPr>
            <w:r w:rsidRPr="00267011">
              <w:rPr>
                <w:lang w:val="fr-FR"/>
              </w:rPr>
              <w:t>Bien que</w:t>
            </w:r>
            <w:r w:rsidR="00181B64" w:rsidRPr="00E123D5">
              <w:rPr>
                <w:lang w:val="fr-FR"/>
              </w:rPr>
              <w:t xml:space="preserve"> </w:t>
            </w:r>
            <w:r w:rsidRPr="00267011">
              <w:rPr>
                <w:lang w:val="fr-FR"/>
              </w:rPr>
              <w:t>plus de 1 300 participants aient participé à la CMDT-17, seuls</w:t>
            </w:r>
            <w:r w:rsidR="00F46EE1">
              <w:rPr>
                <w:lang w:val="fr-FR"/>
              </w:rPr>
              <w:t> </w:t>
            </w:r>
            <w:r w:rsidRPr="00267011">
              <w:rPr>
                <w:lang w:val="fr-FR"/>
              </w:rPr>
              <w:t xml:space="preserve">69% des </w:t>
            </w:r>
            <w:r w:rsidR="00181B64" w:rsidRPr="00E123D5">
              <w:rPr>
                <w:lang w:val="fr-FR"/>
              </w:rPr>
              <w:t>États</w:t>
            </w:r>
            <w:r w:rsidRPr="00267011">
              <w:rPr>
                <w:lang w:val="fr-FR"/>
              </w:rPr>
              <w:t xml:space="preserve"> Membres et 21% </w:t>
            </w:r>
            <w:r w:rsidR="00F46EE1">
              <w:rPr>
                <w:lang w:val="fr-FR"/>
              </w:rPr>
              <w:t>des Membres du Secteur de l'UIT</w:t>
            </w:r>
            <w:r w:rsidR="00F46EE1">
              <w:rPr>
                <w:lang w:val="fr-FR"/>
              </w:rPr>
              <w:noBreakHyphen/>
            </w:r>
            <w:r w:rsidRPr="00267011">
              <w:rPr>
                <w:lang w:val="fr-FR"/>
              </w:rPr>
              <w:t>D y étaient représentés. Pour garantir que la CMDT soit efficace et utile, la participation des personnes qui comptent, notamment des principaux décideurs et influenceurs, sera primordiale. Quels sont les groupes de membres</w:t>
            </w:r>
            <w:r w:rsidR="00181B64" w:rsidRPr="00E123D5">
              <w:rPr>
                <w:lang w:val="fr-FR"/>
              </w:rPr>
              <w:t>,</w:t>
            </w:r>
            <w:r w:rsidR="00F151B6" w:rsidRPr="00E123D5">
              <w:rPr>
                <w:lang w:val="fr-FR"/>
              </w:rPr>
              <w:t xml:space="preserve"> </w:t>
            </w:r>
            <w:r w:rsidRPr="00267011">
              <w:rPr>
                <w:lang w:val="fr-FR"/>
              </w:rPr>
              <w:t>actuels ou nouvea</w:t>
            </w:r>
            <w:r w:rsidR="00F46EE1">
              <w:rPr>
                <w:lang w:val="fr-FR"/>
              </w:rPr>
              <w:t>ux, qui doivent participer à la </w:t>
            </w:r>
            <w:r w:rsidRPr="00267011">
              <w:rPr>
                <w:lang w:val="fr-FR"/>
              </w:rPr>
              <w:t>CMDT (par exemple les représentants des gouvernements, y compris les représentants d'autres ministères, des autres institutions des Nations Unies, des institutions</w:t>
            </w:r>
            <w:r w:rsidR="00181B64" w:rsidRPr="00E123D5">
              <w:rPr>
                <w:lang w:val="fr-FR"/>
              </w:rPr>
              <w:t xml:space="preserve"> </w:t>
            </w:r>
            <w:r w:rsidRPr="00267011">
              <w:rPr>
                <w:lang w:val="fr-FR"/>
              </w:rPr>
              <w:t>de financement multilatérales/</w:t>
            </w:r>
            <w:r w:rsidR="000535C6">
              <w:rPr>
                <w:lang w:val="fr-FR"/>
              </w:rPr>
              <w:br/>
            </w:r>
            <w:r w:rsidRPr="00267011">
              <w:rPr>
                <w:lang w:val="fr-FR"/>
              </w:rPr>
              <w:t>bilatérales, les P</w:t>
            </w:r>
            <w:r w:rsidR="000535C6">
              <w:rPr>
                <w:lang w:val="fr-FR"/>
              </w:rPr>
              <w:t>.-</w:t>
            </w:r>
            <w:r w:rsidRPr="00267011">
              <w:rPr>
                <w:lang w:val="fr-FR"/>
              </w:rPr>
              <w:t>D</w:t>
            </w:r>
            <w:r w:rsidR="000535C6">
              <w:rPr>
                <w:lang w:val="fr-FR"/>
              </w:rPr>
              <w:t xml:space="preserve">. </w:t>
            </w:r>
            <w:r w:rsidRPr="00267011">
              <w:rPr>
                <w:lang w:val="fr-FR"/>
              </w:rPr>
              <w:t>G</w:t>
            </w:r>
            <w:r w:rsidR="000535C6">
              <w:rPr>
                <w:lang w:val="fr-FR"/>
              </w:rPr>
              <w:t>.</w:t>
            </w:r>
            <w:r w:rsidRPr="00267011">
              <w:rPr>
                <w:lang w:val="fr-FR"/>
              </w:rPr>
              <w:t>, les établissements universitaires, la société civile, la jeunesse), et dans quelle proportion? Que pouvons-nous faire à la CMDT pour garantir la présence et la participation active de ces groupes de membres et de leurs décideurs de haut rang? Comment associer ces parties prenantes au</w:t>
            </w:r>
            <w:r w:rsidR="00181B64" w:rsidRPr="00E123D5">
              <w:rPr>
                <w:lang w:val="fr-FR"/>
              </w:rPr>
              <w:t xml:space="preserve"> </w:t>
            </w:r>
            <w:r w:rsidRPr="00267011">
              <w:rPr>
                <w:lang w:val="fr-FR"/>
              </w:rPr>
              <w:t>processus préparatoire de la CMDT (consultations en ligne, réunions publiques ou réunions préparatoires, par exemple)?</w:t>
            </w:r>
          </w:p>
          <w:p w14:paraId="3125C58C" w14:textId="77777777" w:rsidR="00267011" w:rsidRPr="00E123D5" w:rsidRDefault="00267011" w:rsidP="00181B64">
            <w:pPr>
              <w:pStyle w:val="Headingb"/>
              <w:keepLines/>
              <w:rPr>
                <w:lang w:val="fr-FR"/>
              </w:rPr>
            </w:pPr>
            <w:r w:rsidRPr="00E123D5">
              <w:rPr>
                <w:lang w:val="fr-FR"/>
              </w:rPr>
              <w:t>Thème 4 – Manifestations parallèles</w:t>
            </w:r>
          </w:p>
          <w:p w14:paraId="62BD605F" w14:textId="50E6D579" w:rsidR="00267011" w:rsidRPr="00267011" w:rsidRDefault="00267011" w:rsidP="00F151B6">
            <w:pPr>
              <w:keepNext/>
              <w:keepLines/>
              <w:spacing w:after="120"/>
              <w:rPr>
                <w:lang w:val="fr-FR"/>
              </w:rPr>
            </w:pPr>
            <w:r w:rsidRPr="00267011">
              <w:rPr>
                <w:lang w:val="fr-FR"/>
              </w:rPr>
              <w:t>Ces dern</w:t>
            </w:r>
            <w:bookmarkStart w:id="0" w:name="_GoBack"/>
            <w:bookmarkEnd w:id="0"/>
            <w:r w:rsidRPr="00267011">
              <w:rPr>
                <w:lang w:val="fr-FR"/>
              </w:rPr>
              <w:t>ières années, des manifestations parallèles thématiques axées sur des domaines qui présentent de l</w:t>
            </w:r>
            <w:r w:rsidR="0097430A" w:rsidRPr="00E123D5">
              <w:rPr>
                <w:lang w:val="fr-FR"/>
              </w:rPr>
              <w:t>'</w:t>
            </w:r>
            <w:r w:rsidRPr="00267011">
              <w:rPr>
                <w:lang w:val="fr-FR"/>
              </w:rPr>
              <w:t>intérêt pour les membres (par exemple les jeunes,</w:t>
            </w:r>
            <w:r w:rsidR="00181B64" w:rsidRPr="00E123D5">
              <w:rPr>
                <w:lang w:val="fr-FR"/>
              </w:rPr>
              <w:t xml:space="preserve"> </w:t>
            </w:r>
            <w:r w:rsidRPr="00267011">
              <w:rPr>
                <w:lang w:val="fr-FR"/>
              </w:rPr>
              <w:t>le SMSI, la cybersécurité, etc.) ont eu lieu en marge de la conférence. Ces discussions approfondies devraient-elles continuer d</w:t>
            </w:r>
            <w:r w:rsidR="0097430A" w:rsidRPr="00E123D5">
              <w:rPr>
                <w:lang w:val="fr-FR"/>
              </w:rPr>
              <w:t>'</w:t>
            </w:r>
            <w:r w:rsidRPr="00267011">
              <w:rPr>
                <w:lang w:val="fr-FR"/>
              </w:rPr>
              <w:t>avoir lieu dans le cadre de</w:t>
            </w:r>
            <w:r w:rsidR="00181B64" w:rsidRPr="00E123D5">
              <w:rPr>
                <w:lang w:val="fr-FR"/>
              </w:rPr>
              <w:t xml:space="preserve"> </w:t>
            </w:r>
            <w:r w:rsidRPr="00267011">
              <w:rPr>
                <w:lang w:val="fr-FR"/>
              </w:rPr>
              <w:t>manifestations parallèles, ou devraient-elles faire partie intégrante de la conférence? Quels thèmes devraient être débattus lors de ces manifestations parallèles et du Sommet pour la jeunesse? Comment ces thèmes devraient-ils être structurés (sessions thématiques, programmes de haut niveau, expositions, par exemple etc.)? Sur quels résultats devraient déboucher ces manifestations?</w:t>
            </w:r>
          </w:p>
        </w:tc>
      </w:tr>
      <w:tr w:rsidR="002C1019" w:rsidRPr="00267011" w14:paraId="698E3CBC" w14:textId="77777777" w:rsidTr="008B3A51">
        <w:tc>
          <w:tcPr>
            <w:tcW w:w="2977" w:type="dxa"/>
          </w:tcPr>
          <w:p w14:paraId="7506EFD7" w14:textId="1DE8AE54" w:rsidR="002C1019" w:rsidRPr="00267011" w:rsidRDefault="002C1019" w:rsidP="002C1019">
            <w:pPr>
              <w:jc w:val="right"/>
              <w:rPr>
                <w:lang w:val="fr-FR"/>
              </w:rPr>
            </w:pPr>
            <w:r w:rsidRPr="00267011">
              <w:rPr>
                <w:b/>
                <w:bCs/>
                <w:lang w:val="fr-FR"/>
              </w:rPr>
              <w:lastRenderedPageBreak/>
              <w:t>De plus amples renseignements sur la réunion de 2020 du GCDT sont disponibles à l'adresse suivante:</w:t>
            </w:r>
            <w:r w:rsidRPr="00267011">
              <w:rPr>
                <w:b/>
                <w:bCs/>
                <w:lang w:val="fr-FR"/>
              </w:rPr>
              <w:br/>
            </w:r>
            <w:hyperlink r:id="rId10" w:history="1">
              <w:r w:rsidRPr="00267011">
                <w:rPr>
                  <w:rStyle w:val="Hyperlink"/>
                  <w:lang w:val="fr-FR"/>
                </w:rPr>
                <w:t>www.itu.int/ITU-D/TDAG</w:t>
              </w:r>
            </w:hyperlink>
            <w:r w:rsidRPr="00267011">
              <w:rPr>
                <w:lang w:val="fr-FR"/>
              </w:rPr>
              <w:t xml:space="preserve"> </w:t>
            </w:r>
          </w:p>
        </w:tc>
        <w:tc>
          <w:tcPr>
            <w:tcW w:w="7229" w:type="dxa"/>
            <w:gridSpan w:val="2"/>
          </w:tcPr>
          <w:p w14:paraId="0116FA55" w14:textId="13A77DD0" w:rsidR="002C1019" w:rsidRPr="00267011" w:rsidRDefault="002C1019" w:rsidP="00267011">
            <w:pPr>
              <w:rPr>
                <w:lang w:val="fr-FR"/>
              </w:rPr>
            </w:pPr>
            <w:r w:rsidRPr="00267011">
              <w:rPr>
                <w:b/>
                <w:bCs/>
                <w:lang w:val="fr-FR"/>
              </w:rPr>
              <w:t>Le présent document d'information a pour objet de faciliter les discussions et n'a pas vocation à être exhaustif</w:t>
            </w:r>
            <w:r>
              <w:rPr>
                <w:b/>
                <w:bCs/>
                <w:lang w:val="fr-FR"/>
              </w:rPr>
              <w:t>.</w:t>
            </w:r>
          </w:p>
        </w:tc>
      </w:tr>
    </w:tbl>
    <w:p w14:paraId="6B2623CB" w14:textId="77777777" w:rsidR="00F46EE1" w:rsidRDefault="00F46EE1" w:rsidP="00411C49">
      <w:pPr>
        <w:pStyle w:val="Reasons"/>
      </w:pPr>
    </w:p>
    <w:p w14:paraId="79648C3E" w14:textId="3BF2C607" w:rsidR="00267011" w:rsidRPr="00E123D5" w:rsidRDefault="00F46EE1" w:rsidP="00F46EE1">
      <w:pPr>
        <w:jc w:val="center"/>
        <w:rPr>
          <w:lang w:val="fr-FR"/>
        </w:rPr>
      </w:pPr>
      <w:r>
        <w:t>______________</w:t>
      </w:r>
    </w:p>
    <w:sectPr w:rsidR="00267011" w:rsidRPr="00E123D5"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6BB7" w14:textId="77777777" w:rsidR="00267011" w:rsidRDefault="00267011">
      <w:r>
        <w:separator/>
      </w:r>
    </w:p>
  </w:endnote>
  <w:endnote w:type="continuationSeparator" w:id="0">
    <w:p w14:paraId="136653A3" w14:textId="77777777" w:rsidR="00267011" w:rsidRDefault="0026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077F" w14:textId="77777777" w:rsidR="0097430A" w:rsidRDefault="0097430A" w:rsidP="0097430A">
    <w:pPr>
      <w:pStyle w:val="Footer"/>
    </w:pPr>
    <w:fldSimple w:instr=" FILENAME \p  \* MERGEFORMAT ">
      <w:r>
        <w:t>P:\FRA\ITU-D\BDT\DDIR\DIV\470792F.docx</w:t>
      </w:r>
    </w:fldSimple>
    <w:r>
      <w:t xml:space="preserve"> (470792)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49B2" w14:textId="145B83DB" w:rsidR="0097430A" w:rsidRDefault="00201594" w:rsidP="0097430A">
    <w:pPr>
      <w:pStyle w:val="Footer"/>
    </w:pPr>
    <w:r>
      <w:fldChar w:fldCharType="begin"/>
    </w:r>
    <w:r>
      <w:instrText xml:space="preserve"> FILENAME \p  \* MERGEFORMAT </w:instrText>
    </w:r>
    <w:r>
      <w:fldChar w:fldCharType="separate"/>
    </w:r>
    <w:r w:rsidR="0097430A">
      <w:t>P:\FRA\ITU-D\BDT\DDIR\DIV\470792F.docx</w:t>
    </w:r>
    <w:r>
      <w:fldChar w:fldCharType="end"/>
    </w:r>
    <w:r w:rsidR="0097430A">
      <w:t xml:space="preserve"> (470792)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5E60" w14:textId="77777777" w:rsidR="00267011" w:rsidRDefault="00267011">
      <w:r>
        <w:t>____________________</w:t>
      </w:r>
    </w:p>
  </w:footnote>
  <w:footnote w:type="continuationSeparator" w:id="0">
    <w:p w14:paraId="5E26516D" w14:textId="77777777" w:rsidR="00267011" w:rsidRDefault="0026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15019"/>
      <w:docPartObj>
        <w:docPartGallery w:val="Page Numbers (Top of Page)"/>
        <w:docPartUnique/>
      </w:docPartObj>
    </w:sdtPr>
    <w:sdtEndPr>
      <w:rPr>
        <w:noProof/>
      </w:rPr>
    </w:sdtEndPr>
    <w:sdtContent>
      <w:p w14:paraId="18B44933" w14:textId="1034374C" w:rsidR="00267011" w:rsidRDefault="00267011">
        <w:pPr>
          <w:pStyle w:val="Header"/>
        </w:pPr>
        <w:r>
          <w:fldChar w:fldCharType="begin"/>
        </w:r>
        <w:r>
          <w:instrText xml:space="preserve"> PAGE   \* MERGEFORMAT </w:instrText>
        </w:r>
        <w:r>
          <w:fldChar w:fldCharType="separate"/>
        </w:r>
        <w:r w:rsidR="002C1019">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11"/>
    <w:rsid w:val="00002716"/>
    <w:rsid w:val="00005791"/>
    <w:rsid w:val="00010827"/>
    <w:rsid w:val="00015089"/>
    <w:rsid w:val="0002520B"/>
    <w:rsid w:val="00037A9E"/>
    <w:rsid w:val="00037F91"/>
    <w:rsid w:val="000535C6"/>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1B64"/>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67011"/>
    <w:rsid w:val="002715FD"/>
    <w:rsid w:val="002770B1"/>
    <w:rsid w:val="00285B33"/>
    <w:rsid w:val="00287A3C"/>
    <w:rsid w:val="002A2FC6"/>
    <w:rsid w:val="002C1019"/>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430A"/>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23EF2"/>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23D5"/>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E3A64"/>
    <w:rsid w:val="00EE50E5"/>
    <w:rsid w:val="00EF01CF"/>
    <w:rsid w:val="00F03590"/>
    <w:rsid w:val="00F03622"/>
    <w:rsid w:val="00F077FD"/>
    <w:rsid w:val="00F151B6"/>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6EE1"/>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D1040"/>
  <w15:docId w15:val="{7332D006-1A60-4721-8138-7DA5719E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UnresolvedMention">
    <w:name w:val="Unresolved Mention"/>
    <w:basedOn w:val="DefaultParagraphFont"/>
    <w:uiPriority w:val="99"/>
    <w:semiHidden/>
    <w:unhideWhenUsed/>
    <w:rsid w:val="00267011"/>
    <w:rPr>
      <w:color w:val="605E5C"/>
      <w:shd w:val="clear" w:color="auto" w:fill="E1DFDD"/>
    </w:rPr>
  </w:style>
  <w:style w:type="character" w:styleId="FollowedHyperlink">
    <w:name w:val="FollowedHyperlink"/>
    <w:basedOn w:val="DefaultParagraphFont"/>
    <w:semiHidden/>
    <w:unhideWhenUsed/>
    <w:rsid w:val="00181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fr/ITU-D/Conferences/TDAG/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FA6E678C-910D-4103-B425-D5CB67C3EDE1}"/>
</file>

<file path=customXml/itemProps2.xml><?xml version="1.0" encoding="utf-8"?>
<ds:datastoreItem xmlns:ds="http://schemas.openxmlformats.org/officeDocument/2006/customXml" ds:itemID="{8B34B46B-9FB9-46AC-8F11-7148C5DDF527}"/>
</file>

<file path=customXml/itemProps3.xml><?xml version="1.0" encoding="utf-8"?>
<ds:datastoreItem xmlns:ds="http://schemas.openxmlformats.org/officeDocument/2006/customXml" ds:itemID="{877C37C3-6401-4E18-B921-0A763BB2978E}"/>
</file>

<file path=customXml/itemProps4.xml><?xml version="1.0" encoding="utf-8"?>
<ds:datastoreItem xmlns:ds="http://schemas.openxmlformats.org/officeDocument/2006/customXml" ds:itemID="{0288CCC1-9A02-493A-8547-BE4E28B4765C}"/>
</file>

<file path=docProps/app.xml><?xml version="1.0" encoding="utf-8"?>
<Properties xmlns="http://schemas.openxmlformats.org/officeDocument/2006/extended-properties" xmlns:vt="http://schemas.openxmlformats.org/officeDocument/2006/docPropsVTypes">
  <Template>PF_TDAG20.dotx</Template>
  <TotalTime>83</TotalTime>
  <Pages>4</Pages>
  <Words>1282</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Royer, Veronique</cp:lastModifiedBy>
  <cp:revision>4</cp:revision>
  <cp:lastPrinted>2014-11-04T09:22:00Z</cp:lastPrinted>
  <dcterms:created xsi:type="dcterms:W3CDTF">2020-04-28T10:18:00Z</dcterms:created>
  <dcterms:modified xsi:type="dcterms:W3CDTF">2020-04-28T13:29:00Z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