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330B7C" w:rsidRPr="00A13B0D" w14:paraId="796F1875" w14:textId="77777777" w:rsidTr="0082067C">
        <w:trPr>
          <w:cantSplit/>
          <w:trHeight w:val="1134"/>
        </w:trPr>
        <w:tc>
          <w:tcPr>
            <w:tcW w:w="9888" w:type="dxa"/>
            <w:tcBorders>
              <w:bottom w:val="single" w:sz="2" w:space="0" w:color="00B0F0"/>
            </w:tcBorders>
          </w:tcPr>
          <w:p w14:paraId="002180D7" w14:textId="6227FC39" w:rsidR="00330B7C" w:rsidRPr="00A13B0D" w:rsidRDefault="00330B7C" w:rsidP="0082067C">
            <w:pPr>
              <w:tabs>
                <w:tab w:val="clear" w:pos="1191"/>
                <w:tab w:val="clear" w:pos="1588"/>
                <w:tab w:val="clear" w:pos="1985"/>
              </w:tabs>
              <w:spacing w:before="240"/>
              <w:ind w:left="34"/>
              <w:rPr>
                <w:b/>
                <w:bCs/>
                <w:sz w:val="40"/>
                <w:szCs w:val="40"/>
                <w:lang w:val="es-ES"/>
              </w:rPr>
            </w:pPr>
            <w:r w:rsidRPr="00A13B0D">
              <w:rPr>
                <w:noProof/>
                <w:color w:val="3399FF"/>
                <w:sz w:val="32"/>
                <w:szCs w:val="24"/>
                <w:lang w:val="es-ES"/>
              </w:rPr>
              <w:drawing>
                <wp:anchor distT="0" distB="0" distL="114300" distR="114300" simplePos="0" relativeHeight="251659264" behindDoc="0" locked="0" layoutInCell="1" allowOverlap="1" wp14:anchorId="712FCB57" wp14:editId="5198AF7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A13B0D">
              <w:rPr>
                <w:b/>
                <w:bCs/>
                <w:sz w:val="40"/>
                <w:szCs w:val="40"/>
                <w:lang w:val="es-ES"/>
              </w:rPr>
              <w:t>2</w:t>
            </w:r>
            <w:r>
              <w:rPr>
                <w:b/>
                <w:bCs/>
                <w:sz w:val="40"/>
                <w:szCs w:val="40"/>
                <w:lang w:val="es-ES"/>
              </w:rPr>
              <w:t>º</w:t>
            </w:r>
            <w:r w:rsidRPr="00A13B0D">
              <w:rPr>
                <w:b/>
                <w:bCs/>
                <w:sz w:val="40"/>
                <w:szCs w:val="40"/>
                <w:lang w:val="es-ES"/>
              </w:rPr>
              <w:t xml:space="preserve"> </w:t>
            </w:r>
            <w:r>
              <w:rPr>
                <w:b/>
                <w:bCs/>
                <w:sz w:val="40"/>
                <w:szCs w:val="40"/>
                <w:lang w:val="es-ES"/>
              </w:rPr>
              <w:t xml:space="preserve">Diálogo del GADT en la </w:t>
            </w:r>
            <w:r w:rsidR="00F11DEE">
              <w:rPr>
                <w:b/>
                <w:bCs/>
                <w:sz w:val="40"/>
                <w:szCs w:val="40"/>
                <w:lang w:val="es-ES"/>
              </w:rPr>
              <w:t>w</w:t>
            </w:r>
            <w:r>
              <w:rPr>
                <w:b/>
                <w:bCs/>
                <w:sz w:val="40"/>
                <w:szCs w:val="40"/>
                <w:lang w:val="es-ES"/>
              </w:rPr>
              <w:t>eb sobre la CMDT</w:t>
            </w:r>
          </w:p>
          <w:p w14:paraId="20586032" w14:textId="77777777" w:rsidR="00330B7C" w:rsidRPr="00A13B0D" w:rsidRDefault="00330B7C" w:rsidP="0082067C">
            <w:pPr>
              <w:ind w:right="142"/>
              <w:rPr>
                <w:lang w:val="es-ES"/>
              </w:rPr>
            </w:pPr>
            <w:r w:rsidRPr="00A13B0D">
              <w:rPr>
                <w:b/>
                <w:bCs/>
                <w:sz w:val="28"/>
                <w:szCs w:val="28"/>
                <w:lang w:val="es-ES"/>
              </w:rPr>
              <w:t xml:space="preserve">30 </w:t>
            </w:r>
            <w:r>
              <w:rPr>
                <w:b/>
                <w:bCs/>
                <w:sz w:val="28"/>
                <w:szCs w:val="28"/>
                <w:lang w:val="es-ES"/>
              </w:rPr>
              <w:t>de abril de</w:t>
            </w:r>
            <w:r w:rsidRPr="00A13B0D">
              <w:rPr>
                <w:b/>
                <w:bCs/>
                <w:sz w:val="28"/>
                <w:szCs w:val="28"/>
                <w:lang w:val="es-ES"/>
              </w:rPr>
              <w:t xml:space="preserve"> 2020, </w:t>
            </w:r>
            <w:r>
              <w:rPr>
                <w:b/>
                <w:bCs/>
                <w:sz w:val="28"/>
                <w:szCs w:val="28"/>
                <w:lang w:val="es-ES"/>
              </w:rPr>
              <w:t>en línea</w:t>
            </w:r>
          </w:p>
        </w:tc>
      </w:tr>
      <w:tr w:rsidR="00330B7C" w:rsidRPr="00A13B0D" w14:paraId="409B05EF" w14:textId="77777777" w:rsidTr="0082067C">
        <w:trPr>
          <w:cantSplit/>
        </w:trPr>
        <w:tc>
          <w:tcPr>
            <w:tcW w:w="9888" w:type="dxa"/>
            <w:tcBorders>
              <w:top w:val="single" w:sz="2" w:space="0" w:color="00B0F0"/>
            </w:tcBorders>
          </w:tcPr>
          <w:p w14:paraId="360A34DE" w14:textId="77777777" w:rsidR="00330B7C" w:rsidRPr="00A13B0D" w:rsidRDefault="00330B7C" w:rsidP="0082067C">
            <w:pPr>
              <w:spacing w:before="0"/>
              <w:rPr>
                <w:b/>
                <w:bCs/>
                <w:sz w:val="20"/>
                <w:lang w:val="es-ES"/>
              </w:rPr>
            </w:pPr>
          </w:p>
        </w:tc>
      </w:tr>
      <w:tr w:rsidR="00330B7C" w:rsidRPr="00A13B0D" w14:paraId="1D49D0FE" w14:textId="77777777" w:rsidTr="0082067C">
        <w:trPr>
          <w:cantSplit/>
        </w:trPr>
        <w:tc>
          <w:tcPr>
            <w:tcW w:w="9888" w:type="dxa"/>
          </w:tcPr>
          <w:p w14:paraId="163F8123" w14:textId="49F3F17E" w:rsidR="00330B7C" w:rsidRPr="00A13B0D" w:rsidRDefault="00330B7C" w:rsidP="0082067C">
            <w:pPr>
              <w:spacing w:before="80" w:after="80"/>
              <w:jc w:val="both"/>
              <w:rPr>
                <w:b/>
                <w:bCs/>
                <w:lang w:val="es-ES"/>
              </w:rPr>
            </w:pPr>
            <w:r w:rsidRPr="00CD30C0">
              <w:rPr>
                <w:b/>
                <w:bCs/>
                <w:lang w:val="es-ES"/>
              </w:rPr>
              <w:t xml:space="preserve">2º Diálogo del GADT en la </w:t>
            </w:r>
            <w:r w:rsidR="000B2DF2">
              <w:rPr>
                <w:b/>
                <w:bCs/>
                <w:lang w:val="es-ES"/>
              </w:rPr>
              <w:t>w</w:t>
            </w:r>
            <w:r w:rsidRPr="00CD30C0">
              <w:rPr>
                <w:b/>
                <w:bCs/>
                <w:lang w:val="es-ES"/>
              </w:rPr>
              <w:t>eb sobre la CMDT</w:t>
            </w:r>
          </w:p>
        </w:tc>
      </w:tr>
      <w:tr w:rsidR="00330B7C" w:rsidRPr="00A13B0D" w14:paraId="33E854B9" w14:textId="77777777" w:rsidTr="0082067C">
        <w:trPr>
          <w:cantSplit/>
        </w:trPr>
        <w:tc>
          <w:tcPr>
            <w:tcW w:w="9888" w:type="dxa"/>
          </w:tcPr>
          <w:p w14:paraId="33E3595F" w14:textId="77777777" w:rsidR="00330B7C" w:rsidRPr="00A13B0D" w:rsidRDefault="00330B7C" w:rsidP="0082067C">
            <w:pPr>
              <w:spacing w:before="80" w:after="80"/>
              <w:rPr>
                <w:b/>
                <w:szCs w:val="24"/>
                <w:lang w:val="es-ES"/>
              </w:rPr>
            </w:pPr>
            <w:r>
              <w:rPr>
                <w:b/>
                <w:bCs/>
                <w:szCs w:val="24"/>
                <w:lang w:val="es-ES"/>
              </w:rPr>
              <w:t>Fecha</w:t>
            </w:r>
            <w:r w:rsidRPr="00A13B0D">
              <w:rPr>
                <w:b/>
                <w:bCs/>
                <w:szCs w:val="24"/>
                <w:lang w:val="es-ES"/>
              </w:rPr>
              <w:t xml:space="preserve">: 24 </w:t>
            </w:r>
            <w:r>
              <w:rPr>
                <w:b/>
                <w:bCs/>
                <w:szCs w:val="24"/>
                <w:lang w:val="es-ES"/>
              </w:rPr>
              <w:t>de abril de</w:t>
            </w:r>
            <w:r w:rsidRPr="00A13B0D">
              <w:rPr>
                <w:b/>
                <w:bCs/>
                <w:szCs w:val="24"/>
                <w:lang w:val="es-ES"/>
              </w:rPr>
              <w:t xml:space="preserve"> 2020</w:t>
            </w:r>
            <w:bookmarkStart w:id="0" w:name="CreationDate"/>
            <w:bookmarkEnd w:id="0"/>
          </w:p>
        </w:tc>
      </w:tr>
      <w:tr w:rsidR="00330B7C" w:rsidRPr="00A13B0D" w14:paraId="71A75D8E" w14:textId="77777777" w:rsidTr="0082067C">
        <w:trPr>
          <w:cantSplit/>
        </w:trPr>
        <w:tc>
          <w:tcPr>
            <w:tcW w:w="9888" w:type="dxa"/>
          </w:tcPr>
          <w:p w14:paraId="7307146C" w14:textId="00B29865" w:rsidR="00330B7C" w:rsidRPr="00A13B0D" w:rsidRDefault="00330B7C" w:rsidP="0082067C">
            <w:pPr>
              <w:spacing w:before="80" w:after="80"/>
              <w:rPr>
                <w:b/>
                <w:bCs/>
                <w:szCs w:val="24"/>
                <w:lang w:val="es-ES"/>
              </w:rPr>
            </w:pPr>
            <w:r>
              <w:rPr>
                <w:b/>
                <w:bCs/>
                <w:szCs w:val="24"/>
                <w:lang w:val="es-ES"/>
              </w:rPr>
              <w:t>Título</w:t>
            </w:r>
            <w:r w:rsidRPr="00A13B0D">
              <w:rPr>
                <w:b/>
                <w:bCs/>
                <w:szCs w:val="24"/>
                <w:lang w:val="es-ES"/>
              </w:rPr>
              <w:t xml:space="preserve">: </w:t>
            </w:r>
            <w:r>
              <w:rPr>
                <w:b/>
                <w:bCs/>
                <w:szCs w:val="24"/>
                <w:lang w:val="es-ES"/>
              </w:rPr>
              <w:t>Documento de antecedentes</w:t>
            </w:r>
          </w:p>
        </w:tc>
      </w:tr>
      <w:tr w:rsidR="00330B7C" w:rsidRPr="00A13B0D" w14:paraId="3AC9F7AF" w14:textId="77777777" w:rsidTr="0082067C">
        <w:trPr>
          <w:cantSplit/>
        </w:trPr>
        <w:tc>
          <w:tcPr>
            <w:tcW w:w="9888" w:type="dxa"/>
            <w:tcBorders>
              <w:bottom w:val="single" w:sz="2" w:space="0" w:color="00B0F0"/>
            </w:tcBorders>
          </w:tcPr>
          <w:p w14:paraId="3CBD0733" w14:textId="77777777" w:rsidR="00330B7C" w:rsidRPr="00A13B0D" w:rsidRDefault="00330B7C" w:rsidP="0082067C">
            <w:pPr>
              <w:spacing w:before="0"/>
              <w:rPr>
                <w:szCs w:val="24"/>
                <w:lang w:val="es-ES"/>
              </w:rPr>
            </w:pPr>
            <w:bookmarkStart w:id="1" w:name="Source"/>
            <w:bookmarkStart w:id="2" w:name="Title"/>
            <w:bookmarkEnd w:id="1"/>
            <w:bookmarkEnd w:id="2"/>
          </w:p>
        </w:tc>
      </w:tr>
    </w:tbl>
    <w:p w14:paraId="01C1F993" w14:textId="77777777" w:rsidR="00330B7C" w:rsidRPr="00330B7C" w:rsidRDefault="00330B7C" w:rsidP="00330B7C">
      <w:pPr>
        <w:pStyle w:val="Headingb"/>
        <w:rPr>
          <w:lang w:val="es-ES"/>
        </w:rPr>
      </w:pPr>
      <w:r w:rsidRPr="00330B7C">
        <w:rPr>
          <w:lang w:val="es-ES"/>
        </w:rPr>
        <w:t>Antecedentes</w:t>
      </w:r>
    </w:p>
    <w:p w14:paraId="0990246B" w14:textId="2E844DEF" w:rsidR="00330B7C" w:rsidRPr="00330B7C" w:rsidRDefault="00330B7C" w:rsidP="00330B7C">
      <w:pPr>
        <w:rPr>
          <w:lang w:val="es-ES"/>
        </w:rPr>
      </w:pPr>
      <w:r w:rsidRPr="00330B7C">
        <w:rPr>
          <w:lang w:val="es-ES"/>
        </w:rPr>
        <w:t>La Conferencia Mundial de Desarrollo de las Telecomunicaciones (</w:t>
      </w:r>
      <w:r>
        <w:rPr>
          <w:lang w:val="es-ES"/>
        </w:rPr>
        <w:t>"</w:t>
      </w:r>
      <w:r w:rsidRPr="00330B7C">
        <w:rPr>
          <w:lang w:val="es-ES"/>
        </w:rPr>
        <w:t>CMDT</w:t>
      </w:r>
      <w:r>
        <w:rPr>
          <w:lang w:val="es-ES"/>
        </w:rPr>
        <w:t>"</w:t>
      </w:r>
      <w:r w:rsidRPr="00330B7C">
        <w:rPr>
          <w:lang w:val="es-ES"/>
        </w:rPr>
        <w:t>) se celebra cada cuatro años y establece el programa de desarrollo del Sector de Desarrollo de las Telecomunicaciones (</w:t>
      </w:r>
      <w:r>
        <w:rPr>
          <w:lang w:val="es-ES"/>
        </w:rPr>
        <w:t>"</w:t>
      </w:r>
      <w:r w:rsidRPr="00330B7C">
        <w:rPr>
          <w:lang w:val="es-ES"/>
        </w:rPr>
        <w:t>UIT-D</w:t>
      </w:r>
      <w:r>
        <w:rPr>
          <w:lang w:val="es-ES"/>
        </w:rPr>
        <w:t>"</w:t>
      </w:r>
      <w:r w:rsidRPr="00330B7C">
        <w:rPr>
          <w:lang w:val="es-ES"/>
        </w:rPr>
        <w:t>). La CMDT ofrece además una oportunidad única para que la comunidad internacional se reúna y examine el futuro del sector de las TIC y su contribución al desarrollo social y económico</w:t>
      </w:r>
      <w:r w:rsidR="000B2DF2">
        <w:rPr>
          <w:lang w:val="es-ES"/>
        </w:rPr>
        <w:t>.</w:t>
      </w:r>
    </w:p>
    <w:p w14:paraId="79D1D032" w14:textId="5C290CB1" w:rsidR="00330B7C" w:rsidRPr="00330B7C" w:rsidRDefault="00330B7C" w:rsidP="00330B7C">
      <w:pPr>
        <w:rPr>
          <w:lang w:val="es-ES"/>
        </w:rPr>
      </w:pPr>
      <w:r w:rsidRPr="00330B7C">
        <w:rPr>
          <w:lang w:val="es-ES"/>
        </w:rPr>
        <w:t xml:space="preserve">El 24 de marzo de 2020, la BDT organizó su primer </w:t>
      </w:r>
      <w:hyperlink r:id="rId9" w:history="1">
        <w:r w:rsidRPr="00330B7C">
          <w:rPr>
            <w:rStyle w:val="Hyperlink"/>
            <w:lang w:val="es-ES"/>
          </w:rPr>
          <w:t xml:space="preserve">Diálogo en la </w:t>
        </w:r>
        <w:r w:rsidRPr="00330B7C">
          <w:rPr>
            <w:rStyle w:val="Hyperlink"/>
            <w:lang w:val="es-ES"/>
          </w:rPr>
          <w:t>w</w:t>
        </w:r>
        <w:r w:rsidRPr="00330B7C">
          <w:rPr>
            <w:rStyle w:val="Hyperlink"/>
            <w:lang w:val="es-ES"/>
          </w:rPr>
          <w:t>eb so</w:t>
        </w:r>
        <w:r w:rsidRPr="00330B7C">
          <w:rPr>
            <w:rStyle w:val="Hyperlink"/>
            <w:lang w:val="es-ES"/>
          </w:rPr>
          <w:t>b</w:t>
        </w:r>
        <w:r w:rsidRPr="00330B7C">
          <w:rPr>
            <w:rStyle w:val="Hyperlink"/>
            <w:lang w:val="es-ES"/>
          </w:rPr>
          <w:t>re la CMDT</w:t>
        </w:r>
      </w:hyperlink>
      <w:r w:rsidRPr="00330B7C">
        <w:rPr>
          <w:lang w:val="es-ES"/>
        </w:rPr>
        <w:t xml:space="preserve"> en que los participantes tuvieron la oportunidad de discutir y facilitar su contribución acerca de la manera de mejorarla efectividad de la CMDT-21. Aunque las circunstancias impidieron que los miembros se reunieran en persona, más de 200 participantes tomaron parte activa en los debates.</w:t>
      </w:r>
    </w:p>
    <w:p w14:paraId="012D0F43" w14:textId="5DB97662" w:rsidR="00330B7C" w:rsidRPr="00330B7C" w:rsidRDefault="00330B7C" w:rsidP="00330B7C">
      <w:pPr>
        <w:rPr>
          <w:lang w:val="es-ES"/>
        </w:rPr>
      </w:pPr>
      <w:r w:rsidRPr="00330B7C">
        <w:rPr>
          <w:lang w:val="es-ES"/>
        </w:rPr>
        <w:t xml:space="preserve">Basándose en los resultados de este primer evento, se invita nuevamente a los miembros a reunirse el 30 de abril de 2020. Esta vez se invita a los miembros a estudiar propuestas concretas destinadas a mejorar el proceso preparatorio, el formato y el contenido de la </w:t>
      </w:r>
      <w:r w:rsidR="0043299A">
        <w:rPr>
          <w:lang w:val="es-ES"/>
        </w:rPr>
        <w:t>c</w:t>
      </w:r>
      <w:r w:rsidRPr="00330B7C">
        <w:rPr>
          <w:lang w:val="es-ES"/>
        </w:rPr>
        <w:t>onferencia.</w:t>
      </w:r>
    </w:p>
    <w:p w14:paraId="38AF2055" w14:textId="3303F3C5" w:rsidR="00330B7C" w:rsidRPr="00330B7C" w:rsidRDefault="00330B7C" w:rsidP="00F11DEE">
      <w:pPr>
        <w:spacing w:after="240"/>
        <w:rPr>
          <w:lang w:val="es-ES"/>
        </w:rPr>
      </w:pPr>
      <w:r w:rsidRPr="00330B7C">
        <w:rPr>
          <w:lang w:val="es-ES"/>
        </w:rPr>
        <w:t>El presente documento de antecedentes tiene por objeto facilitar las deliberaciones y no debe considerarse exhaustivo. Los resultados de este segundo Diálogo por Internet servirán de aportación clave para el proceso de preparación y planificación de la CMDT-21 y serán examinados por el GADT en su reunión del mes de junio.</w:t>
      </w:r>
    </w:p>
    <w:tbl>
      <w:tblPr>
        <w:tblStyle w:val="TableGrid"/>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629"/>
      </w:tblGrid>
      <w:tr w:rsidR="00330B7C" w:rsidRPr="00330B7C" w14:paraId="6AD8397D" w14:textId="77777777" w:rsidTr="001C1271">
        <w:tc>
          <w:tcPr>
            <w:tcW w:w="9629" w:type="dxa"/>
          </w:tcPr>
          <w:p w14:paraId="3178300D" w14:textId="77777777" w:rsidR="00330B7C" w:rsidRPr="00330B7C" w:rsidRDefault="00330B7C" w:rsidP="00F11DEE">
            <w:pPr>
              <w:spacing w:before="80" w:after="80"/>
              <w:rPr>
                <w:b/>
                <w:bCs/>
                <w:sz w:val="28"/>
                <w:szCs w:val="28"/>
                <w:lang w:val="es-ES"/>
              </w:rPr>
            </w:pPr>
            <w:r w:rsidRPr="00330B7C">
              <w:rPr>
                <w:b/>
                <w:bCs/>
                <w:sz w:val="28"/>
                <w:szCs w:val="28"/>
                <w:lang w:val="es-ES"/>
              </w:rPr>
              <w:t>Tema 1: Proceso preparatorio</w:t>
            </w:r>
          </w:p>
        </w:tc>
      </w:tr>
    </w:tbl>
    <w:p w14:paraId="0422574A" w14:textId="77777777" w:rsidR="00330B7C" w:rsidRPr="00330B7C" w:rsidRDefault="00330B7C" w:rsidP="00F11DEE">
      <w:pPr>
        <w:spacing w:before="0"/>
        <w:rPr>
          <w:lang w:val="es-ES"/>
        </w:rPr>
      </w:pPr>
    </w:p>
    <w:tbl>
      <w:tblPr>
        <w:tblStyle w:val="TableGrid"/>
        <w:tblW w:w="9776" w:type="dxa"/>
        <w:tblLook w:val="04A0" w:firstRow="1" w:lastRow="0" w:firstColumn="1" w:lastColumn="0" w:noHBand="0" w:noVBand="1"/>
      </w:tblPr>
      <w:tblGrid>
        <w:gridCol w:w="4957"/>
        <w:gridCol w:w="4819"/>
      </w:tblGrid>
      <w:tr w:rsidR="00330B7C" w:rsidRPr="00330B7C" w14:paraId="13BF9C06" w14:textId="77777777" w:rsidTr="00F11DEE">
        <w:trPr>
          <w:trHeight w:val="341"/>
          <w:tblHeader/>
        </w:trPr>
        <w:tc>
          <w:tcPr>
            <w:tcW w:w="4957" w:type="dxa"/>
            <w:shd w:val="clear" w:color="auto" w:fill="EEECE1" w:themeFill="background2"/>
            <w:vAlign w:val="center"/>
          </w:tcPr>
          <w:p w14:paraId="347B747F" w14:textId="77777777" w:rsidR="00330B7C" w:rsidRPr="00330B7C" w:rsidRDefault="00330B7C" w:rsidP="00330B7C">
            <w:pPr>
              <w:pStyle w:val="Tablehead"/>
              <w:rPr>
                <w:lang w:val="es-ES"/>
              </w:rPr>
            </w:pPr>
            <w:r w:rsidRPr="00330B7C">
              <w:rPr>
                <w:lang w:val="es-ES"/>
              </w:rPr>
              <w:t>Propuestas</w:t>
            </w:r>
          </w:p>
        </w:tc>
        <w:tc>
          <w:tcPr>
            <w:tcW w:w="4819" w:type="dxa"/>
            <w:shd w:val="clear" w:color="auto" w:fill="EEECE1" w:themeFill="background2"/>
            <w:vAlign w:val="center"/>
          </w:tcPr>
          <w:p w14:paraId="7F30F1F7" w14:textId="24AE9787" w:rsidR="00330B7C" w:rsidRPr="00330B7C" w:rsidRDefault="00330B7C" w:rsidP="00330B7C">
            <w:pPr>
              <w:pStyle w:val="Tablehead"/>
              <w:rPr>
                <w:lang w:val="es-ES"/>
              </w:rPr>
            </w:pPr>
            <w:r w:rsidRPr="00330B7C">
              <w:rPr>
                <w:lang w:val="es-ES"/>
              </w:rPr>
              <w:t xml:space="preserve">Disposición/comentario legal </w:t>
            </w:r>
            <w:r>
              <w:rPr>
                <w:lang w:val="es-ES"/>
              </w:rPr>
              <w:br/>
            </w:r>
            <w:r w:rsidRPr="00330B7C">
              <w:rPr>
                <w:lang w:val="es-ES"/>
              </w:rPr>
              <w:t>o de procedimiento pertinente</w:t>
            </w:r>
          </w:p>
        </w:tc>
      </w:tr>
      <w:tr w:rsidR="00330B7C" w:rsidRPr="00330B7C" w14:paraId="6187902B" w14:textId="77777777" w:rsidTr="001C1271">
        <w:trPr>
          <w:trHeight w:val="341"/>
        </w:trPr>
        <w:tc>
          <w:tcPr>
            <w:tcW w:w="4957" w:type="dxa"/>
          </w:tcPr>
          <w:p w14:paraId="38D15F6E" w14:textId="5F3908B5" w:rsidR="00330B7C" w:rsidRPr="00330B7C" w:rsidRDefault="000B2DF2" w:rsidP="000B2DF2">
            <w:pPr>
              <w:pStyle w:val="Tabletext"/>
              <w:tabs>
                <w:tab w:val="clear" w:pos="284"/>
                <w:tab w:val="left" w:pos="709"/>
              </w:tabs>
              <w:rPr>
                <w:lang w:val="es-ES"/>
              </w:rPr>
            </w:pPr>
            <w:r w:rsidRPr="000B2DF2">
              <w:rPr>
                <w:b/>
                <w:bCs/>
                <w:lang w:val="es-ES"/>
              </w:rPr>
              <w:t>1.1</w:t>
            </w:r>
            <w:r>
              <w:rPr>
                <w:lang w:val="es-ES"/>
              </w:rPr>
              <w:tab/>
            </w:r>
            <w:r w:rsidR="00330B7C" w:rsidRPr="00330B7C">
              <w:rPr>
                <w:lang w:val="es-ES"/>
              </w:rPr>
              <w:t>La UIT podría poner en marcha un proceso preparatorio interregional de la conferencia de carácter oficial. El objetivo de estas reuniones preparatorias interregionales (RPI) sería fomentar el acuerdo entre las regiones sobre cuestiones clave antes de la conferencia. Podrían organizarse tres RPI presenciales, cada una de las cuales se celebraría consecutivamente a las RPR 2, 4 y 6, respectivamente.</w:t>
            </w:r>
          </w:p>
        </w:tc>
        <w:tc>
          <w:tcPr>
            <w:tcW w:w="4819" w:type="dxa"/>
          </w:tcPr>
          <w:p w14:paraId="5346E337" w14:textId="3FCA8B50" w:rsidR="00330B7C" w:rsidRPr="00330B7C" w:rsidRDefault="00330B7C" w:rsidP="00330B7C">
            <w:pPr>
              <w:pStyle w:val="Tabletext"/>
              <w:rPr>
                <w:lang w:val="es-ES"/>
              </w:rPr>
            </w:pPr>
            <w:r w:rsidRPr="00330B7C">
              <w:rPr>
                <w:lang w:val="es-ES"/>
              </w:rPr>
              <w:t>La Resolución 31 (Rev. Buenos Aires, 2017) de la</w:t>
            </w:r>
            <w:r w:rsidR="00F11DEE">
              <w:rPr>
                <w:lang w:val="es-ES"/>
              </w:rPr>
              <w:t> </w:t>
            </w:r>
            <w:r w:rsidRPr="00330B7C">
              <w:rPr>
                <w:lang w:val="es-ES"/>
              </w:rPr>
              <w:t>CMDT resuelve encargar al Director de la Oficina de Desarrollo de las Telecomunicaciones que organice una reunión preparatoria regional (RPR) para cada una de las seis regiones (si la región interesada lo estima oportuno).</w:t>
            </w:r>
          </w:p>
        </w:tc>
      </w:tr>
      <w:tr w:rsidR="00330B7C" w:rsidRPr="00330B7C" w14:paraId="6FDAB959" w14:textId="77777777" w:rsidTr="00F11DEE">
        <w:trPr>
          <w:cantSplit/>
          <w:trHeight w:val="341"/>
        </w:trPr>
        <w:tc>
          <w:tcPr>
            <w:tcW w:w="4957" w:type="dxa"/>
          </w:tcPr>
          <w:p w14:paraId="28B29DA3" w14:textId="74E44050" w:rsidR="00330B7C" w:rsidRPr="00330B7C" w:rsidRDefault="000B2DF2" w:rsidP="000B2DF2">
            <w:pPr>
              <w:pStyle w:val="Tabletext"/>
              <w:tabs>
                <w:tab w:val="clear" w:pos="284"/>
                <w:tab w:val="left" w:pos="709"/>
              </w:tabs>
              <w:rPr>
                <w:lang w:val="es-ES"/>
              </w:rPr>
            </w:pPr>
            <w:r w:rsidRPr="000B2DF2">
              <w:rPr>
                <w:b/>
                <w:bCs/>
                <w:lang w:val="es-ES"/>
              </w:rPr>
              <w:lastRenderedPageBreak/>
              <w:t>1.2</w:t>
            </w:r>
            <w:r>
              <w:rPr>
                <w:b/>
                <w:bCs/>
                <w:lang w:val="es-ES"/>
              </w:rPr>
              <w:tab/>
            </w:r>
            <w:r w:rsidR="00330B7C" w:rsidRPr="00330B7C">
              <w:rPr>
                <w:lang w:val="es-ES"/>
              </w:rPr>
              <w:t>La Oficina podría asesorar y ayudar a las ORT en sus preparativos para la conferencia, manteniendo su independencia. Esta tarea incluiría asesorar a las</w:t>
            </w:r>
            <w:r w:rsidR="00F11DEE">
              <w:rPr>
                <w:lang w:val="es-ES"/>
              </w:rPr>
              <w:t> </w:t>
            </w:r>
            <w:r w:rsidR="00330B7C" w:rsidRPr="00330B7C">
              <w:rPr>
                <w:lang w:val="es-ES"/>
              </w:rPr>
              <w:t>ORT acerca del resultado del proceso de racionalización emprendido por el GADT y proponer enmiendas editoriales a las Resoluciones, según proceda.</w:t>
            </w:r>
          </w:p>
        </w:tc>
        <w:tc>
          <w:tcPr>
            <w:tcW w:w="4819" w:type="dxa"/>
          </w:tcPr>
          <w:p w14:paraId="67562BC9" w14:textId="77777777" w:rsidR="00330B7C" w:rsidRPr="00330B7C" w:rsidRDefault="00330B7C" w:rsidP="00330B7C">
            <w:pPr>
              <w:pStyle w:val="Tabletext"/>
              <w:rPr>
                <w:lang w:val="es-ES"/>
              </w:rPr>
            </w:pPr>
          </w:p>
        </w:tc>
      </w:tr>
    </w:tbl>
    <w:p w14:paraId="35058AC9" w14:textId="77777777" w:rsidR="00330B7C" w:rsidRPr="00330B7C" w:rsidRDefault="00330B7C" w:rsidP="00330B7C">
      <w:pPr>
        <w:rPr>
          <w:lang w:val="es-ES"/>
        </w:rPr>
      </w:pPr>
      <w:bookmarkStart w:id="3" w:name="_Hlk37855701"/>
      <w:r w:rsidRPr="00330B7C">
        <w:rPr>
          <w:lang w:val="es-ES"/>
        </w:rPr>
        <w:br w:type="page"/>
      </w:r>
    </w:p>
    <w:tbl>
      <w:tblPr>
        <w:tblpPr w:leftFromText="180" w:rightFromText="180" w:horzAnchor="margin" w:tblpY="-492"/>
        <w:tblW w:w="9888" w:type="dxa"/>
        <w:tblBorders>
          <w:bottom w:val="single" w:sz="2" w:space="0" w:color="00B0F0"/>
        </w:tblBorders>
        <w:tblLayout w:type="fixed"/>
        <w:tblCellMar>
          <w:left w:w="107" w:type="dxa"/>
          <w:right w:w="107" w:type="dxa"/>
        </w:tblCellMar>
        <w:tblLook w:val="0000" w:firstRow="0" w:lastRow="0" w:firstColumn="0" w:lastColumn="0" w:noHBand="0" w:noVBand="0"/>
      </w:tblPr>
      <w:tblGrid>
        <w:gridCol w:w="9888"/>
      </w:tblGrid>
      <w:tr w:rsidR="00330B7C" w:rsidRPr="00330B7C" w14:paraId="08ACFD68" w14:textId="77777777" w:rsidTr="001C1271">
        <w:trPr>
          <w:cantSplit/>
        </w:trPr>
        <w:tc>
          <w:tcPr>
            <w:tcW w:w="9888" w:type="dxa"/>
          </w:tcPr>
          <w:p w14:paraId="30AA19D0" w14:textId="77777777" w:rsidR="00330B7C" w:rsidRPr="00330B7C" w:rsidRDefault="00330B7C" w:rsidP="00F11DEE">
            <w:pPr>
              <w:spacing w:before="80" w:after="80"/>
              <w:rPr>
                <w:b/>
                <w:bCs/>
                <w:sz w:val="28"/>
                <w:szCs w:val="28"/>
                <w:lang w:val="es-ES"/>
              </w:rPr>
            </w:pPr>
            <w:r w:rsidRPr="00330B7C">
              <w:rPr>
                <w:b/>
                <w:bCs/>
                <w:sz w:val="28"/>
                <w:szCs w:val="28"/>
                <w:lang w:val="es-ES"/>
              </w:rPr>
              <w:lastRenderedPageBreak/>
              <w:t>Tema 2: Contenido y estructura</w:t>
            </w:r>
          </w:p>
        </w:tc>
      </w:tr>
    </w:tbl>
    <w:p w14:paraId="6F824523" w14:textId="77777777" w:rsidR="00330B7C" w:rsidRPr="00330B7C" w:rsidRDefault="00330B7C" w:rsidP="000B2DF2">
      <w:pPr>
        <w:spacing w:before="0"/>
        <w:rPr>
          <w:lang w:val="es-ES"/>
        </w:rPr>
      </w:pPr>
    </w:p>
    <w:tbl>
      <w:tblPr>
        <w:tblStyle w:val="TableGrid"/>
        <w:tblW w:w="9776" w:type="dxa"/>
        <w:tblLook w:val="04A0" w:firstRow="1" w:lastRow="0" w:firstColumn="1" w:lastColumn="0" w:noHBand="0" w:noVBand="1"/>
      </w:tblPr>
      <w:tblGrid>
        <w:gridCol w:w="4957"/>
        <w:gridCol w:w="4819"/>
      </w:tblGrid>
      <w:tr w:rsidR="00330B7C" w:rsidRPr="00330B7C" w14:paraId="7E8679CD" w14:textId="77777777" w:rsidTr="001C1271">
        <w:trPr>
          <w:trHeight w:val="341"/>
        </w:trPr>
        <w:tc>
          <w:tcPr>
            <w:tcW w:w="4957" w:type="dxa"/>
            <w:shd w:val="clear" w:color="auto" w:fill="EEECE1" w:themeFill="background2"/>
            <w:vAlign w:val="center"/>
          </w:tcPr>
          <w:p w14:paraId="73A33F0E" w14:textId="77777777" w:rsidR="00330B7C" w:rsidRPr="00330B7C" w:rsidRDefault="00330B7C" w:rsidP="00330B7C">
            <w:pPr>
              <w:pStyle w:val="Tablehead"/>
              <w:rPr>
                <w:lang w:val="es-ES"/>
              </w:rPr>
            </w:pPr>
            <w:r w:rsidRPr="00330B7C">
              <w:rPr>
                <w:lang w:val="es-ES"/>
              </w:rPr>
              <w:t>Propuestas</w:t>
            </w:r>
          </w:p>
        </w:tc>
        <w:tc>
          <w:tcPr>
            <w:tcW w:w="4819" w:type="dxa"/>
            <w:shd w:val="clear" w:color="auto" w:fill="EEECE1" w:themeFill="background2"/>
            <w:vAlign w:val="center"/>
          </w:tcPr>
          <w:p w14:paraId="58B6F94A" w14:textId="73844607" w:rsidR="00330B7C" w:rsidRPr="00330B7C" w:rsidRDefault="00330B7C" w:rsidP="00330B7C">
            <w:pPr>
              <w:pStyle w:val="Tablehead"/>
              <w:rPr>
                <w:lang w:val="es-ES"/>
              </w:rPr>
            </w:pPr>
            <w:r w:rsidRPr="00330B7C">
              <w:rPr>
                <w:lang w:val="es-ES"/>
              </w:rPr>
              <w:t xml:space="preserve">Disposición/comentario legal </w:t>
            </w:r>
            <w:r>
              <w:rPr>
                <w:lang w:val="es-ES"/>
              </w:rPr>
              <w:br/>
            </w:r>
            <w:r w:rsidRPr="00330B7C">
              <w:rPr>
                <w:lang w:val="es-ES"/>
              </w:rPr>
              <w:t>o de procedimiento pertinente</w:t>
            </w:r>
          </w:p>
        </w:tc>
      </w:tr>
      <w:tr w:rsidR="00330B7C" w:rsidRPr="00330B7C" w14:paraId="37891468" w14:textId="77777777" w:rsidTr="001C1271">
        <w:trPr>
          <w:trHeight w:val="341"/>
        </w:trPr>
        <w:tc>
          <w:tcPr>
            <w:tcW w:w="4957" w:type="dxa"/>
          </w:tcPr>
          <w:p w14:paraId="07FB9939" w14:textId="32C09BFC" w:rsidR="00330B7C" w:rsidRPr="00330B7C" w:rsidRDefault="00330B7C" w:rsidP="00330B7C">
            <w:pPr>
              <w:pStyle w:val="Tabletext"/>
              <w:tabs>
                <w:tab w:val="clear" w:pos="284"/>
                <w:tab w:val="left" w:pos="709"/>
              </w:tabs>
              <w:rPr>
                <w:lang w:val="es-ES"/>
              </w:rPr>
            </w:pPr>
            <w:r w:rsidRPr="00330B7C">
              <w:rPr>
                <w:b/>
                <w:bCs/>
                <w:lang w:val="es-ES"/>
              </w:rPr>
              <w:t>2.1</w:t>
            </w:r>
            <w:r>
              <w:rPr>
                <w:b/>
                <w:bCs/>
                <w:lang w:val="es-ES"/>
              </w:rPr>
              <w:tab/>
            </w:r>
            <w:r w:rsidRPr="00330B7C">
              <w:rPr>
                <w:lang w:val="es-ES"/>
              </w:rPr>
              <w:t>Los principales debates en la CMDT podrían girar en torno a la forma de abordar y financiar los desafíos en materia de desarrollo identificados durante el proceso preparatorio. Toda medida aprobada debería estar vinculada o bien al presupuesto actual del UIT-D o a las promesas de contribuciones hechas antes o durante la conferencia.</w:t>
            </w:r>
          </w:p>
        </w:tc>
        <w:tc>
          <w:tcPr>
            <w:tcW w:w="4819" w:type="dxa"/>
          </w:tcPr>
          <w:p w14:paraId="5A31DAF9" w14:textId="3F417AF8" w:rsidR="00330B7C" w:rsidRPr="00330B7C" w:rsidRDefault="00330B7C" w:rsidP="00330B7C">
            <w:pPr>
              <w:pStyle w:val="Tabletext"/>
              <w:rPr>
                <w:lang w:val="es-ES"/>
              </w:rPr>
            </w:pPr>
            <w:r w:rsidRPr="00330B7C">
              <w:rPr>
                <w:lang w:val="es-ES"/>
              </w:rPr>
              <w:t xml:space="preserve">Las funciones de la CMDT se reflejan en los </w:t>
            </w:r>
            <w:r w:rsidR="008E4438" w:rsidRPr="00330B7C">
              <w:rPr>
                <w:lang w:val="es-ES"/>
              </w:rPr>
              <w:t xml:space="preserve">Artículos </w:t>
            </w:r>
            <w:r w:rsidRPr="00330B7C">
              <w:rPr>
                <w:lang w:val="es-ES"/>
              </w:rPr>
              <w:t>22 de la Constitución de la UIT y 16 del Convenio de la UIT.</w:t>
            </w:r>
          </w:p>
          <w:p w14:paraId="45AA764C" w14:textId="6FC72950" w:rsidR="00330B7C" w:rsidRPr="00330B7C" w:rsidRDefault="00330B7C" w:rsidP="00330B7C">
            <w:pPr>
              <w:pStyle w:val="Tabletext"/>
              <w:rPr>
                <w:lang w:val="es-ES"/>
              </w:rPr>
            </w:pPr>
            <w:r w:rsidRPr="00330B7C">
              <w:rPr>
                <w:lang w:val="es-ES"/>
              </w:rPr>
              <w:t xml:space="preserve">La Sección 1 de la Resolución 1 trata de la estructura de la CMDT mientras que el CV213 trata de la preparación y adopción del orden del día de la </w:t>
            </w:r>
            <w:r w:rsidR="008E4438">
              <w:rPr>
                <w:lang w:val="es-ES"/>
              </w:rPr>
              <w:t>c</w:t>
            </w:r>
            <w:r w:rsidRPr="00330B7C">
              <w:rPr>
                <w:lang w:val="es-ES"/>
              </w:rPr>
              <w:t>onferencia.</w:t>
            </w:r>
          </w:p>
        </w:tc>
      </w:tr>
      <w:tr w:rsidR="00330B7C" w:rsidRPr="00330B7C" w14:paraId="3D104144" w14:textId="77777777" w:rsidTr="001C1271">
        <w:trPr>
          <w:trHeight w:val="341"/>
        </w:trPr>
        <w:tc>
          <w:tcPr>
            <w:tcW w:w="4957" w:type="dxa"/>
          </w:tcPr>
          <w:p w14:paraId="20E0A89C" w14:textId="298A447A" w:rsidR="00330B7C" w:rsidRPr="00330B7C" w:rsidRDefault="00330B7C" w:rsidP="00330B7C">
            <w:pPr>
              <w:pStyle w:val="Tabletext"/>
              <w:tabs>
                <w:tab w:val="clear" w:pos="284"/>
                <w:tab w:val="left" w:pos="709"/>
              </w:tabs>
              <w:rPr>
                <w:lang w:val="es-ES"/>
              </w:rPr>
            </w:pPr>
            <w:r w:rsidRPr="00330B7C">
              <w:rPr>
                <w:b/>
                <w:bCs/>
                <w:lang w:val="es-ES"/>
              </w:rPr>
              <w:t>2.2</w:t>
            </w:r>
            <w:r>
              <w:rPr>
                <w:b/>
                <w:bCs/>
                <w:lang w:val="es-ES"/>
              </w:rPr>
              <w:tab/>
            </w:r>
            <w:r w:rsidRPr="00330B7C">
              <w:rPr>
                <w:lang w:val="es-ES"/>
              </w:rPr>
              <w:t>La CMDT podría considerar la posibilidad de delegar en el GADT el debate sobre el plan estratégico de la UIT como preparación para la siguiente PP, teniendo en cuenta los resultados de la</w:t>
            </w:r>
            <w:r w:rsidR="008E4438">
              <w:rPr>
                <w:lang w:val="es-ES"/>
              </w:rPr>
              <w:t> </w:t>
            </w:r>
            <w:r w:rsidRPr="00330B7C">
              <w:rPr>
                <w:lang w:val="es-ES"/>
              </w:rPr>
              <w:t>CMDT.</w:t>
            </w:r>
          </w:p>
          <w:p w14:paraId="65B11F71" w14:textId="3871D5A3" w:rsidR="00330B7C" w:rsidRPr="00330B7C" w:rsidRDefault="00330B7C" w:rsidP="00330B7C">
            <w:pPr>
              <w:pStyle w:val="Tabletext"/>
              <w:tabs>
                <w:tab w:val="clear" w:pos="284"/>
                <w:tab w:val="left" w:pos="709"/>
              </w:tabs>
              <w:rPr>
                <w:lang w:val="es-ES"/>
              </w:rPr>
            </w:pPr>
            <w:r w:rsidRPr="00330B7C">
              <w:rPr>
                <w:b/>
                <w:bCs/>
                <w:lang w:val="es-ES"/>
              </w:rPr>
              <w:t>2.3</w:t>
            </w:r>
            <w:r>
              <w:rPr>
                <w:b/>
                <w:bCs/>
                <w:lang w:val="es-ES"/>
              </w:rPr>
              <w:tab/>
            </w:r>
            <w:r w:rsidRPr="00330B7C">
              <w:rPr>
                <w:lang w:val="es-ES"/>
              </w:rPr>
              <w:t>La sesión política de alto nivel (que incluye la presentación de declaraciones políticas) podría volverse a destinar a eventos temáticos [detalles en el tema 4] para abordar retos del desarrollo y prioridades claramente identificadas</w:t>
            </w:r>
            <w:r w:rsidR="008E4438">
              <w:rPr>
                <w:lang w:val="es-ES"/>
              </w:rPr>
              <w:t>.</w:t>
            </w:r>
          </w:p>
          <w:p w14:paraId="571029C9" w14:textId="6231D48E" w:rsidR="00330B7C" w:rsidRPr="00330B7C" w:rsidRDefault="00330B7C" w:rsidP="00330B7C">
            <w:pPr>
              <w:pStyle w:val="Tabletext"/>
              <w:tabs>
                <w:tab w:val="clear" w:pos="284"/>
                <w:tab w:val="left" w:pos="709"/>
              </w:tabs>
              <w:rPr>
                <w:lang w:val="es-ES"/>
              </w:rPr>
            </w:pPr>
            <w:r w:rsidRPr="00330B7C">
              <w:rPr>
                <w:b/>
                <w:bCs/>
                <w:lang w:val="es-ES"/>
              </w:rPr>
              <w:t>2.4</w:t>
            </w:r>
            <w:r>
              <w:rPr>
                <w:b/>
                <w:bCs/>
                <w:lang w:val="es-ES"/>
              </w:rPr>
              <w:tab/>
            </w:r>
            <w:r w:rsidRPr="00330B7C">
              <w:rPr>
                <w:lang w:val="es-ES"/>
              </w:rPr>
              <w:t>Los debates sobre las Resoluciones podrían derivarse principalmente de los resultados de las reuniones anteriores del GADT, en las que se emprenderían esfuerzos de racionalización.</w:t>
            </w:r>
          </w:p>
        </w:tc>
        <w:tc>
          <w:tcPr>
            <w:tcW w:w="4819" w:type="dxa"/>
          </w:tcPr>
          <w:p w14:paraId="221FE7E7" w14:textId="05A8D898" w:rsidR="00330B7C" w:rsidRPr="00330B7C" w:rsidRDefault="00330B7C" w:rsidP="00330B7C">
            <w:pPr>
              <w:pStyle w:val="Tabletext"/>
              <w:rPr>
                <w:lang w:val="es-ES"/>
              </w:rPr>
            </w:pPr>
            <w:r w:rsidRPr="00330B7C">
              <w:rPr>
                <w:lang w:val="es-ES"/>
              </w:rPr>
              <w:t>Con arreglo a la Constitución y el Convenio de la</w:t>
            </w:r>
            <w:r w:rsidR="008E4438">
              <w:rPr>
                <w:lang w:val="es-ES"/>
              </w:rPr>
              <w:t> </w:t>
            </w:r>
            <w:r w:rsidRPr="00330B7C">
              <w:rPr>
                <w:lang w:val="es-ES"/>
              </w:rPr>
              <w:t>UIT, la CMDT no está obligada a examinar la contribución del UIT-D al plan estratégico de la UIT. Sin embargo, esta tarea se refleja en la Resolución</w:t>
            </w:r>
            <w:r w:rsidR="008E4438">
              <w:rPr>
                <w:lang w:val="es-ES"/>
              </w:rPr>
              <w:t> </w:t>
            </w:r>
            <w:r w:rsidRPr="00330B7C">
              <w:rPr>
                <w:lang w:val="es-ES"/>
              </w:rPr>
              <w:t xml:space="preserve">1 (Rev. Buenos Aires, 2017), en particular en el Artículo 1.8.2. Dado que la Resolución 1 es competencia de la CMDT, puede ser modificada por la </w:t>
            </w:r>
            <w:r w:rsidR="008E4438">
              <w:rPr>
                <w:lang w:val="es-ES"/>
              </w:rPr>
              <w:t>c</w:t>
            </w:r>
            <w:r w:rsidRPr="00330B7C">
              <w:rPr>
                <w:lang w:val="es-ES"/>
              </w:rPr>
              <w:t>onferencia, si así lo desea.</w:t>
            </w:r>
          </w:p>
        </w:tc>
      </w:tr>
      <w:tr w:rsidR="00330B7C" w:rsidRPr="00330B7C" w14:paraId="68D8EF23" w14:textId="77777777" w:rsidTr="001C1271">
        <w:trPr>
          <w:trHeight w:val="341"/>
        </w:trPr>
        <w:tc>
          <w:tcPr>
            <w:tcW w:w="4957" w:type="dxa"/>
          </w:tcPr>
          <w:p w14:paraId="33A497F5" w14:textId="16C48FFF" w:rsidR="00330B7C" w:rsidRPr="00330B7C" w:rsidRDefault="00330B7C" w:rsidP="00330B7C">
            <w:pPr>
              <w:pStyle w:val="Tabletext"/>
              <w:tabs>
                <w:tab w:val="clear" w:pos="284"/>
                <w:tab w:val="left" w:pos="709"/>
              </w:tabs>
              <w:rPr>
                <w:lang w:val="es-ES"/>
              </w:rPr>
            </w:pPr>
            <w:r w:rsidRPr="00330B7C">
              <w:rPr>
                <w:b/>
                <w:bCs/>
                <w:lang w:val="es-ES"/>
              </w:rPr>
              <w:t>2.5</w:t>
            </w:r>
            <w:r>
              <w:rPr>
                <w:b/>
                <w:bCs/>
                <w:lang w:val="es-ES"/>
              </w:rPr>
              <w:tab/>
            </w:r>
            <w:r w:rsidRPr="00330B7C">
              <w:rPr>
                <w:lang w:val="es-ES"/>
              </w:rPr>
              <w:t>Las Cuestiones de las Comisiones de Estudio podrían determinarse durante el proceso preparatorio, con arreglo a las necesidades de los miembros y las prioridades regionales e interregionales.</w:t>
            </w:r>
          </w:p>
          <w:p w14:paraId="4C666C11" w14:textId="3ADA2BB5" w:rsidR="00330B7C" w:rsidRPr="00330B7C" w:rsidRDefault="00330B7C" w:rsidP="00330B7C">
            <w:pPr>
              <w:pStyle w:val="Tabletext"/>
              <w:tabs>
                <w:tab w:val="clear" w:pos="284"/>
                <w:tab w:val="left" w:pos="709"/>
              </w:tabs>
              <w:rPr>
                <w:lang w:val="es-ES"/>
              </w:rPr>
            </w:pPr>
            <w:r w:rsidRPr="00330B7C">
              <w:rPr>
                <w:b/>
                <w:bCs/>
                <w:lang w:val="es-ES"/>
              </w:rPr>
              <w:t>2.6</w:t>
            </w:r>
            <w:r>
              <w:rPr>
                <w:b/>
                <w:bCs/>
                <w:lang w:val="es-ES"/>
              </w:rPr>
              <w:tab/>
            </w:r>
            <w:r w:rsidRPr="00330B7C">
              <w:rPr>
                <w:lang w:val="es-ES"/>
              </w:rPr>
              <w:t>Podría mejorarse el mapa de correspondencias de las Cuestiones de las Comisiones de Estudio del UIT-T respecto de las del UIT-D y del UIT-R respecto de las del UIT-D con el fin de identificar posibles áreas de solapamiento o convergencia.</w:t>
            </w:r>
          </w:p>
        </w:tc>
        <w:tc>
          <w:tcPr>
            <w:tcW w:w="4819" w:type="dxa"/>
          </w:tcPr>
          <w:p w14:paraId="104CAEC1" w14:textId="77777777" w:rsidR="00330B7C" w:rsidRPr="00330B7C" w:rsidRDefault="00330B7C" w:rsidP="00330B7C">
            <w:pPr>
              <w:pStyle w:val="Tabletext"/>
              <w:rPr>
                <w:lang w:val="es-ES"/>
              </w:rPr>
            </w:pPr>
          </w:p>
        </w:tc>
      </w:tr>
      <w:tr w:rsidR="00330B7C" w:rsidRPr="00330B7C" w14:paraId="4D6334B1" w14:textId="77777777" w:rsidTr="001C1271">
        <w:trPr>
          <w:trHeight w:val="341"/>
        </w:trPr>
        <w:tc>
          <w:tcPr>
            <w:tcW w:w="4957" w:type="dxa"/>
          </w:tcPr>
          <w:p w14:paraId="655B076D" w14:textId="2DEE09E8" w:rsidR="00330B7C" w:rsidRPr="00330B7C" w:rsidRDefault="00330B7C" w:rsidP="00330B7C">
            <w:pPr>
              <w:pStyle w:val="Tabletext"/>
              <w:tabs>
                <w:tab w:val="clear" w:pos="284"/>
                <w:tab w:val="left" w:pos="709"/>
              </w:tabs>
              <w:rPr>
                <w:lang w:val="es-ES"/>
              </w:rPr>
            </w:pPr>
            <w:r w:rsidRPr="00330B7C">
              <w:rPr>
                <w:b/>
                <w:bCs/>
                <w:lang w:val="es-ES"/>
              </w:rPr>
              <w:t>2.7</w:t>
            </w:r>
            <w:r>
              <w:rPr>
                <w:b/>
                <w:bCs/>
                <w:lang w:val="es-ES"/>
              </w:rPr>
              <w:tab/>
            </w:r>
            <w:r w:rsidRPr="00330B7C">
              <w:rPr>
                <w:lang w:val="es-ES"/>
              </w:rPr>
              <w:t xml:space="preserve">Las ORT podrían elaborar un número limitado de </w:t>
            </w:r>
            <w:r>
              <w:rPr>
                <w:lang w:val="es-ES"/>
              </w:rPr>
              <w:t>"</w:t>
            </w:r>
            <w:r w:rsidR="008E4438">
              <w:rPr>
                <w:lang w:val="es-ES"/>
              </w:rPr>
              <w:t>p</w:t>
            </w:r>
            <w:r w:rsidRPr="00330B7C">
              <w:rPr>
                <w:lang w:val="es-ES"/>
              </w:rPr>
              <w:t xml:space="preserve">rioridades </w:t>
            </w:r>
            <w:r w:rsidR="008E4438">
              <w:rPr>
                <w:lang w:val="es-ES"/>
              </w:rPr>
              <w:t>r</w:t>
            </w:r>
            <w:r w:rsidRPr="00330B7C">
              <w:rPr>
                <w:lang w:val="es-ES"/>
              </w:rPr>
              <w:t>egionales</w:t>
            </w:r>
            <w:r>
              <w:rPr>
                <w:lang w:val="es-ES"/>
              </w:rPr>
              <w:t>"</w:t>
            </w:r>
            <w:r w:rsidRPr="00330B7C">
              <w:rPr>
                <w:lang w:val="es-ES"/>
              </w:rPr>
              <w:t>, basándose en el ámbito de desarrollo definido de la conferencia. Se podría alentar a las ORT a que identifiquen prioridades comunes entre las regiones que podrían aplicarse dentro de las limitaciones presupuestarias de la BDT o vinculadas a las promesas y compromisos contraídos antes de la conferencia o durante ella.</w:t>
            </w:r>
          </w:p>
        </w:tc>
        <w:tc>
          <w:tcPr>
            <w:tcW w:w="4819" w:type="dxa"/>
          </w:tcPr>
          <w:p w14:paraId="7038C825" w14:textId="77777777" w:rsidR="00330B7C" w:rsidRPr="00330B7C" w:rsidRDefault="00330B7C" w:rsidP="00330B7C">
            <w:pPr>
              <w:pStyle w:val="Tabletext"/>
              <w:rPr>
                <w:lang w:val="es-ES"/>
              </w:rPr>
            </w:pPr>
          </w:p>
        </w:tc>
      </w:tr>
      <w:bookmarkEnd w:id="3"/>
    </w:tbl>
    <w:p w14:paraId="71E950E0" w14:textId="77777777" w:rsidR="00330B7C" w:rsidRPr="00330B7C" w:rsidRDefault="00330B7C" w:rsidP="00330B7C">
      <w:pPr>
        <w:rPr>
          <w:lang w:val="es-ES"/>
        </w:rPr>
      </w:pPr>
      <w:r w:rsidRPr="00330B7C">
        <w:rPr>
          <w:lang w:val="es-ES"/>
        </w:rPr>
        <w:br w:type="page"/>
      </w:r>
    </w:p>
    <w:tbl>
      <w:tblPr>
        <w:tblStyle w:val="TableGrid"/>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629"/>
      </w:tblGrid>
      <w:tr w:rsidR="00330B7C" w:rsidRPr="00330B7C" w14:paraId="42E7F28D" w14:textId="77777777" w:rsidTr="001C1271">
        <w:tc>
          <w:tcPr>
            <w:tcW w:w="9629" w:type="dxa"/>
          </w:tcPr>
          <w:p w14:paraId="1ED094C4" w14:textId="10700D08" w:rsidR="00330B7C" w:rsidRPr="00330B7C" w:rsidRDefault="00330B7C" w:rsidP="00F11DEE">
            <w:pPr>
              <w:spacing w:before="80" w:after="80"/>
              <w:rPr>
                <w:b/>
                <w:bCs/>
                <w:sz w:val="28"/>
                <w:szCs w:val="28"/>
                <w:lang w:val="es-ES"/>
              </w:rPr>
            </w:pPr>
            <w:r w:rsidRPr="00330B7C">
              <w:rPr>
                <w:b/>
                <w:bCs/>
                <w:sz w:val="28"/>
                <w:szCs w:val="28"/>
                <w:lang w:val="es-ES"/>
              </w:rPr>
              <w:lastRenderedPageBreak/>
              <w:t>Tema 3: Implicación de las partes interesadas</w:t>
            </w:r>
          </w:p>
        </w:tc>
      </w:tr>
    </w:tbl>
    <w:p w14:paraId="5750F2C6" w14:textId="77777777" w:rsidR="00330B7C" w:rsidRPr="00330B7C" w:rsidRDefault="00330B7C" w:rsidP="00F11DEE">
      <w:pPr>
        <w:spacing w:before="0"/>
        <w:rPr>
          <w:lang w:val="es-ES"/>
        </w:rPr>
      </w:pPr>
    </w:p>
    <w:tbl>
      <w:tblPr>
        <w:tblStyle w:val="TableGrid"/>
        <w:tblW w:w="9776" w:type="dxa"/>
        <w:tblLook w:val="04A0" w:firstRow="1" w:lastRow="0" w:firstColumn="1" w:lastColumn="0" w:noHBand="0" w:noVBand="1"/>
      </w:tblPr>
      <w:tblGrid>
        <w:gridCol w:w="4957"/>
        <w:gridCol w:w="4819"/>
      </w:tblGrid>
      <w:tr w:rsidR="00330B7C" w:rsidRPr="00330B7C" w14:paraId="25738A05" w14:textId="77777777" w:rsidTr="001C1271">
        <w:trPr>
          <w:trHeight w:val="341"/>
        </w:trPr>
        <w:tc>
          <w:tcPr>
            <w:tcW w:w="4957" w:type="dxa"/>
            <w:shd w:val="clear" w:color="auto" w:fill="EEECE1" w:themeFill="background2"/>
            <w:vAlign w:val="center"/>
          </w:tcPr>
          <w:p w14:paraId="577E70D1" w14:textId="77777777" w:rsidR="00330B7C" w:rsidRPr="00330B7C" w:rsidRDefault="00330B7C" w:rsidP="00330B7C">
            <w:pPr>
              <w:pStyle w:val="Tablehead"/>
              <w:rPr>
                <w:lang w:val="es-ES"/>
              </w:rPr>
            </w:pPr>
            <w:r w:rsidRPr="00330B7C">
              <w:rPr>
                <w:lang w:val="es-ES"/>
              </w:rPr>
              <w:t>Propuestas</w:t>
            </w:r>
          </w:p>
        </w:tc>
        <w:tc>
          <w:tcPr>
            <w:tcW w:w="4819" w:type="dxa"/>
            <w:shd w:val="clear" w:color="auto" w:fill="EEECE1" w:themeFill="background2"/>
            <w:vAlign w:val="center"/>
          </w:tcPr>
          <w:p w14:paraId="28BAE86E" w14:textId="35B0A873" w:rsidR="00330B7C" w:rsidRPr="00330B7C" w:rsidRDefault="00330B7C" w:rsidP="00330B7C">
            <w:pPr>
              <w:pStyle w:val="Tablehead"/>
              <w:rPr>
                <w:lang w:val="es-ES"/>
              </w:rPr>
            </w:pPr>
            <w:r w:rsidRPr="00330B7C">
              <w:rPr>
                <w:lang w:val="es-ES"/>
              </w:rPr>
              <w:t xml:space="preserve">Disposición/comentario legal </w:t>
            </w:r>
            <w:r>
              <w:rPr>
                <w:lang w:val="es-ES"/>
              </w:rPr>
              <w:br/>
            </w:r>
            <w:r w:rsidRPr="00330B7C">
              <w:rPr>
                <w:lang w:val="es-ES"/>
              </w:rPr>
              <w:t>o de procedimiento pertinente</w:t>
            </w:r>
          </w:p>
        </w:tc>
      </w:tr>
      <w:tr w:rsidR="00330B7C" w:rsidRPr="00330B7C" w14:paraId="3A7784A6" w14:textId="77777777" w:rsidTr="001C1271">
        <w:trPr>
          <w:trHeight w:val="341"/>
        </w:trPr>
        <w:tc>
          <w:tcPr>
            <w:tcW w:w="4957" w:type="dxa"/>
          </w:tcPr>
          <w:p w14:paraId="5C82B549" w14:textId="1CCFFF9D" w:rsidR="00330B7C" w:rsidRPr="00330B7C" w:rsidRDefault="00330B7C" w:rsidP="00330B7C">
            <w:pPr>
              <w:pStyle w:val="Tabletext"/>
              <w:tabs>
                <w:tab w:val="clear" w:pos="284"/>
                <w:tab w:val="left" w:pos="709"/>
              </w:tabs>
              <w:rPr>
                <w:lang w:val="es-ES"/>
              </w:rPr>
            </w:pPr>
            <w:r w:rsidRPr="00330B7C">
              <w:rPr>
                <w:b/>
                <w:bCs/>
                <w:lang w:val="es-ES"/>
              </w:rPr>
              <w:t>3.1</w:t>
            </w:r>
            <w:r w:rsidRPr="00330B7C">
              <w:rPr>
                <w:b/>
                <w:bCs/>
                <w:lang w:val="es-ES"/>
              </w:rPr>
              <w:tab/>
            </w:r>
            <w:r w:rsidRPr="00330B7C">
              <w:rPr>
                <w:lang w:val="es-ES"/>
              </w:rPr>
              <w:t xml:space="preserve">Crear listas de destinatarios con los participantes invitados clave por grupo de mandantes, incluida una breve lista de </w:t>
            </w:r>
            <w:r w:rsidR="00F11DEE">
              <w:rPr>
                <w:lang w:val="es-ES"/>
              </w:rPr>
              <w:t>"</w:t>
            </w:r>
            <w:r w:rsidRPr="00330B7C">
              <w:rPr>
                <w:lang w:val="es-ES"/>
              </w:rPr>
              <w:t>estrellas</w:t>
            </w:r>
            <w:r w:rsidR="00F11DEE">
              <w:rPr>
                <w:lang w:val="es-ES"/>
              </w:rPr>
              <w:t>"</w:t>
            </w:r>
            <w:r w:rsidRPr="00330B7C">
              <w:rPr>
                <w:lang w:val="es-ES"/>
              </w:rPr>
              <w:t>, y gestionar el proceso de selección/invitación dentro de los plazos previstos.</w:t>
            </w:r>
          </w:p>
          <w:p w14:paraId="1D7198B3" w14:textId="3F44EFA4" w:rsidR="00330B7C" w:rsidRPr="00330B7C" w:rsidRDefault="00330B7C" w:rsidP="00330B7C">
            <w:pPr>
              <w:pStyle w:val="Tabletext"/>
              <w:tabs>
                <w:tab w:val="clear" w:pos="284"/>
                <w:tab w:val="left" w:pos="709"/>
              </w:tabs>
              <w:rPr>
                <w:lang w:val="es-ES"/>
              </w:rPr>
            </w:pPr>
            <w:r w:rsidRPr="00330B7C">
              <w:rPr>
                <w:b/>
                <w:bCs/>
                <w:lang w:val="es-ES"/>
              </w:rPr>
              <w:t>3.2</w:t>
            </w:r>
            <w:r w:rsidRPr="00330B7C">
              <w:rPr>
                <w:b/>
                <w:bCs/>
                <w:lang w:val="es-ES"/>
              </w:rPr>
              <w:tab/>
            </w:r>
            <w:r w:rsidRPr="00330B7C">
              <w:rPr>
                <w:lang w:val="es-ES"/>
              </w:rPr>
              <w:t>Mejorar y perfeccionar los actos preparatorios existentes o crear otros nuevos para implicar a los participantes destinatarios.</w:t>
            </w:r>
          </w:p>
        </w:tc>
        <w:tc>
          <w:tcPr>
            <w:tcW w:w="4819" w:type="dxa"/>
          </w:tcPr>
          <w:p w14:paraId="29FBC313" w14:textId="77777777" w:rsidR="00330B7C" w:rsidRPr="00330B7C" w:rsidRDefault="00330B7C" w:rsidP="00330B7C">
            <w:pPr>
              <w:pStyle w:val="Tabletext"/>
              <w:rPr>
                <w:lang w:val="es-ES"/>
              </w:rPr>
            </w:pPr>
            <w:r w:rsidRPr="00330B7C">
              <w:rPr>
                <w:lang w:val="es-ES"/>
              </w:rPr>
              <w:t>En el Artículo 25 del Convenio y el Artículo 3 del Reglamento General se aborda la cuestión de las invitaciones/admisión a la CMDT. Los derechos de los Miembros de Sector y los Observadores se abordan en el Artículo 3 de la Constitución y en la Resolución 145 de la PP, respectivamente. También pueden encontrarse disposiciones adicionales sobre los derechos de los Miembros de Sector en la Resolución 14 de la PP.</w:t>
            </w:r>
          </w:p>
        </w:tc>
      </w:tr>
      <w:tr w:rsidR="00330B7C" w:rsidRPr="00330B7C" w14:paraId="479FB12B" w14:textId="77777777" w:rsidTr="001C1271">
        <w:trPr>
          <w:trHeight w:val="341"/>
        </w:trPr>
        <w:tc>
          <w:tcPr>
            <w:tcW w:w="4957" w:type="dxa"/>
          </w:tcPr>
          <w:p w14:paraId="1628987E" w14:textId="56931797" w:rsidR="00330B7C" w:rsidRPr="00330B7C" w:rsidRDefault="00330B7C" w:rsidP="00330B7C">
            <w:pPr>
              <w:pStyle w:val="Tabletext"/>
              <w:tabs>
                <w:tab w:val="clear" w:pos="284"/>
                <w:tab w:val="left" w:pos="709"/>
              </w:tabs>
              <w:rPr>
                <w:lang w:val="es-ES"/>
              </w:rPr>
            </w:pPr>
            <w:r w:rsidRPr="00330B7C">
              <w:rPr>
                <w:b/>
                <w:bCs/>
                <w:lang w:val="es-ES"/>
              </w:rPr>
              <w:t>3.3</w:t>
            </w:r>
            <w:r w:rsidRPr="00330B7C">
              <w:rPr>
                <w:b/>
                <w:bCs/>
                <w:lang w:val="es-ES"/>
              </w:rPr>
              <w:tab/>
            </w:r>
            <w:r w:rsidRPr="00330B7C">
              <w:rPr>
                <w:lang w:val="es-ES"/>
              </w:rPr>
              <w:t xml:space="preserve">Partes interesadas externas podrían </w:t>
            </w:r>
            <w:r>
              <w:rPr>
                <w:lang w:val="es-ES"/>
              </w:rPr>
              <w:t>"</w:t>
            </w:r>
            <w:r w:rsidRPr="00330B7C">
              <w:rPr>
                <w:lang w:val="es-ES"/>
              </w:rPr>
              <w:t>copresidir</w:t>
            </w:r>
            <w:r>
              <w:rPr>
                <w:lang w:val="es-ES"/>
              </w:rPr>
              <w:t>"</w:t>
            </w:r>
            <w:r w:rsidRPr="00330B7C">
              <w:rPr>
                <w:lang w:val="es-ES"/>
              </w:rPr>
              <w:t xml:space="preserve"> determinadas vías y sesiones en el orden del día de la </w:t>
            </w:r>
            <w:r w:rsidR="008E4438">
              <w:rPr>
                <w:lang w:val="es-ES"/>
              </w:rPr>
              <w:t>c</w:t>
            </w:r>
            <w:r w:rsidRPr="00330B7C">
              <w:rPr>
                <w:lang w:val="es-ES"/>
              </w:rPr>
              <w:t>onferencia como, por ejemplo:</w:t>
            </w:r>
          </w:p>
          <w:p w14:paraId="2E6ED87D" w14:textId="37122E8E" w:rsidR="00330B7C" w:rsidRPr="00330B7C" w:rsidRDefault="00330B7C" w:rsidP="00F11DEE">
            <w:pPr>
              <w:pStyle w:val="Tabletext"/>
              <w:tabs>
                <w:tab w:val="clear" w:pos="284"/>
                <w:tab w:val="left" w:pos="709"/>
              </w:tabs>
              <w:ind w:left="567" w:hanging="567"/>
              <w:rPr>
                <w:lang w:val="es-ES"/>
              </w:rPr>
            </w:pPr>
            <w:r>
              <w:rPr>
                <w:lang w:val="es-ES"/>
              </w:rPr>
              <w:t>a)</w:t>
            </w:r>
            <w:r>
              <w:rPr>
                <w:lang w:val="es-ES"/>
              </w:rPr>
              <w:tab/>
            </w:r>
            <w:r w:rsidRPr="00330B7C">
              <w:rPr>
                <w:lang w:val="es-ES"/>
              </w:rPr>
              <w:t>una vía centrada en los organismos y asociados de desarrollo internacionales/bilaterales;</w:t>
            </w:r>
          </w:p>
          <w:p w14:paraId="6D740E85" w14:textId="5464ADF9" w:rsidR="00330B7C" w:rsidRPr="00330B7C" w:rsidRDefault="00330B7C" w:rsidP="00F11DEE">
            <w:pPr>
              <w:pStyle w:val="Tabletext"/>
              <w:tabs>
                <w:tab w:val="clear" w:pos="284"/>
                <w:tab w:val="left" w:pos="709"/>
              </w:tabs>
              <w:rPr>
                <w:lang w:val="es-ES"/>
              </w:rPr>
            </w:pPr>
            <w:r>
              <w:rPr>
                <w:lang w:val="es-ES"/>
              </w:rPr>
              <w:t>b)</w:t>
            </w:r>
            <w:r>
              <w:rPr>
                <w:lang w:val="es-ES"/>
              </w:rPr>
              <w:tab/>
            </w:r>
            <w:r w:rsidRPr="00330B7C">
              <w:rPr>
                <w:lang w:val="es-ES"/>
              </w:rPr>
              <w:t>una vía educativa;</w:t>
            </w:r>
          </w:p>
          <w:p w14:paraId="185DFFBA" w14:textId="697B11A2" w:rsidR="00330B7C" w:rsidRPr="00330B7C" w:rsidRDefault="00330B7C" w:rsidP="00F11DEE">
            <w:pPr>
              <w:pStyle w:val="Tabletext"/>
              <w:tabs>
                <w:tab w:val="clear" w:pos="284"/>
                <w:tab w:val="left" w:pos="709"/>
              </w:tabs>
              <w:ind w:left="567" w:hanging="567"/>
              <w:rPr>
                <w:lang w:val="es-ES"/>
              </w:rPr>
            </w:pPr>
            <w:r>
              <w:rPr>
                <w:lang w:val="es-ES"/>
              </w:rPr>
              <w:t>c)</w:t>
            </w:r>
            <w:r>
              <w:rPr>
                <w:lang w:val="es-ES"/>
              </w:rPr>
              <w:tab/>
            </w:r>
            <w:r w:rsidRPr="00330B7C">
              <w:rPr>
                <w:lang w:val="es-ES"/>
              </w:rPr>
              <w:t>seguimiento de la manera de financiar el ecosistema de las TIC.</w:t>
            </w:r>
          </w:p>
        </w:tc>
        <w:tc>
          <w:tcPr>
            <w:tcW w:w="4819" w:type="dxa"/>
          </w:tcPr>
          <w:p w14:paraId="69283C56" w14:textId="77777777" w:rsidR="00330B7C" w:rsidRPr="00330B7C" w:rsidRDefault="00330B7C" w:rsidP="00330B7C">
            <w:pPr>
              <w:pStyle w:val="Tabletext"/>
              <w:rPr>
                <w:lang w:val="es-ES"/>
              </w:rPr>
            </w:pPr>
          </w:p>
        </w:tc>
      </w:tr>
      <w:tr w:rsidR="00330B7C" w:rsidRPr="00330B7C" w14:paraId="3C2DED7E" w14:textId="77777777" w:rsidTr="001C1271">
        <w:trPr>
          <w:trHeight w:val="341"/>
        </w:trPr>
        <w:tc>
          <w:tcPr>
            <w:tcW w:w="4957" w:type="dxa"/>
          </w:tcPr>
          <w:p w14:paraId="545C971C" w14:textId="70D7580A" w:rsidR="00330B7C" w:rsidRPr="00330B7C" w:rsidRDefault="00330B7C" w:rsidP="00330B7C">
            <w:pPr>
              <w:pStyle w:val="Tabletext"/>
              <w:tabs>
                <w:tab w:val="clear" w:pos="284"/>
                <w:tab w:val="left" w:pos="709"/>
              </w:tabs>
              <w:rPr>
                <w:lang w:val="es-ES"/>
              </w:rPr>
            </w:pPr>
            <w:r w:rsidRPr="00330B7C">
              <w:rPr>
                <w:b/>
                <w:bCs/>
                <w:lang w:val="es-ES"/>
              </w:rPr>
              <w:t>3.4</w:t>
            </w:r>
            <w:r>
              <w:rPr>
                <w:b/>
                <w:bCs/>
                <w:lang w:val="es-ES"/>
              </w:rPr>
              <w:tab/>
            </w:r>
            <w:r w:rsidRPr="00330B7C">
              <w:rPr>
                <w:lang w:val="es-ES"/>
              </w:rPr>
              <w:t>Desarrollar y ejecutar una campaña de promoción específica para la CMDT.</w:t>
            </w:r>
          </w:p>
        </w:tc>
        <w:tc>
          <w:tcPr>
            <w:tcW w:w="4819" w:type="dxa"/>
          </w:tcPr>
          <w:p w14:paraId="7F1DFADD" w14:textId="77777777" w:rsidR="00330B7C" w:rsidRPr="00330B7C" w:rsidRDefault="00330B7C" w:rsidP="00330B7C">
            <w:pPr>
              <w:pStyle w:val="Tabletext"/>
              <w:rPr>
                <w:lang w:val="es-ES"/>
              </w:rPr>
            </w:pPr>
          </w:p>
        </w:tc>
      </w:tr>
    </w:tbl>
    <w:p w14:paraId="23B7FC44" w14:textId="77777777" w:rsidR="00330B7C" w:rsidRPr="00330B7C" w:rsidRDefault="00330B7C" w:rsidP="00330B7C">
      <w:pPr>
        <w:rPr>
          <w:lang w:val="es-ES"/>
        </w:rPr>
      </w:pPr>
      <w:r w:rsidRPr="00330B7C">
        <w:rPr>
          <w:lang w:val="es-ES"/>
        </w:rPr>
        <w:br w:type="page"/>
      </w:r>
    </w:p>
    <w:tbl>
      <w:tblPr>
        <w:tblStyle w:val="TableGrid"/>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629"/>
      </w:tblGrid>
      <w:tr w:rsidR="00330B7C" w:rsidRPr="00330B7C" w14:paraId="3DE29931" w14:textId="77777777" w:rsidTr="001C1271">
        <w:tc>
          <w:tcPr>
            <w:tcW w:w="9629" w:type="dxa"/>
          </w:tcPr>
          <w:p w14:paraId="645577D2" w14:textId="20081A03" w:rsidR="00330B7C" w:rsidRPr="00330B7C" w:rsidRDefault="00330B7C" w:rsidP="00F11DEE">
            <w:pPr>
              <w:spacing w:before="80" w:after="80"/>
              <w:rPr>
                <w:b/>
                <w:bCs/>
                <w:sz w:val="28"/>
                <w:szCs w:val="28"/>
                <w:lang w:val="es-ES"/>
              </w:rPr>
            </w:pPr>
            <w:r w:rsidRPr="00330B7C">
              <w:rPr>
                <w:b/>
                <w:bCs/>
                <w:sz w:val="28"/>
                <w:szCs w:val="28"/>
                <w:lang w:val="es-ES"/>
              </w:rPr>
              <w:lastRenderedPageBreak/>
              <w:t>Tema 4: Eventos paralelos</w:t>
            </w:r>
          </w:p>
        </w:tc>
      </w:tr>
    </w:tbl>
    <w:p w14:paraId="391BC7D7" w14:textId="77777777" w:rsidR="00330B7C" w:rsidRPr="00330B7C" w:rsidRDefault="00330B7C" w:rsidP="00F11DEE">
      <w:pPr>
        <w:spacing w:before="0"/>
        <w:rPr>
          <w:lang w:val="es-ES"/>
        </w:rPr>
      </w:pPr>
    </w:p>
    <w:tbl>
      <w:tblPr>
        <w:tblStyle w:val="TableGrid"/>
        <w:tblW w:w="9776" w:type="dxa"/>
        <w:tblLook w:val="04A0" w:firstRow="1" w:lastRow="0" w:firstColumn="1" w:lastColumn="0" w:noHBand="0" w:noVBand="1"/>
      </w:tblPr>
      <w:tblGrid>
        <w:gridCol w:w="4957"/>
        <w:gridCol w:w="4819"/>
      </w:tblGrid>
      <w:tr w:rsidR="00330B7C" w:rsidRPr="00330B7C" w14:paraId="44D9401F" w14:textId="77777777" w:rsidTr="001C1271">
        <w:trPr>
          <w:trHeight w:val="341"/>
        </w:trPr>
        <w:tc>
          <w:tcPr>
            <w:tcW w:w="4957" w:type="dxa"/>
            <w:shd w:val="clear" w:color="auto" w:fill="EEECE1" w:themeFill="background2"/>
            <w:vAlign w:val="center"/>
          </w:tcPr>
          <w:p w14:paraId="79CE512D" w14:textId="77777777" w:rsidR="00330B7C" w:rsidRPr="00330B7C" w:rsidRDefault="00330B7C" w:rsidP="00330B7C">
            <w:pPr>
              <w:pStyle w:val="Tablehead"/>
              <w:rPr>
                <w:lang w:val="es-ES"/>
              </w:rPr>
            </w:pPr>
            <w:r w:rsidRPr="00330B7C">
              <w:rPr>
                <w:lang w:val="es-ES"/>
              </w:rPr>
              <w:t>Propuestas</w:t>
            </w:r>
          </w:p>
        </w:tc>
        <w:tc>
          <w:tcPr>
            <w:tcW w:w="4819" w:type="dxa"/>
            <w:shd w:val="clear" w:color="auto" w:fill="EEECE1" w:themeFill="background2"/>
            <w:vAlign w:val="center"/>
          </w:tcPr>
          <w:p w14:paraId="7B0D35E3" w14:textId="63FCD10C" w:rsidR="00330B7C" w:rsidRPr="00330B7C" w:rsidRDefault="00330B7C" w:rsidP="00330B7C">
            <w:pPr>
              <w:pStyle w:val="Tablehead"/>
              <w:rPr>
                <w:lang w:val="es-ES"/>
              </w:rPr>
            </w:pPr>
            <w:r w:rsidRPr="00330B7C">
              <w:rPr>
                <w:lang w:val="es-ES"/>
              </w:rPr>
              <w:t xml:space="preserve">Disposición/comentario legal </w:t>
            </w:r>
            <w:r>
              <w:rPr>
                <w:lang w:val="es-ES"/>
              </w:rPr>
              <w:br/>
            </w:r>
            <w:r w:rsidRPr="00330B7C">
              <w:rPr>
                <w:lang w:val="es-ES"/>
              </w:rPr>
              <w:t>o de procedimiento pertinente</w:t>
            </w:r>
          </w:p>
        </w:tc>
      </w:tr>
      <w:tr w:rsidR="00330B7C" w:rsidRPr="00330B7C" w14:paraId="0D524D27" w14:textId="77777777" w:rsidTr="001C1271">
        <w:trPr>
          <w:trHeight w:val="341"/>
        </w:trPr>
        <w:tc>
          <w:tcPr>
            <w:tcW w:w="4957" w:type="dxa"/>
          </w:tcPr>
          <w:p w14:paraId="5D7DCC70" w14:textId="165B7157" w:rsidR="00330B7C" w:rsidRPr="00330B7C" w:rsidRDefault="00330B7C" w:rsidP="00330B7C">
            <w:pPr>
              <w:pStyle w:val="Tabletext"/>
              <w:rPr>
                <w:lang w:val="es-ES"/>
              </w:rPr>
            </w:pPr>
            <w:r w:rsidRPr="00330B7C">
              <w:rPr>
                <w:lang w:val="es-ES"/>
              </w:rPr>
              <w:t>Diseñar eventos paralelos para lograr repercusiones eficaces mediante una propuesta sobre temas, partes interesadas, programa y valor claros cuidadosamente seleccionados.</w:t>
            </w:r>
          </w:p>
          <w:p w14:paraId="3E18C319" w14:textId="77777777" w:rsidR="00330B7C" w:rsidRPr="00330B7C" w:rsidRDefault="00330B7C" w:rsidP="00330B7C">
            <w:pPr>
              <w:pStyle w:val="Tabletext"/>
              <w:rPr>
                <w:lang w:val="es-ES"/>
              </w:rPr>
            </w:pPr>
            <w:r w:rsidRPr="00330B7C">
              <w:rPr>
                <w:lang w:val="es-ES"/>
              </w:rPr>
              <w:t>Con este fin, podría haber:</w:t>
            </w:r>
          </w:p>
          <w:p w14:paraId="57016AD3" w14:textId="71DAB8A2" w:rsidR="00330B7C" w:rsidRPr="00330B7C" w:rsidRDefault="00330B7C" w:rsidP="00330B7C">
            <w:pPr>
              <w:pStyle w:val="Tabletext"/>
              <w:tabs>
                <w:tab w:val="clear" w:pos="284"/>
                <w:tab w:val="left" w:pos="709"/>
              </w:tabs>
              <w:rPr>
                <w:lang w:val="es-ES"/>
              </w:rPr>
            </w:pPr>
            <w:r w:rsidRPr="00330B7C">
              <w:rPr>
                <w:b/>
                <w:bCs/>
                <w:lang w:val="es-ES"/>
              </w:rPr>
              <w:t>4.1</w:t>
            </w:r>
            <w:r>
              <w:rPr>
                <w:b/>
                <w:bCs/>
                <w:lang w:val="es-ES"/>
              </w:rPr>
              <w:tab/>
            </w:r>
            <w:r w:rsidRPr="00330B7C">
              <w:rPr>
                <w:lang w:val="es-ES"/>
              </w:rPr>
              <w:t xml:space="preserve">Un proceso preparatorio específico para los </w:t>
            </w:r>
            <w:r w:rsidR="00F11DEE">
              <w:rPr>
                <w:lang w:val="es-ES"/>
              </w:rPr>
              <w:t>"</w:t>
            </w:r>
            <w:r w:rsidRPr="00330B7C">
              <w:rPr>
                <w:lang w:val="es-ES"/>
              </w:rPr>
              <w:t>eventos paralelos</w:t>
            </w:r>
            <w:r w:rsidR="00F11DEE">
              <w:rPr>
                <w:lang w:val="es-ES"/>
              </w:rPr>
              <w:t>"</w:t>
            </w:r>
            <w:r w:rsidRPr="00330B7C">
              <w:rPr>
                <w:lang w:val="es-ES"/>
              </w:rPr>
              <w:t>.</w:t>
            </w:r>
          </w:p>
          <w:p w14:paraId="6C6C0B33" w14:textId="55CF2DDA" w:rsidR="00330B7C" w:rsidRPr="00330B7C" w:rsidRDefault="00330B7C" w:rsidP="00330B7C">
            <w:pPr>
              <w:pStyle w:val="Tabletext"/>
              <w:tabs>
                <w:tab w:val="clear" w:pos="284"/>
                <w:tab w:val="left" w:pos="709"/>
              </w:tabs>
              <w:rPr>
                <w:lang w:val="es-ES"/>
              </w:rPr>
            </w:pPr>
            <w:r w:rsidRPr="00330B7C">
              <w:rPr>
                <w:b/>
                <w:bCs/>
                <w:lang w:val="es-ES"/>
              </w:rPr>
              <w:t>4.2</w:t>
            </w:r>
            <w:r>
              <w:rPr>
                <w:b/>
                <w:bCs/>
                <w:lang w:val="es-ES"/>
              </w:rPr>
              <w:tab/>
            </w:r>
            <w:r w:rsidRPr="00330B7C">
              <w:rPr>
                <w:lang w:val="es-ES"/>
              </w:rPr>
              <w:t xml:space="preserve">Los eventos paralelos podrían formar parte integral de la CMDT y constituir una vía de </w:t>
            </w:r>
            <w:r w:rsidR="00F11DEE">
              <w:rPr>
                <w:lang w:val="es-ES"/>
              </w:rPr>
              <w:t>"</w:t>
            </w:r>
            <w:r w:rsidRPr="00330B7C">
              <w:rPr>
                <w:lang w:val="es-ES"/>
              </w:rPr>
              <w:t>desarrollo</w:t>
            </w:r>
            <w:r w:rsidR="00F11DEE">
              <w:rPr>
                <w:lang w:val="es-ES"/>
              </w:rPr>
              <w:t>"</w:t>
            </w:r>
            <w:r w:rsidRPr="00330B7C">
              <w:rPr>
                <w:lang w:val="es-ES"/>
              </w:rPr>
              <w:t xml:space="preserve"> como complemento del programa actual de la conferencia.</w:t>
            </w:r>
          </w:p>
          <w:p w14:paraId="07F6889C" w14:textId="24016D14" w:rsidR="00330B7C" w:rsidRPr="00330B7C" w:rsidRDefault="00330B7C" w:rsidP="00330B7C">
            <w:pPr>
              <w:pStyle w:val="Tabletext"/>
              <w:tabs>
                <w:tab w:val="clear" w:pos="284"/>
                <w:tab w:val="left" w:pos="709"/>
              </w:tabs>
              <w:rPr>
                <w:lang w:val="es-ES"/>
              </w:rPr>
            </w:pPr>
            <w:r w:rsidRPr="00330B7C">
              <w:rPr>
                <w:b/>
                <w:bCs/>
                <w:lang w:val="es-ES"/>
              </w:rPr>
              <w:t>4.3</w:t>
            </w:r>
            <w:r>
              <w:rPr>
                <w:b/>
                <w:bCs/>
                <w:lang w:val="es-ES"/>
              </w:rPr>
              <w:tab/>
            </w:r>
            <w:r w:rsidRPr="00330B7C">
              <w:rPr>
                <w:lang w:val="es-ES"/>
              </w:rPr>
              <w:t xml:space="preserve">Un proceso posterior a la </w:t>
            </w:r>
            <w:r w:rsidR="008E4438">
              <w:rPr>
                <w:lang w:val="es-ES"/>
              </w:rPr>
              <w:t>c</w:t>
            </w:r>
            <w:r w:rsidRPr="00330B7C">
              <w:rPr>
                <w:lang w:val="es-ES"/>
              </w:rPr>
              <w:t xml:space="preserve">onferencia después de la CMDT para seguir coordinando o implementando los resultados de los </w:t>
            </w:r>
            <w:r w:rsidR="00F11DEE">
              <w:rPr>
                <w:lang w:val="es-ES"/>
              </w:rPr>
              <w:t>"</w:t>
            </w:r>
            <w:r w:rsidRPr="00330B7C">
              <w:rPr>
                <w:lang w:val="es-ES"/>
              </w:rPr>
              <w:t>eventos paralelos</w:t>
            </w:r>
            <w:r w:rsidR="00F11DEE">
              <w:rPr>
                <w:lang w:val="es-ES"/>
              </w:rPr>
              <w:t>"</w:t>
            </w:r>
            <w:r w:rsidRPr="00330B7C">
              <w:rPr>
                <w:lang w:val="es-ES"/>
              </w:rPr>
              <w:t xml:space="preserve"> con las partes interesadas implicadas.</w:t>
            </w:r>
          </w:p>
        </w:tc>
        <w:tc>
          <w:tcPr>
            <w:tcW w:w="4819" w:type="dxa"/>
          </w:tcPr>
          <w:p w14:paraId="17E37D80" w14:textId="77777777" w:rsidR="00330B7C" w:rsidRPr="00330B7C" w:rsidRDefault="00330B7C" w:rsidP="00330B7C">
            <w:pPr>
              <w:pStyle w:val="Tabletext"/>
              <w:rPr>
                <w:lang w:val="es-ES"/>
              </w:rPr>
            </w:pPr>
          </w:p>
        </w:tc>
      </w:tr>
      <w:tr w:rsidR="00330B7C" w:rsidRPr="00330B7C" w14:paraId="5E9A10AF" w14:textId="77777777" w:rsidTr="001C1271">
        <w:trPr>
          <w:trHeight w:val="341"/>
        </w:trPr>
        <w:tc>
          <w:tcPr>
            <w:tcW w:w="4957" w:type="dxa"/>
          </w:tcPr>
          <w:p w14:paraId="296686BE" w14:textId="65C25508" w:rsidR="00330B7C" w:rsidRPr="00330B7C" w:rsidRDefault="00330B7C" w:rsidP="00330B7C">
            <w:pPr>
              <w:pStyle w:val="Tabletext"/>
              <w:rPr>
                <w:lang w:val="es-ES"/>
              </w:rPr>
            </w:pPr>
            <w:r w:rsidRPr="00330B7C">
              <w:rPr>
                <w:lang w:val="es-ES"/>
              </w:rPr>
              <w:t xml:space="preserve">Características de la vía de </w:t>
            </w:r>
            <w:r w:rsidR="00F11DEE">
              <w:rPr>
                <w:lang w:val="es-ES"/>
              </w:rPr>
              <w:t>"</w:t>
            </w:r>
            <w:r w:rsidRPr="00330B7C">
              <w:rPr>
                <w:lang w:val="es-ES"/>
              </w:rPr>
              <w:t>desarrollo</w:t>
            </w:r>
            <w:r w:rsidR="008E4438">
              <w:rPr>
                <w:lang w:val="es-ES"/>
              </w:rPr>
              <w:t>"</w:t>
            </w:r>
            <w:r w:rsidRPr="00330B7C">
              <w:rPr>
                <w:lang w:val="es-ES"/>
              </w:rPr>
              <w:t xml:space="preserve"> durante la</w:t>
            </w:r>
            <w:r w:rsidR="00F11DEE">
              <w:rPr>
                <w:lang w:val="es-ES"/>
              </w:rPr>
              <w:t> </w:t>
            </w:r>
            <w:r w:rsidRPr="00330B7C">
              <w:rPr>
                <w:lang w:val="es-ES"/>
              </w:rPr>
              <w:t>CMDT:</w:t>
            </w:r>
          </w:p>
          <w:p w14:paraId="5D4BFBFE" w14:textId="6B44F9A8" w:rsidR="00330B7C" w:rsidRPr="00330B7C" w:rsidRDefault="00330B7C" w:rsidP="00330B7C">
            <w:pPr>
              <w:pStyle w:val="Tabletext"/>
              <w:tabs>
                <w:tab w:val="clear" w:pos="284"/>
                <w:tab w:val="left" w:pos="709"/>
              </w:tabs>
              <w:rPr>
                <w:lang w:val="es-ES"/>
              </w:rPr>
            </w:pPr>
            <w:r w:rsidRPr="00330B7C">
              <w:rPr>
                <w:b/>
                <w:bCs/>
                <w:lang w:val="es-ES"/>
              </w:rPr>
              <w:t>4.4</w:t>
            </w:r>
            <w:r>
              <w:rPr>
                <w:b/>
                <w:bCs/>
                <w:lang w:val="es-ES"/>
              </w:rPr>
              <w:tab/>
            </w:r>
            <w:r w:rsidRPr="00330B7C">
              <w:rPr>
                <w:lang w:val="es-ES"/>
              </w:rPr>
              <w:t>La vía de desarrollo podría organizarse en torno a esferas temáticas clave, por ejemplo, las "prioridades regionales", que deberían ser diversas, interactivas y dinámicas.</w:t>
            </w:r>
          </w:p>
          <w:p w14:paraId="470F185D" w14:textId="287FDBE4" w:rsidR="00330B7C" w:rsidRPr="00330B7C" w:rsidRDefault="00330B7C" w:rsidP="00330B7C">
            <w:pPr>
              <w:pStyle w:val="Tabletext"/>
              <w:tabs>
                <w:tab w:val="clear" w:pos="284"/>
                <w:tab w:val="left" w:pos="709"/>
              </w:tabs>
              <w:rPr>
                <w:lang w:val="es-ES"/>
              </w:rPr>
            </w:pPr>
            <w:r w:rsidRPr="00330B7C">
              <w:rPr>
                <w:b/>
                <w:bCs/>
                <w:lang w:val="es-ES"/>
              </w:rPr>
              <w:t>4.5</w:t>
            </w:r>
            <w:r>
              <w:rPr>
                <w:b/>
                <w:bCs/>
                <w:lang w:val="es-ES"/>
              </w:rPr>
              <w:tab/>
            </w:r>
            <w:r w:rsidRPr="00330B7C">
              <w:rPr>
                <w:lang w:val="es-ES"/>
              </w:rPr>
              <w:t>La sesión política de alto nivel (que incluye la presentación de declaraciones políticas) podría volver a destinarse a eventos temáticos para abordar desafíos de desarrollo y prioridades claramente identificadas. Las reuniones temáticas podrían tener por objeto encontrar soluciones a dichos desafíos, incluidos los aspectos financieros.</w:t>
            </w:r>
          </w:p>
          <w:p w14:paraId="29268081" w14:textId="6587190F" w:rsidR="00330B7C" w:rsidRPr="00330B7C" w:rsidRDefault="00330B7C" w:rsidP="00330B7C">
            <w:pPr>
              <w:pStyle w:val="Tabletext"/>
              <w:tabs>
                <w:tab w:val="clear" w:pos="284"/>
                <w:tab w:val="left" w:pos="709"/>
              </w:tabs>
              <w:rPr>
                <w:lang w:val="es-ES"/>
              </w:rPr>
            </w:pPr>
            <w:r w:rsidRPr="00330B7C">
              <w:rPr>
                <w:b/>
                <w:bCs/>
                <w:lang w:val="es-ES"/>
              </w:rPr>
              <w:t>4.6</w:t>
            </w:r>
            <w:r>
              <w:rPr>
                <w:b/>
                <w:bCs/>
                <w:lang w:val="es-ES"/>
              </w:rPr>
              <w:tab/>
            </w:r>
            <w:r w:rsidRPr="00330B7C">
              <w:rPr>
                <w:lang w:val="es-ES"/>
              </w:rPr>
              <w:t>Los oradores y el público podrían incluir 4</w:t>
            </w:r>
            <w:r w:rsidR="000B2DF2">
              <w:rPr>
                <w:lang w:val="es-ES"/>
              </w:rPr>
              <w:t> </w:t>
            </w:r>
            <w:r w:rsidRPr="00330B7C">
              <w:rPr>
                <w:lang w:val="es-ES"/>
              </w:rPr>
              <w:t>tipos de partes interesadas (los propietarios de problemas, los propietarios de soluciones, los propietarios de fondos y los beneficiarios) para aumentar las oportunidades de interacción y el interés.</w:t>
            </w:r>
          </w:p>
          <w:p w14:paraId="451C8ABD" w14:textId="72BB7039" w:rsidR="00330B7C" w:rsidRPr="00330B7C" w:rsidRDefault="00330B7C" w:rsidP="00330B7C">
            <w:pPr>
              <w:pStyle w:val="Tabletext"/>
              <w:tabs>
                <w:tab w:val="clear" w:pos="284"/>
                <w:tab w:val="left" w:pos="709"/>
              </w:tabs>
              <w:rPr>
                <w:lang w:val="es-ES"/>
              </w:rPr>
            </w:pPr>
            <w:r w:rsidRPr="00330B7C">
              <w:rPr>
                <w:b/>
                <w:bCs/>
                <w:lang w:val="es-ES"/>
              </w:rPr>
              <w:t>4.7</w:t>
            </w:r>
            <w:r>
              <w:rPr>
                <w:b/>
                <w:bCs/>
                <w:lang w:val="es-ES"/>
              </w:rPr>
              <w:tab/>
            </w:r>
            <w:r w:rsidRPr="00330B7C">
              <w:rPr>
                <w:lang w:val="es-ES"/>
              </w:rPr>
              <w:t>Los resultados de esta vía de desarrollo podrían ser propuestas e iniciativas de proyectos nuevos/finalizados en relación con los temas, expresiones de interés/compromisos para financiarlos, y planes de trabajo concretos para su seguimiento.</w:t>
            </w:r>
          </w:p>
        </w:tc>
        <w:tc>
          <w:tcPr>
            <w:tcW w:w="4819" w:type="dxa"/>
          </w:tcPr>
          <w:p w14:paraId="73033F23" w14:textId="77777777" w:rsidR="00330B7C" w:rsidRPr="00330B7C" w:rsidRDefault="00330B7C" w:rsidP="00330B7C">
            <w:pPr>
              <w:pStyle w:val="Tabletext"/>
              <w:rPr>
                <w:lang w:val="es-ES"/>
              </w:rPr>
            </w:pPr>
          </w:p>
        </w:tc>
      </w:tr>
    </w:tbl>
    <w:p w14:paraId="1D0BFC2E" w14:textId="77777777" w:rsidR="00330B7C" w:rsidRDefault="00330B7C" w:rsidP="00330B7C"/>
    <w:p w14:paraId="6FD63498" w14:textId="77777777" w:rsidR="00330B7C" w:rsidRDefault="00330B7C">
      <w:pPr>
        <w:jc w:val="center"/>
      </w:pPr>
      <w:r>
        <w:t>______________</w:t>
      </w:r>
    </w:p>
    <w:sectPr w:rsidR="00330B7C" w:rsidSect="00F11DEE">
      <w:headerReference w:type="default"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8F5C8" w14:textId="77777777" w:rsidR="00330B7C" w:rsidRDefault="00330B7C">
      <w:r>
        <w:separator/>
      </w:r>
    </w:p>
  </w:endnote>
  <w:endnote w:type="continuationSeparator" w:id="0">
    <w:p w14:paraId="48BCB19B" w14:textId="77777777" w:rsidR="00330B7C" w:rsidRDefault="0033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EF17" w14:textId="27C0D005" w:rsidR="001D503E" w:rsidRDefault="006370D7" w:rsidP="006370D7">
    <w:pPr>
      <w:pStyle w:val="Footer"/>
      <w:rPr>
        <w:lang w:val="en-US"/>
      </w:rPr>
    </w:pPr>
    <w:fldSimple w:instr=" FILENAME \p  \* MERGEFORMAT ">
      <w:r>
        <w:t>P:\ESP\ITU-D\BDT\DDIR\DIV\470790S.docx</w:t>
      </w:r>
    </w:fldSimple>
    <w:r>
      <w:t xml:space="preserve"> (470790)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6A6D" w14:textId="0B5C281A" w:rsidR="001D503E" w:rsidRPr="006370D7" w:rsidRDefault="006370D7" w:rsidP="006370D7">
    <w:pPr>
      <w:pStyle w:val="Footer"/>
      <w:rPr>
        <w:lang w:val="en-US"/>
      </w:rPr>
    </w:pPr>
    <w:r>
      <w:fldChar w:fldCharType="begin"/>
    </w:r>
    <w:r>
      <w:instrText xml:space="preserve"> FILENAME \p  \* MERGEFORMAT </w:instrText>
    </w:r>
    <w:r>
      <w:fldChar w:fldCharType="separate"/>
    </w:r>
    <w:r>
      <w:t>P:\ESP\ITU-D\BDT\DDIR\DIV\470790S.docx</w:t>
    </w:r>
    <w:r>
      <w:fldChar w:fldCharType="end"/>
    </w:r>
    <w:r>
      <w:t xml:space="preserve"> (470790)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34E5E" w14:textId="77777777" w:rsidR="00330B7C" w:rsidRDefault="00330B7C">
      <w:r>
        <w:t>____________________</w:t>
      </w:r>
    </w:p>
  </w:footnote>
  <w:footnote w:type="continuationSeparator" w:id="0">
    <w:p w14:paraId="5822CDD2" w14:textId="77777777" w:rsidR="00330B7C" w:rsidRDefault="0033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43835"/>
      <w:docPartObj>
        <w:docPartGallery w:val="Page Numbers (Top of Page)"/>
        <w:docPartUnique/>
      </w:docPartObj>
    </w:sdtPr>
    <w:sdtEndPr>
      <w:rPr>
        <w:noProof/>
      </w:rPr>
    </w:sdtEndPr>
    <w:sdtContent>
      <w:p w14:paraId="56B7A926" w14:textId="1F4ABBA3" w:rsidR="00F11DEE" w:rsidRDefault="00F11DE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34D"/>
    <w:multiLevelType w:val="multilevel"/>
    <w:tmpl w:val="A0A218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C"/>
    <w:rsid w:val="000B2DF2"/>
    <w:rsid w:val="001D503E"/>
    <w:rsid w:val="00330B7C"/>
    <w:rsid w:val="0043299A"/>
    <w:rsid w:val="00505663"/>
    <w:rsid w:val="006370D7"/>
    <w:rsid w:val="008E4438"/>
    <w:rsid w:val="00B85204"/>
    <w:rsid w:val="00F039A1"/>
    <w:rsid w:val="00F11D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58B37"/>
  <w15:docId w15:val="{CE545420-8D7B-42F0-A44C-B49B64CC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33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30B7C"/>
    <w:rPr>
      <w:color w:val="0000FF" w:themeColor="hyperlink"/>
      <w:u w:val="single"/>
    </w:rPr>
  </w:style>
  <w:style w:type="character" w:styleId="UnresolvedMention">
    <w:name w:val="Unresolved Mention"/>
    <w:basedOn w:val="DefaultParagraphFont"/>
    <w:uiPriority w:val="99"/>
    <w:semiHidden/>
    <w:unhideWhenUsed/>
    <w:rsid w:val="00330B7C"/>
    <w:rPr>
      <w:color w:val="605E5C"/>
      <w:shd w:val="clear" w:color="auto" w:fill="E1DFDD"/>
    </w:rPr>
  </w:style>
  <w:style w:type="paragraph" w:customStyle="1" w:styleId="Reasons">
    <w:name w:val="Reasons"/>
    <w:basedOn w:val="Normal"/>
    <w:qFormat/>
    <w:rsid w:val="00330B7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330B7C"/>
    <w:rPr>
      <w:color w:val="800080" w:themeColor="followedHyperlink"/>
      <w:u w:val="single"/>
    </w:rPr>
  </w:style>
  <w:style w:type="character" w:customStyle="1" w:styleId="HeaderChar">
    <w:name w:val="Header Char"/>
    <w:basedOn w:val="DefaultParagraphFont"/>
    <w:link w:val="Header"/>
    <w:uiPriority w:val="99"/>
    <w:rsid w:val="00F11DEE"/>
    <w:rPr>
      <w:rFonts w:asciiTheme="minorHAnsi" w:hAnsiTheme="minorHAnsi"/>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s/ITU-D/Conferences/TDAG/Pages/TDAG25/default.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29951FE3-B9B3-4D6C-A2A8-5BDCE5AFDE6B}"/>
</file>

<file path=customXml/itemProps2.xml><?xml version="1.0" encoding="utf-8"?>
<ds:datastoreItem xmlns:ds="http://schemas.openxmlformats.org/officeDocument/2006/customXml" ds:itemID="{A06B57E9-FF1E-4995-BEE7-7C77F4D51C05}"/>
</file>

<file path=customXml/itemProps3.xml><?xml version="1.0" encoding="utf-8"?>
<ds:datastoreItem xmlns:ds="http://schemas.openxmlformats.org/officeDocument/2006/customXml" ds:itemID="{02D9443D-4F94-43BE-9EF0-A4449D04396B}"/>
</file>

<file path=customXml/itemProps4.xml><?xml version="1.0" encoding="utf-8"?>
<ds:datastoreItem xmlns:ds="http://schemas.openxmlformats.org/officeDocument/2006/customXml" ds:itemID="{AF404CAE-7258-4FEB-A177-D76DE0063E0B}"/>
</file>

<file path=docProps/app.xml><?xml version="1.0" encoding="utf-8"?>
<Properties xmlns="http://schemas.openxmlformats.org/officeDocument/2006/extended-properties" xmlns:vt="http://schemas.openxmlformats.org/officeDocument/2006/docPropsVTypes">
  <Template>PS_POOL.dotm</Template>
  <TotalTime>41</TotalTime>
  <Pages>5</Pages>
  <Words>1276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Spanish83</dc:creator>
  <cp:keywords/>
  <dc:description/>
  <cp:lastModifiedBy>Spanish83</cp:lastModifiedBy>
  <cp:revision>4</cp:revision>
  <cp:lastPrinted>2009-11-11T18:20:00Z</cp:lastPrinted>
  <dcterms:created xsi:type="dcterms:W3CDTF">2020-04-28T06:49:00Z</dcterms:created>
  <dcterms:modified xsi:type="dcterms:W3CDTF">2020-04-28T07:34:00Z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