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888"/>
      </w:tblGrid>
      <w:tr w:rsidR="00194F24" w14:paraId="5E10E816" w14:textId="77777777" w:rsidTr="0058581C">
        <w:trPr>
          <w:cantSplit/>
          <w:trHeight w:val="1134"/>
        </w:trPr>
        <w:tc>
          <w:tcPr>
            <w:tcW w:w="9888" w:type="dxa"/>
            <w:tcBorders>
              <w:bottom w:val="single" w:sz="2" w:space="0" w:color="00B0F0"/>
            </w:tcBorders>
          </w:tcPr>
          <w:p w14:paraId="62FAC2DC" w14:textId="1715F11A" w:rsidR="00194F24" w:rsidRPr="00194F24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40"/>
                <w:szCs w:val="40"/>
                <w:lang w:eastAsia="zh-CN"/>
              </w:rPr>
            </w:pPr>
            <w:r w:rsidRPr="00194F24">
              <w:rPr>
                <w:noProof/>
                <w:color w:val="3399FF"/>
                <w:sz w:val="32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0295" w:rsidRPr="00ED6918">
              <w:rPr>
                <w:rFonts w:hint="eastAsia"/>
                <w:b/>
                <w:bCs/>
                <w:sz w:val="40"/>
                <w:szCs w:val="40"/>
                <w:lang w:eastAsia="zh-CN"/>
              </w:rPr>
              <w:t>关于</w:t>
            </w:r>
            <w:r w:rsidR="00FD0295" w:rsidRPr="00ED6918">
              <w:rPr>
                <w:b/>
                <w:bCs/>
                <w:sz w:val="40"/>
                <w:szCs w:val="40"/>
                <w:lang w:eastAsia="zh-CN"/>
              </w:rPr>
              <w:t>WTDC</w:t>
            </w:r>
            <w:r w:rsidR="00FD0295" w:rsidRPr="00ED6918">
              <w:rPr>
                <w:rFonts w:hint="eastAsia"/>
                <w:b/>
                <w:bCs/>
                <w:sz w:val="40"/>
                <w:szCs w:val="40"/>
                <w:lang w:eastAsia="zh-CN"/>
              </w:rPr>
              <w:t>的第</w:t>
            </w:r>
            <w:r w:rsidR="00FD0295" w:rsidRPr="00ED6918">
              <w:rPr>
                <w:rFonts w:hint="eastAsia"/>
                <w:b/>
                <w:bCs/>
                <w:sz w:val="40"/>
                <w:szCs w:val="40"/>
                <w:lang w:eastAsia="zh-CN"/>
              </w:rPr>
              <w:t>2</w:t>
            </w:r>
            <w:r w:rsidR="00FD0295" w:rsidRPr="00ED6918">
              <w:rPr>
                <w:rFonts w:hint="eastAsia"/>
                <w:b/>
                <w:bCs/>
                <w:sz w:val="40"/>
                <w:szCs w:val="40"/>
                <w:lang w:eastAsia="zh-CN"/>
              </w:rPr>
              <w:t>次</w:t>
            </w:r>
            <w:r w:rsidR="00FD0295" w:rsidRPr="00ED6918">
              <w:rPr>
                <w:b/>
                <w:bCs/>
                <w:sz w:val="40"/>
                <w:szCs w:val="40"/>
                <w:lang w:eastAsia="zh-CN"/>
              </w:rPr>
              <w:t>TDAG</w:t>
            </w:r>
            <w:r w:rsidR="00FD0295" w:rsidRPr="00ED6918">
              <w:rPr>
                <w:rFonts w:hint="eastAsia"/>
                <w:b/>
                <w:bCs/>
                <w:sz w:val="40"/>
                <w:szCs w:val="40"/>
                <w:lang w:eastAsia="zh-CN"/>
              </w:rPr>
              <w:t>网络对话</w:t>
            </w:r>
          </w:p>
          <w:p w14:paraId="252DACBA" w14:textId="21C9C5AF" w:rsidR="00FD0295" w:rsidRDefault="00FD0295" w:rsidP="00FD0295">
            <w:pPr>
              <w:rPr>
                <w:rFonts w:ascii="Calibri" w:hAnsi="Calibri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2020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ED6918">
              <w:rPr>
                <w:rFonts w:hint="eastAsia"/>
                <w:b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月</w:t>
            </w:r>
            <w:r w:rsidR="00ED6918">
              <w:rPr>
                <w:rFonts w:hint="eastAsia"/>
                <w:b/>
                <w:bCs/>
                <w:sz w:val="28"/>
                <w:szCs w:val="28"/>
                <w:lang w:eastAsia="zh-CN"/>
              </w:rPr>
              <w:t>30</w:t>
            </w:r>
            <w:r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日，在线</w:t>
            </w:r>
          </w:p>
          <w:p w14:paraId="49124C96" w14:textId="64482DEA" w:rsidR="00194F24" w:rsidRPr="00683C32" w:rsidRDefault="00194F24" w:rsidP="00D844DC">
            <w:pPr>
              <w:ind w:right="142"/>
              <w:rPr>
                <w:lang w:eastAsia="zh-CN"/>
              </w:rPr>
            </w:pPr>
          </w:p>
        </w:tc>
      </w:tr>
      <w:tr w:rsidR="00194F24" w:rsidRPr="00997358" w14:paraId="48B980A4" w14:textId="77777777" w:rsidTr="0058581C">
        <w:trPr>
          <w:cantSplit/>
        </w:trPr>
        <w:tc>
          <w:tcPr>
            <w:tcW w:w="9888" w:type="dxa"/>
            <w:tcBorders>
              <w:top w:val="single" w:sz="2" w:space="0" w:color="00B0F0"/>
            </w:tcBorders>
          </w:tcPr>
          <w:p w14:paraId="49A48CC7" w14:textId="77777777" w:rsidR="00194F24" w:rsidRPr="00997358" w:rsidRDefault="00194F24" w:rsidP="00E642D2">
            <w:pPr>
              <w:spacing w:before="0"/>
              <w:rPr>
                <w:b/>
                <w:bCs/>
                <w:sz w:val="20"/>
                <w:lang w:eastAsia="zh-CN"/>
              </w:rPr>
            </w:pPr>
          </w:p>
        </w:tc>
      </w:tr>
      <w:tr w:rsidR="003278DD" w:rsidRPr="00D12F30" w14:paraId="152A2C0D" w14:textId="77777777" w:rsidTr="0058581C">
        <w:trPr>
          <w:cantSplit/>
        </w:trPr>
        <w:tc>
          <w:tcPr>
            <w:tcW w:w="9888" w:type="dxa"/>
          </w:tcPr>
          <w:p w14:paraId="46325D18" w14:textId="4395050B" w:rsidR="003278DD" w:rsidRPr="003278DD" w:rsidRDefault="00FD0295" w:rsidP="00194F24">
            <w:pPr>
              <w:spacing w:before="80" w:after="80"/>
              <w:jc w:val="both"/>
              <w:rPr>
                <w:b/>
                <w:bCs/>
                <w:lang w:val="fr-FR" w:eastAsia="zh-CN"/>
              </w:rPr>
            </w:pPr>
            <w:r>
              <w:rPr>
                <w:rFonts w:ascii="SimSun" w:eastAsia="SimSun" w:hAnsi="SimSun" w:hint="eastAsia"/>
                <w:b/>
                <w:bCs/>
                <w:color w:val="000000"/>
                <w:lang w:eastAsia="zh-CN"/>
              </w:rPr>
              <w:t>关于</w:t>
            </w:r>
            <w:r>
              <w:rPr>
                <w:b/>
                <w:bCs/>
                <w:color w:val="000000"/>
                <w:lang w:eastAsia="zh-CN"/>
              </w:rPr>
              <w:t>WTDC</w:t>
            </w:r>
            <w:r>
              <w:rPr>
                <w:rFonts w:ascii="SimSun" w:eastAsia="SimSun" w:hAnsi="SimSun" w:hint="eastAsia"/>
                <w:b/>
                <w:bCs/>
                <w:color w:val="000000"/>
                <w:lang w:eastAsia="zh-CN"/>
              </w:rPr>
              <w:t>的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第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次</w:t>
            </w:r>
            <w:r>
              <w:rPr>
                <w:b/>
                <w:bCs/>
                <w:color w:val="000000"/>
                <w:lang w:eastAsia="zh-CN"/>
              </w:rPr>
              <w:t>TDAG</w:t>
            </w:r>
            <w:r>
              <w:rPr>
                <w:rFonts w:ascii="SimSun" w:eastAsia="SimSun" w:hAnsi="SimSun" w:hint="eastAsia"/>
                <w:b/>
                <w:bCs/>
                <w:color w:val="000000"/>
                <w:lang w:eastAsia="zh-CN"/>
              </w:rPr>
              <w:t>网络对话</w:t>
            </w:r>
          </w:p>
        </w:tc>
      </w:tr>
      <w:tr w:rsidR="00194F24" w14:paraId="53FDFF8E" w14:textId="77777777" w:rsidTr="0058581C">
        <w:trPr>
          <w:cantSplit/>
        </w:trPr>
        <w:tc>
          <w:tcPr>
            <w:tcW w:w="9888" w:type="dxa"/>
          </w:tcPr>
          <w:p w14:paraId="365E1FFD" w14:textId="67392A3A" w:rsidR="00194F24" w:rsidRPr="00194F24" w:rsidRDefault="00FD0295" w:rsidP="00194F24">
            <w:pPr>
              <w:spacing w:before="80" w:after="80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日期：</w:t>
            </w:r>
            <w:r w:rsidR="00194F24" w:rsidRPr="00194F24">
              <w:rPr>
                <w:b/>
                <w:bCs/>
                <w:szCs w:val="24"/>
                <w:lang w:val="en-US"/>
              </w:rPr>
              <w:t>2020</w:t>
            </w:r>
            <w:bookmarkStart w:id="0" w:name="CreationDate"/>
            <w:bookmarkEnd w:id="0"/>
            <w:r w:rsidR="00ED6918">
              <w:rPr>
                <w:rFonts w:hint="eastAsia"/>
                <w:b/>
                <w:bCs/>
                <w:szCs w:val="24"/>
                <w:lang w:val="en-US" w:eastAsia="zh-CN"/>
              </w:rPr>
              <w:t>年</w:t>
            </w:r>
            <w:r w:rsidR="00ED6918">
              <w:rPr>
                <w:rFonts w:hint="eastAsia"/>
                <w:b/>
                <w:bCs/>
                <w:szCs w:val="24"/>
                <w:lang w:val="en-US" w:eastAsia="zh-CN"/>
              </w:rPr>
              <w:t>4</w:t>
            </w:r>
            <w:r w:rsidR="00ED6918">
              <w:rPr>
                <w:rFonts w:hint="eastAsia"/>
                <w:b/>
                <w:bCs/>
                <w:szCs w:val="24"/>
                <w:lang w:val="en-US" w:eastAsia="zh-CN"/>
              </w:rPr>
              <w:t>月</w:t>
            </w:r>
            <w:r w:rsidR="00ED6918">
              <w:rPr>
                <w:rFonts w:hint="eastAsia"/>
                <w:b/>
                <w:bCs/>
                <w:szCs w:val="24"/>
                <w:lang w:val="en-US" w:eastAsia="zh-CN"/>
              </w:rPr>
              <w:t>24</w:t>
            </w:r>
            <w:r w:rsidR="00ED6918">
              <w:rPr>
                <w:rFonts w:hint="eastAsia"/>
                <w:b/>
                <w:bCs/>
                <w:szCs w:val="24"/>
                <w:lang w:val="en-US" w:eastAsia="zh-CN"/>
              </w:rPr>
              <w:t>日</w:t>
            </w:r>
          </w:p>
        </w:tc>
      </w:tr>
      <w:tr w:rsidR="00194F24" w14:paraId="231E4E07" w14:textId="77777777" w:rsidTr="0058581C">
        <w:trPr>
          <w:cantSplit/>
        </w:trPr>
        <w:tc>
          <w:tcPr>
            <w:tcW w:w="9888" w:type="dxa"/>
          </w:tcPr>
          <w:p w14:paraId="430B49E2" w14:textId="0BEB3E02" w:rsidR="00194F24" w:rsidRPr="00194F24" w:rsidRDefault="00FD0295" w:rsidP="00194F24">
            <w:pPr>
              <w:spacing w:before="80" w:after="8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标题：背景文件</w:t>
            </w:r>
          </w:p>
        </w:tc>
      </w:tr>
      <w:tr w:rsidR="00A13162" w:rsidRPr="003028D9" w14:paraId="1F15A22C" w14:textId="77777777" w:rsidTr="0058581C">
        <w:trPr>
          <w:cantSplit/>
        </w:trPr>
        <w:tc>
          <w:tcPr>
            <w:tcW w:w="9888" w:type="dxa"/>
            <w:tcBorders>
              <w:bottom w:val="single" w:sz="2" w:space="0" w:color="00B0F0"/>
            </w:tcBorders>
          </w:tcPr>
          <w:p w14:paraId="5CA41DBC" w14:textId="78ABE277" w:rsidR="00A13162" w:rsidRPr="003028D9" w:rsidRDefault="00A13162" w:rsidP="00E642D2">
            <w:pPr>
              <w:spacing w:before="0"/>
              <w:rPr>
                <w:szCs w:val="24"/>
              </w:rPr>
            </w:pPr>
            <w:bookmarkStart w:id="1" w:name="Source"/>
            <w:bookmarkStart w:id="2" w:name="Title"/>
            <w:bookmarkEnd w:id="1"/>
            <w:bookmarkEnd w:id="2"/>
          </w:p>
        </w:tc>
      </w:tr>
    </w:tbl>
    <w:p w14:paraId="6D310128" w14:textId="5AB69616" w:rsidR="00216028" w:rsidRPr="00342299" w:rsidRDefault="00FD0295" w:rsidP="00367CC5">
      <w:pPr>
        <w:keepNext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背景</w:t>
      </w:r>
    </w:p>
    <w:p w14:paraId="0C0641E3" w14:textId="5FAED2FD" w:rsidR="00216028" w:rsidRPr="006C399A" w:rsidRDefault="00FD0295" w:rsidP="009B19A0">
      <w:pPr>
        <w:ind w:firstLineChars="200" w:firstLine="440"/>
        <w:jc w:val="both"/>
        <w:rPr>
          <w:sz w:val="22"/>
          <w:szCs w:val="22"/>
          <w:lang w:eastAsia="zh-CN"/>
        </w:rPr>
      </w:pPr>
      <w:r w:rsidRPr="00FD0295">
        <w:rPr>
          <w:rFonts w:hint="eastAsia"/>
          <w:sz w:val="22"/>
          <w:szCs w:val="22"/>
          <w:lang w:eastAsia="zh-CN"/>
        </w:rPr>
        <w:t>世界电信发展</w:t>
      </w:r>
      <w:r w:rsidR="00ED6918">
        <w:rPr>
          <w:rFonts w:hint="eastAsia"/>
          <w:sz w:val="22"/>
          <w:szCs w:val="22"/>
          <w:lang w:eastAsia="zh-CN"/>
        </w:rPr>
        <w:t>大会（</w:t>
      </w:r>
      <w:r w:rsidRPr="00FD0295">
        <w:rPr>
          <w:rFonts w:hint="eastAsia"/>
          <w:sz w:val="22"/>
          <w:szCs w:val="22"/>
          <w:lang w:eastAsia="zh-CN"/>
        </w:rPr>
        <w:t>“</w:t>
      </w:r>
      <w:r w:rsidRPr="00FD0295">
        <w:rPr>
          <w:rFonts w:hint="eastAsia"/>
          <w:sz w:val="22"/>
          <w:szCs w:val="22"/>
          <w:lang w:eastAsia="zh-CN"/>
        </w:rPr>
        <w:t>WTDC</w:t>
      </w:r>
      <w:r w:rsidRPr="00FD0295">
        <w:rPr>
          <w:rFonts w:hint="eastAsia"/>
          <w:sz w:val="22"/>
          <w:szCs w:val="22"/>
          <w:lang w:eastAsia="zh-CN"/>
        </w:rPr>
        <w:t>”</w:t>
      </w:r>
      <w:r w:rsidR="00ED6918">
        <w:rPr>
          <w:rFonts w:hint="eastAsia"/>
          <w:sz w:val="22"/>
          <w:szCs w:val="22"/>
          <w:lang w:val="en-US" w:eastAsia="zh-CN"/>
        </w:rPr>
        <w:t>）</w:t>
      </w:r>
      <w:r w:rsidRPr="00FD0295">
        <w:rPr>
          <w:rFonts w:hint="eastAsia"/>
          <w:sz w:val="22"/>
          <w:szCs w:val="22"/>
          <w:lang w:eastAsia="zh-CN"/>
        </w:rPr>
        <w:t>每四年举行一次，确定电信发展部门</w:t>
      </w:r>
      <w:r w:rsidR="00ED6918">
        <w:rPr>
          <w:rFonts w:hint="eastAsia"/>
          <w:sz w:val="22"/>
          <w:szCs w:val="22"/>
          <w:lang w:eastAsia="zh-CN"/>
        </w:rPr>
        <w:t>（</w:t>
      </w:r>
      <w:r w:rsidRPr="00FD0295">
        <w:rPr>
          <w:rFonts w:hint="eastAsia"/>
          <w:sz w:val="22"/>
          <w:szCs w:val="22"/>
          <w:lang w:eastAsia="zh-CN"/>
        </w:rPr>
        <w:t>“</w:t>
      </w:r>
      <w:r w:rsidR="00ED6918">
        <w:rPr>
          <w:rFonts w:hint="eastAsia"/>
          <w:sz w:val="22"/>
          <w:szCs w:val="22"/>
          <w:lang w:eastAsia="zh-CN"/>
        </w:rPr>
        <w:t>ITU-D</w:t>
      </w:r>
      <w:r w:rsidRPr="00FD0295">
        <w:rPr>
          <w:rFonts w:hint="eastAsia"/>
          <w:sz w:val="22"/>
          <w:szCs w:val="22"/>
          <w:lang w:eastAsia="zh-CN"/>
        </w:rPr>
        <w:t>”</w:t>
      </w:r>
      <w:r w:rsidR="00ED6918">
        <w:rPr>
          <w:rFonts w:hint="eastAsia"/>
          <w:sz w:val="22"/>
          <w:szCs w:val="22"/>
          <w:lang w:eastAsia="zh-CN"/>
        </w:rPr>
        <w:t>）</w:t>
      </w:r>
      <w:r w:rsidRPr="00FD0295">
        <w:rPr>
          <w:rFonts w:hint="eastAsia"/>
          <w:sz w:val="22"/>
          <w:szCs w:val="22"/>
          <w:lang w:eastAsia="zh-CN"/>
        </w:rPr>
        <w:t>的发展议程。</w:t>
      </w:r>
      <w:r w:rsidRPr="00FD0295">
        <w:rPr>
          <w:rFonts w:hint="eastAsia"/>
          <w:sz w:val="22"/>
          <w:szCs w:val="22"/>
          <w:lang w:eastAsia="zh-CN"/>
        </w:rPr>
        <w:t>WTDC</w:t>
      </w:r>
      <w:r w:rsidRPr="00FD0295">
        <w:rPr>
          <w:rFonts w:hint="eastAsia"/>
          <w:sz w:val="22"/>
          <w:szCs w:val="22"/>
          <w:lang w:eastAsia="zh-CN"/>
        </w:rPr>
        <w:t>还为国际社会提供</w:t>
      </w:r>
      <w:r w:rsidR="00ED6918" w:rsidRPr="00FD0295">
        <w:rPr>
          <w:rFonts w:hint="eastAsia"/>
          <w:sz w:val="22"/>
          <w:szCs w:val="22"/>
          <w:lang w:eastAsia="zh-CN"/>
        </w:rPr>
        <w:t>聚集一堂</w:t>
      </w:r>
      <w:r w:rsidR="00ED6918">
        <w:rPr>
          <w:rFonts w:hint="eastAsia"/>
          <w:sz w:val="22"/>
          <w:szCs w:val="22"/>
          <w:lang w:eastAsia="zh-CN"/>
        </w:rPr>
        <w:t>的</w:t>
      </w:r>
      <w:r w:rsidRPr="00FD0295">
        <w:rPr>
          <w:rFonts w:hint="eastAsia"/>
          <w:sz w:val="22"/>
          <w:szCs w:val="22"/>
          <w:lang w:eastAsia="zh-CN"/>
        </w:rPr>
        <w:t>独特机会，讨论信息通信技术</w:t>
      </w:r>
      <w:r w:rsidR="00ED6918">
        <w:rPr>
          <w:rFonts w:hint="eastAsia"/>
          <w:sz w:val="22"/>
          <w:szCs w:val="22"/>
          <w:lang w:eastAsia="zh-CN"/>
        </w:rPr>
        <w:t>（</w:t>
      </w:r>
      <w:r w:rsidR="00ED6918">
        <w:rPr>
          <w:rFonts w:hint="eastAsia"/>
          <w:sz w:val="22"/>
          <w:szCs w:val="22"/>
          <w:lang w:eastAsia="zh-CN"/>
        </w:rPr>
        <w:t>ICT</w:t>
      </w:r>
      <w:r w:rsidR="00ED6918">
        <w:rPr>
          <w:rFonts w:hint="eastAsia"/>
          <w:sz w:val="22"/>
          <w:szCs w:val="22"/>
          <w:lang w:eastAsia="zh-CN"/>
        </w:rPr>
        <w:t>）行业</w:t>
      </w:r>
      <w:r w:rsidRPr="00FD0295">
        <w:rPr>
          <w:rFonts w:hint="eastAsia"/>
          <w:sz w:val="22"/>
          <w:szCs w:val="22"/>
          <w:lang w:eastAsia="zh-CN"/>
        </w:rPr>
        <w:t>的未来及其对社会和经济发展的贡献。</w:t>
      </w:r>
    </w:p>
    <w:p w14:paraId="671A59BC" w14:textId="6B83C1F0" w:rsidR="00216028" w:rsidRPr="006C399A" w:rsidRDefault="00FD0295" w:rsidP="009B19A0">
      <w:pPr>
        <w:ind w:firstLineChars="200" w:firstLine="440"/>
        <w:jc w:val="both"/>
        <w:rPr>
          <w:sz w:val="22"/>
          <w:szCs w:val="22"/>
          <w:lang w:eastAsia="zh-CN"/>
        </w:rPr>
      </w:pPr>
      <w:r w:rsidRPr="00FD0295">
        <w:rPr>
          <w:rFonts w:hint="eastAsia"/>
          <w:sz w:val="22"/>
          <w:szCs w:val="22"/>
          <w:lang w:eastAsia="zh-CN"/>
        </w:rPr>
        <w:t>2020</w:t>
      </w:r>
      <w:r w:rsidRPr="00FD0295">
        <w:rPr>
          <w:rFonts w:hint="eastAsia"/>
          <w:sz w:val="22"/>
          <w:szCs w:val="22"/>
          <w:lang w:eastAsia="zh-CN"/>
        </w:rPr>
        <w:t>年</w:t>
      </w:r>
      <w:r w:rsidRPr="00FD0295">
        <w:rPr>
          <w:rFonts w:hint="eastAsia"/>
          <w:sz w:val="22"/>
          <w:szCs w:val="22"/>
          <w:lang w:eastAsia="zh-CN"/>
        </w:rPr>
        <w:t>3</w:t>
      </w:r>
      <w:r w:rsidRPr="00FD0295">
        <w:rPr>
          <w:rFonts w:hint="eastAsia"/>
          <w:sz w:val="22"/>
          <w:szCs w:val="22"/>
          <w:lang w:eastAsia="zh-CN"/>
        </w:rPr>
        <w:t>月</w:t>
      </w:r>
      <w:r w:rsidRPr="00FD0295">
        <w:rPr>
          <w:rFonts w:hint="eastAsia"/>
          <w:sz w:val="22"/>
          <w:szCs w:val="22"/>
          <w:lang w:eastAsia="zh-CN"/>
        </w:rPr>
        <w:t>24</w:t>
      </w:r>
      <w:r w:rsidRPr="00FD0295">
        <w:rPr>
          <w:rFonts w:hint="eastAsia"/>
          <w:sz w:val="22"/>
          <w:szCs w:val="22"/>
          <w:lang w:eastAsia="zh-CN"/>
        </w:rPr>
        <w:t>日，</w:t>
      </w:r>
      <w:r w:rsidR="00ED6918">
        <w:rPr>
          <w:rFonts w:hint="eastAsia"/>
          <w:sz w:val="22"/>
          <w:szCs w:val="22"/>
          <w:lang w:eastAsia="zh-CN"/>
        </w:rPr>
        <w:t>电信发展局</w:t>
      </w:r>
      <w:r w:rsidRPr="00FD0295">
        <w:rPr>
          <w:rFonts w:hint="eastAsia"/>
          <w:sz w:val="22"/>
          <w:szCs w:val="22"/>
          <w:lang w:eastAsia="zh-CN"/>
        </w:rPr>
        <w:t>组织了第一次</w:t>
      </w:r>
      <w:hyperlink r:id="rId12" w:history="1">
        <w:r w:rsidR="00ED6918" w:rsidRPr="009B19A0">
          <w:rPr>
            <w:rStyle w:val="Hyperlink"/>
            <w:rFonts w:hint="eastAsia"/>
            <w:sz w:val="22"/>
            <w:szCs w:val="22"/>
            <w:lang w:eastAsia="zh-CN"/>
          </w:rPr>
          <w:t>关于</w:t>
        </w:r>
        <w:r w:rsidR="00ED6918" w:rsidRPr="009B19A0">
          <w:rPr>
            <w:rStyle w:val="Hyperlink"/>
            <w:sz w:val="22"/>
            <w:szCs w:val="22"/>
            <w:lang w:eastAsia="zh-CN"/>
          </w:rPr>
          <w:t>WTDC</w:t>
        </w:r>
        <w:r w:rsidR="00ED6918" w:rsidRPr="009B19A0">
          <w:rPr>
            <w:rStyle w:val="Hyperlink"/>
            <w:rFonts w:hint="eastAsia"/>
            <w:sz w:val="22"/>
            <w:szCs w:val="22"/>
            <w:lang w:eastAsia="zh-CN"/>
          </w:rPr>
          <w:t>的网络对话</w:t>
        </w:r>
      </w:hyperlink>
      <w:r w:rsidRPr="00FD0295">
        <w:rPr>
          <w:rFonts w:hint="eastAsia"/>
          <w:sz w:val="22"/>
          <w:szCs w:val="22"/>
          <w:lang w:eastAsia="zh-CN"/>
        </w:rPr>
        <w:t>，与会者</w:t>
      </w:r>
      <w:r w:rsidR="00ED6918">
        <w:rPr>
          <w:rFonts w:hint="eastAsia"/>
          <w:sz w:val="22"/>
          <w:szCs w:val="22"/>
          <w:lang w:eastAsia="zh-CN"/>
        </w:rPr>
        <w:t>借此</w:t>
      </w:r>
      <w:r w:rsidRPr="00FD0295">
        <w:rPr>
          <w:rFonts w:hint="eastAsia"/>
          <w:sz w:val="22"/>
          <w:szCs w:val="22"/>
          <w:lang w:eastAsia="zh-CN"/>
        </w:rPr>
        <w:t>机会讨论</w:t>
      </w:r>
      <w:r w:rsidR="00ED6918">
        <w:rPr>
          <w:rFonts w:hint="eastAsia"/>
          <w:sz w:val="22"/>
          <w:szCs w:val="22"/>
          <w:lang w:eastAsia="zh-CN"/>
        </w:rPr>
        <w:t>了</w:t>
      </w:r>
      <w:r w:rsidRPr="00FD0295">
        <w:rPr>
          <w:rFonts w:hint="eastAsia"/>
          <w:sz w:val="22"/>
          <w:szCs w:val="22"/>
          <w:lang w:eastAsia="zh-CN"/>
        </w:rPr>
        <w:t>如何提高</w:t>
      </w:r>
      <w:r w:rsidRPr="00FD0295">
        <w:rPr>
          <w:rFonts w:hint="eastAsia"/>
          <w:sz w:val="22"/>
          <w:szCs w:val="22"/>
          <w:lang w:eastAsia="zh-CN"/>
        </w:rPr>
        <w:t>WTDC</w:t>
      </w:r>
      <w:r w:rsidR="00ED6918">
        <w:rPr>
          <w:rFonts w:hint="eastAsia"/>
          <w:sz w:val="22"/>
          <w:szCs w:val="22"/>
          <w:lang w:eastAsia="zh-CN"/>
        </w:rPr>
        <w:t>-</w:t>
      </w:r>
      <w:r w:rsidRPr="00FD0295">
        <w:rPr>
          <w:rFonts w:hint="eastAsia"/>
          <w:sz w:val="22"/>
          <w:szCs w:val="22"/>
          <w:lang w:eastAsia="zh-CN"/>
        </w:rPr>
        <w:t>21</w:t>
      </w:r>
      <w:r w:rsidRPr="00FD0295">
        <w:rPr>
          <w:rFonts w:hint="eastAsia"/>
          <w:sz w:val="22"/>
          <w:szCs w:val="22"/>
          <w:lang w:eastAsia="zh-CN"/>
        </w:rPr>
        <w:t>的有效性，并就此</w:t>
      </w:r>
      <w:r w:rsidR="00ED6918">
        <w:rPr>
          <w:rFonts w:hint="eastAsia"/>
          <w:sz w:val="22"/>
          <w:szCs w:val="22"/>
          <w:lang w:eastAsia="zh-CN"/>
        </w:rPr>
        <w:t>提出了输入</w:t>
      </w:r>
      <w:r w:rsidRPr="00FD0295">
        <w:rPr>
          <w:rFonts w:hint="eastAsia"/>
          <w:sz w:val="22"/>
          <w:szCs w:val="22"/>
          <w:lang w:eastAsia="zh-CN"/>
        </w:rPr>
        <w:t>意见。尽管</w:t>
      </w:r>
      <w:r w:rsidR="00372F85">
        <w:rPr>
          <w:rFonts w:hint="eastAsia"/>
          <w:sz w:val="22"/>
          <w:szCs w:val="22"/>
          <w:lang w:eastAsia="zh-CN"/>
        </w:rPr>
        <w:t>现状使得</w:t>
      </w:r>
      <w:r w:rsidRPr="00FD0295">
        <w:rPr>
          <w:rFonts w:hint="eastAsia"/>
          <w:sz w:val="22"/>
          <w:szCs w:val="22"/>
          <w:lang w:eastAsia="zh-CN"/>
        </w:rPr>
        <w:t>成员无法亲自</w:t>
      </w:r>
      <w:r w:rsidR="00372F85">
        <w:rPr>
          <w:rFonts w:hint="eastAsia"/>
          <w:sz w:val="22"/>
          <w:szCs w:val="22"/>
          <w:lang w:eastAsia="zh-CN"/>
        </w:rPr>
        <w:t>与会</w:t>
      </w:r>
      <w:r w:rsidRPr="00FD0295">
        <w:rPr>
          <w:rFonts w:hint="eastAsia"/>
          <w:sz w:val="22"/>
          <w:szCs w:val="22"/>
          <w:lang w:eastAsia="zh-CN"/>
        </w:rPr>
        <w:t>，但</w:t>
      </w:r>
      <w:r w:rsidRPr="00FD0295">
        <w:rPr>
          <w:rFonts w:hint="eastAsia"/>
          <w:sz w:val="22"/>
          <w:szCs w:val="22"/>
          <w:lang w:eastAsia="zh-CN"/>
        </w:rPr>
        <w:t>200</w:t>
      </w:r>
      <w:r w:rsidRPr="00FD0295">
        <w:rPr>
          <w:rFonts w:hint="eastAsia"/>
          <w:sz w:val="22"/>
          <w:szCs w:val="22"/>
          <w:lang w:eastAsia="zh-CN"/>
        </w:rPr>
        <w:t>多名与会者积极参加了讨论。</w:t>
      </w:r>
    </w:p>
    <w:p w14:paraId="511360B8" w14:textId="7C5056F4" w:rsidR="00FD0295" w:rsidRPr="00FD0295" w:rsidRDefault="00FD0295" w:rsidP="009B19A0">
      <w:pPr>
        <w:spacing w:after="240"/>
        <w:ind w:firstLineChars="200" w:firstLine="440"/>
        <w:jc w:val="both"/>
        <w:rPr>
          <w:sz w:val="22"/>
          <w:szCs w:val="22"/>
          <w:lang w:eastAsia="zh-CN"/>
        </w:rPr>
      </w:pPr>
      <w:r w:rsidRPr="00FD0295">
        <w:rPr>
          <w:rFonts w:hint="eastAsia"/>
          <w:sz w:val="22"/>
          <w:szCs w:val="22"/>
          <w:lang w:eastAsia="zh-CN"/>
        </w:rPr>
        <w:t>在</w:t>
      </w:r>
      <w:r w:rsidR="00372F85">
        <w:rPr>
          <w:rFonts w:hint="eastAsia"/>
          <w:sz w:val="22"/>
          <w:szCs w:val="22"/>
          <w:lang w:eastAsia="zh-CN"/>
        </w:rPr>
        <w:t>该</w:t>
      </w:r>
      <w:r w:rsidRPr="00FD0295">
        <w:rPr>
          <w:rFonts w:hint="eastAsia"/>
          <w:sz w:val="22"/>
          <w:szCs w:val="22"/>
          <w:lang w:eastAsia="zh-CN"/>
        </w:rPr>
        <w:t>第一次活动成果的基础上，</w:t>
      </w:r>
      <w:r w:rsidR="00372F85">
        <w:rPr>
          <w:rFonts w:hint="eastAsia"/>
          <w:sz w:val="22"/>
          <w:szCs w:val="22"/>
          <w:lang w:eastAsia="zh-CN"/>
        </w:rPr>
        <w:t>现</w:t>
      </w:r>
      <w:r w:rsidRPr="00FD0295">
        <w:rPr>
          <w:rFonts w:hint="eastAsia"/>
          <w:sz w:val="22"/>
          <w:szCs w:val="22"/>
          <w:lang w:eastAsia="zh-CN"/>
        </w:rPr>
        <w:t>再次邀请成员于</w:t>
      </w:r>
      <w:r w:rsidRPr="00FD0295">
        <w:rPr>
          <w:rFonts w:hint="eastAsia"/>
          <w:sz w:val="22"/>
          <w:szCs w:val="22"/>
          <w:lang w:eastAsia="zh-CN"/>
        </w:rPr>
        <w:t>2020</w:t>
      </w:r>
      <w:r w:rsidRPr="00FD0295">
        <w:rPr>
          <w:rFonts w:hint="eastAsia"/>
          <w:sz w:val="22"/>
          <w:szCs w:val="22"/>
          <w:lang w:eastAsia="zh-CN"/>
        </w:rPr>
        <w:t>年</w:t>
      </w:r>
      <w:r w:rsidRPr="00FD0295">
        <w:rPr>
          <w:rFonts w:hint="eastAsia"/>
          <w:sz w:val="22"/>
          <w:szCs w:val="22"/>
          <w:lang w:eastAsia="zh-CN"/>
        </w:rPr>
        <w:t>4</w:t>
      </w:r>
      <w:r w:rsidRPr="00FD0295">
        <w:rPr>
          <w:rFonts w:hint="eastAsia"/>
          <w:sz w:val="22"/>
          <w:szCs w:val="22"/>
          <w:lang w:eastAsia="zh-CN"/>
        </w:rPr>
        <w:t>月</w:t>
      </w:r>
      <w:r w:rsidRPr="00FD0295">
        <w:rPr>
          <w:rFonts w:hint="eastAsia"/>
          <w:sz w:val="22"/>
          <w:szCs w:val="22"/>
          <w:lang w:eastAsia="zh-CN"/>
        </w:rPr>
        <w:t>30</w:t>
      </w:r>
      <w:r w:rsidRPr="00FD0295">
        <w:rPr>
          <w:rFonts w:hint="eastAsia"/>
          <w:sz w:val="22"/>
          <w:szCs w:val="22"/>
          <w:lang w:eastAsia="zh-CN"/>
        </w:rPr>
        <w:t>日</w:t>
      </w:r>
      <w:r w:rsidR="00372F85">
        <w:rPr>
          <w:rFonts w:hint="eastAsia"/>
          <w:sz w:val="22"/>
          <w:szCs w:val="22"/>
          <w:lang w:eastAsia="zh-CN"/>
        </w:rPr>
        <w:t>汇聚</w:t>
      </w:r>
      <w:r w:rsidRPr="00FD0295">
        <w:rPr>
          <w:rFonts w:hint="eastAsia"/>
          <w:sz w:val="22"/>
          <w:szCs w:val="22"/>
          <w:lang w:eastAsia="zh-CN"/>
        </w:rPr>
        <w:t>一堂。</w:t>
      </w:r>
      <w:r w:rsidR="00372F85" w:rsidRPr="00372F85">
        <w:rPr>
          <w:sz w:val="22"/>
          <w:szCs w:val="22"/>
          <w:lang w:eastAsia="zh-CN"/>
        </w:rPr>
        <w:t>这次请各成员探讨旨在改进大会筹备过程、形式和内容的具体提案。</w:t>
      </w:r>
    </w:p>
    <w:p w14:paraId="393EC7AF" w14:textId="0043F2EF" w:rsidR="00484DFE" w:rsidRPr="006C399A" w:rsidRDefault="00FD0295" w:rsidP="009B19A0">
      <w:pPr>
        <w:spacing w:after="240"/>
        <w:ind w:firstLineChars="200" w:firstLine="440"/>
        <w:jc w:val="both"/>
        <w:rPr>
          <w:sz w:val="22"/>
          <w:szCs w:val="22"/>
          <w:lang w:eastAsia="zh-CN"/>
        </w:rPr>
      </w:pPr>
      <w:proofErr w:type="gramStart"/>
      <w:r w:rsidRPr="00FD0295">
        <w:rPr>
          <w:rFonts w:hint="eastAsia"/>
          <w:sz w:val="22"/>
          <w:szCs w:val="22"/>
          <w:lang w:eastAsia="zh-CN"/>
        </w:rPr>
        <w:t>本背景</w:t>
      </w:r>
      <w:proofErr w:type="gramEnd"/>
      <w:r w:rsidRPr="00FD0295">
        <w:rPr>
          <w:rFonts w:hint="eastAsia"/>
          <w:sz w:val="22"/>
          <w:szCs w:val="22"/>
          <w:lang w:eastAsia="zh-CN"/>
        </w:rPr>
        <w:t>文件旨在促进讨论，不应被视为详尽无遗。第二次网络对话的结果将作为</w:t>
      </w:r>
      <w:r w:rsidRPr="00FD0295">
        <w:rPr>
          <w:rFonts w:hint="eastAsia"/>
          <w:sz w:val="22"/>
          <w:szCs w:val="22"/>
          <w:lang w:eastAsia="zh-CN"/>
        </w:rPr>
        <w:t>WTDC-21</w:t>
      </w:r>
      <w:r w:rsidRPr="00FD0295">
        <w:rPr>
          <w:rFonts w:hint="eastAsia"/>
          <w:sz w:val="22"/>
          <w:szCs w:val="22"/>
          <w:lang w:eastAsia="zh-CN"/>
        </w:rPr>
        <w:t>筹备和规划进程的关键投入</w:t>
      </w:r>
      <w:r w:rsidR="005B6239">
        <w:rPr>
          <w:rFonts w:hint="eastAsia"/>
          <w:sz w:val="22"/>
          <w:szCs w:val="22"/>
          <w:lang w:eastAsia="zh-CN"/>
        </w:rPr>
        <w:t>内容</w:t>
      </w:r>
      <w:r w:rsidRPr="00FD0295">
        <w:rPr>
          <w:rFonts w:hint="eastAsia"/>
          <w:sz w:val="22"/>
          <w:szCs w:val="22"/>
          <w:lang w:eastAsia="zh-CN"/>
        </w:rPr>
        <w:t>，并将由</w:t>
      </w:r>
      <w:r w:rsidRPr="00FD0295">
        <w:rPr>
          <w:rFonts w:hint="eastAsia"/>
          <w:sz w:val="22"/>
          <w:szCs w:val="22"/>
          <w:lang w:eastAsia="zh-CN"/>
        </w:rPr>
        <w:t>TDAG</w:t>
      </w:r>
      <w:r w:rsidRPr="00FD0295">
        <w:rPr>
          <w:rFonts w:hint="eastAsia"/>
          <w:sz w:val="22"/>
          <w:szCs w:val="22"/>
          <w:lang w:eastAsia="zh-CN"/>
        </w:rPr>
        <w:t>在</w:t>
      </w:r>
      <w:r w:rsidR="005B6239">
        <w:rPr>
          <w:rFonts w:hint="eastAsia"/>
          <w:sz w:val="22"/>
          <w:szCs w:val="22"/>
          <w:lang w:eastAsia="zh-CN"/>
        </w:rPr>
        <w:t>其</w:t>
      </w:r>
      <w:r w:rsidR="005B6239" w:rsidRPr="00FD0295">
        <w:rPr>
          <w:rFonts w:hint="eastAsia"/>
          <w:sz w:val="22"/>
          <w:szCs w:val="22"/>
          <w:lang w:eastAsia="zh-CN"/>
        </w:rPr>
        <w:t>6</w:t>
      </w:r>
      <w:r w:rsidRPr="00FD0295">
        <w:rPr>
          <w:rFonts w:hint="eastAsia"/>
          <w:sz w:val="22"/>
          <w:szCs w:val="22"/>
          <w:lang w:eastAsia="zh-CN"/>
        </w:rPr>
        <w:t>月会议上进行</w:t>
      </w:r>
      <w:r w:rsidR="005B6239">
        <w:rPr>
          <w:rFonts w:hint="eastAsia"/>
          <w:sz w:val="22"/>
          <w:szCs w:val="22"/>
          <w:lang w:eastAsia="zh-CN"/>
        </w:rPr>
        <w:t>审议</w:t>
      </w:r>
      <w:r w:rsidRPr="00FD0295">
        <w:rPr>
          <w:rFonts w:hint="eastAsia"/>
          <w:sz w:val="22"/>
          <w:szCs w:val="22"/>
          <w:lang w:eastAsia="zh-CN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84DFE" w14:paraId="7AFE8B71" w14:textId="77777777" w:rsidTr="00173BFB">
        <w:tc>
          <w:tcPr>
            <w:tcW w:w="9629" w:type="dxa"/>
          </w:tcPr>
          <w:p w14:paraId="22DC5D93" w14:textId="0902912A" w:rsidR="00484DFE" w:rsidRPr="009B19A0" w:rsidRDefault="00FD0295" w:rsidP="00484DFE">
            <w:pPr>
              <w:keepNext/>
              <w:spacing w:before="80" w:after="8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议题</w:t>
            </w:r>
            <w:r w:rsidR="005C641D" w:rsidRPr="007A5A9E">
              <w:rPr>
                <w:b/>
                <w:bCs/>
                <w:sz w:val="28"/>
                <w:szCs w:val="28"/>
              </w:rPr>
              <w:t xml:space="preserve"> 1</w:t>
            </w:r>
            <w:r w:rsidR="005B6239"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r w:rsidR="009B19A0">
              <w:rPr>
                <w:rFonts w:hint="eastAsia"/>
                <w:b/>
                <w:bCs/>
                <w:szCs w:val="28"/>
                <w:lang w:eastAsia="zh-CN"/>
              </w:rPr>
              <w:t>筹备进程</w:t>
            </w:r>
          </w:p>
        </w:tc>
      </w:tr>
    </w:tbl>
    <w:p w14:paraId="0DC4395D" w14:textId="2DB7E773" w:rsidR="00216028" w:rsidRPr="005C641D" w:rsidRDefault="00216028" w:rsidP="005C641D">
      <w:pPr>
        <w:keepNext/>
        <w:spacing w:before="0"/>
        <w:rPr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16028" w:rsidRPr="007A5A9E" w14:paraId="181A7DDF" w14:textId="77777777" w:rsidTr="00AD23C9">
        <w:trPr>
          <w:trHeight w:val="341"/>
        </w:trPr>
        <w:tc>
          <w:tcPr>
            <w:tcW w:w="4957" w:type="dxa"/>
            <w:shd w:val="clear" w:color="auto" w:fill="EEECE1" w:themeFill="background2"/>
            <w:vAlign w:val="center"/>
          </w:tcPr>
          <w:p w14:paraId="3BD955F0" w14:textId="67E037FF" w:rsidR="00216028" w:rsidRPr="007A5A9E" w:rsidRDefault="00FD0295" w:rsidP="00AD23C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提案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1BC2B806" w14:textId="1FD1325E" w:rsidR="00216028" w:rsidRPr="007A5A9E" w:rsidRDefault="00FD0295" w:rsidP="00AD23C9">
            <w:pPr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相关法律或程序规定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/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意见</w:t>
            </w:r>
          </w:p>
        </w:tc>
      </w:tr>
      <w:tr w:rsidR="00216028" w:rsidRPr="007A5A9E" w14:paraId="1E8BC4EF" w14:textId="77777777" w:rsidTr="00B57607">
        <w:trPr>
          <w:trHeight w:val="341"/>
        </w:trPr>
        <w:tc>
          <w:tcPr>
            <w:tcW w:w="4957" w:type="dxa"/>
          </w:tcPr>
          <w:p w14:paraId="4B5B969F" w14:textId="7D48F2B7" w:rsidR="00216028" w:rsidRPr="007A5A9E" w:rsidRDefault="009D4F4A" w:rsidP="0043071E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9D4F4A">
              <w:rPr>
                <w:b/>
                <w:bCs/>
                <w:sz w:val="22"/>
                <w:szCs w:val="22"/>
                <w:lang w:eastAsia="zh-CN"/>
              </w:rPr>
              <w:t>1.1</w:t>
            </w:r>
            <w:r w:rsidR="001E7C29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国际电联可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出台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正式的区域间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大会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筹备进程。这些区域间筹备会议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IPM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的目标是促进各区域在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大会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之前就关键问题达成一致。可以组织三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次面对面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IPM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每次都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分别与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RPM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和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6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背靠背举行</w:t>
            </w:r>
            <w:r w:rsidR="005B6239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19" w:type="dxa"/>
          </w:tcPr>
          <w:p w14:paraId="13AE3DF6" w14:textId="5D5F3757" w:rsidR="00216028" w:rsidRPr="005E35A3" w:rsidRDefault="00FD0295" w:rsidP="008B21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sz w:val="22"/>
                <w:szCs w:val="22"/>
                <w:lang w:eastAsia="zh-CN"/>
              </w:rPr>
            </w:pP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WTDC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第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31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号决议</w:t>
            </w:r>
            <w:r w:rsidR="005B6239">
              <w:rPr>
                <w:rFonts w:ascii="Calibri" w:hAnsi="Calibri" w:hint="eastAsia"/>
                <w:sz w:val="22"/>
                <w:szCs w:val="22"/>
                <w:lang w:eastAsia="zh-CN"/>
              </w:rPr>
              <w:t>（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2017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年</w:t>
            </w:r>
            <w:r w:rsidR="005B6239">
              <w:rPr>
                <w:rFonts w:ascii="Calibri" w:hAnsi="Calibri" w:hint="eastAsia"/>
                <w:sz w:val="22"/>
                <w:szCs w:val="22"/>
                <w:lang w:eastAsia="zh-CN"/>
              </w:rPr>
              <w:t>，布宜诺斯艾利斯，修订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版</w:t>
            </w:r>
            <w:r w:rsidR="005B6239">
              <w:rPr>
                <w:rFonts w:ascii="Calibri" w:hAnsi="Calibri" w:hint="eastAsia"/>
                <w:sz w:val="22"/>
                <w:szCs w:val="22"/>
                <w:lang w:val="en-US" w:eastAsia="zh-CN"/>
              </w:rPr>
              <w:t>）</w:t>
            </w:r>
            <w:r w:rsidR="005B6239">
              <w:rPr>
                <w:rFonts w:ascii="Calibri" w:hAnsi="Calibri" w:hint="eastAsia"/>
                <w:sz w:val="22"/>
                <w:szCs w:val="22"/>
                <w:lang w:eastAsia="zh-CN"/>
              </w:rPr>
              <w:t>做出决议，责成电信发展局</w:t>
            </w:r>
            <w:r w:rsidR="005B6239"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主任</w:t>
            </w:r>
            <w:r w:rsidR="005B623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为六个区域中的每个区域举办一次区域性筹备会议（</w:t>
            </w:r>
            <w:r w:rsidR="005B623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R</w:t>
            </w:r>
            <w:r w:rsidR="005B623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PM</w:t>
            </w:r>
            <w:r w:rsidR="005B623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）</w:t>
            </w:r>
            <w:r w:rsidR="005B6239">
              <w:rPr>
                <w:rFonts w:ascii="Calibri" w:hAnsi="Calibri" w:hint="eastAsia"/>
                <w:sz w:val="22"/>
                <w:szCs w:val="22"/>
                <w:lang w:eastAsia="zh-CN"/>
              </w:rPr>
              <w:t>（</w:t>
            </w:r>
            <w:r w:rsidRPr="00FD0295">
              <w:rPr>
                <w:rFonts w:ascii="Calibri" w:hAnsi="Calibri" w:hint="eastAsia"/>
                <w:sz w:val="22"/>
                <w:szCs w:val="22"/>
                <w:lang w:eastAsia="zh-CN"/>
              </w:rPr>
              <w:t>如果相关区域认为适当的话</w:t>
            </w:r>
            <w:r w:rsidR="005B6239">
              <w:rPr>
                <w:rFonts w:ascii="Calibri" w:hAnsi="Calibri" w:hint="eastAsia"/>
                <w:sz w:val="22"/>
                <w:szCs w:val="22"/>
                <w:lang w:eastAsia="zh-CN"/>
              </w:rPr>
              <w:t>）。</w:t>
            </w:r>
          </w:p>
        </w:tc>
      </w:tr>
      <w:tr w:rsidR="00216028" w:rsidRPr="007A5A9E" w14:paraId="4D3EFAE7" w14:textId="77777777" w:rsidTr="00B57607">
        <w:trPr>
          <w:trHeight w:val="341"/>
        </w:trPr>
        <w:tc>
          <w:tcPr>
            <w:tcW w:w="4957" w:type="dxa"/>
          </w:tcPr>
          <w:p w14:paraId="730ED1FF" w14:textId="729447FE" w:rsidR="00216028" w:rsidRPr="007A5A9E" w:rsidRDefault="009D4F4A" w:rsidP="0043071E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9D4F4A">
              <w:rPr>
                <w:b/>
                <w:bCs/>
                <w:sz w:val="22"/>
                <w:szCs w:val="22"/>
                <w:lang w:eastAsia="zh-CN"/>
              </w:rPr>
              <w:t>1.2</w:t>
            </w:r>
            <w:r w:rsidR="001E7C29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电信发展局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可在保持独立性的同时，为区域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电信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组织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RTO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）的大会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筹备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工作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提供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建议和意见并予以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协助。这项任务将包括就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TDAG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开展的精简程序的结果向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RTO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提供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建议和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意见，并酌情对决议提出编辑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性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修正</w:t>
            </w:r>
            <w:r w:rsidR="000240FE">
              <w:rPr>
                <w:rFonts w:hint="eastAsia"/>
                <w:sz w:val="22"/>
                <w:szCs w:val="22"/>
                <w:lang w:eastAsia="zh-CN"/>
              </w:rPr>
              <w:t>意见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19" w:type="dxa"/>
          </w:tcPr>
          <w:p w14:paraId="1A9B274A" w14:textId="77777777" w:rsidR="00216028" w:rsidRPr="007A5A9E" w:rsidRDefault="00216028" w:rsidP="0043071E">
            <w:pPr>
              <w:spacing w:before="60" w:after="60"/>
              <w:rPr>
                <w:sz w:val="22"/>
                <w:szCs w:val="22"/>
                <w:lang w:eastAsia="zh-CN"/>
              </w:rPr>
            </w:pPr>
          </w:p>
        </w:tc>
      </w:tr>
    </w:tbl>
    <w:p w14:paraId="3366BA05" w14:textId="77777777" w:rsidR="00216028" w:rsidRDefault="00216028" w:rsidP="005C64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59" w:lineRule="auto"/>
        <w:textAlignment w:val="auto"/>
        <w:rPr>
          <w:sz w:val="28"/>
          <w:szCs w:val="28"/>
          <w:lang w:eastAsia="zh-CN"/>
        </w:rPr>
      </w:pPr>
      <w:bookmarkStart w:id="3" w:name="_Hlk37855701"/>
      <w:r>
        <w:rPr>
          <w:sz w:val="28"/>
          <w:szCs w:val="28"/>
          <w:lang w:eastAsia="zh-CN"/>
        </w:rPr>
        <w:br w:type="page"/>
      </w:r>
    </w:p>
    <w:tbl>
      <w:tblPr>
        <w:tblpPr w:leftFromText="180" w:rightFromText="180" w:horzAnchor="margin" w:tblpY="-492"/>
        <w:tblW w:w="9888" w:type="dxa"/>
        <w:tblBorders>
          <w:bottom w:val="single" w:sz="2" w:space="0" w:color="00B0F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7115B2" w:rsidRPr="003028D9" w14:paraId="5AD5E814" w14:textId="77777777" w:rsidTr="00173BFB">
        <w:trPr>
          <w:cantSplit/>
        </w:trPr>
        <w:tc>
          <w:tcPr>
            <w:tcW w:w="9888" w:type="dxa"/>
          </w:tcPr>
          <w:p w14:paraId="1F17459A" w14:textId="3243B918" w:rsidR="007115B2" w:rsidRPr="003028D9" w:rsidRDefault="00FD0295" w:rsidP="00915F3F">
            <w:pPr>
              <w:keepNext/>
              <w:spacing w:before="80" w:after="80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议题</w:t>
            </w:r>
            <w:r w:rsidR="007115B2" w:rsidRPr="007A5A9E">
              <w:rPr>
                <w:b/>
                <w:bCs/>
                <w:sz w:val="28"/>
                <w:szCs w:val="28"/>
              </w:rPr>
              <w:t xml:space="preserve"> 2</w:t>
            </w:r>
            <w:r w:rsidR="00BE4CCB"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内容与结构</w:t>
            </w:r>
          </w:p>
        </w:tc>
      </w:tr>
    </w:tbl>
    <w:p w14:paraId="269AE386" w14:textId="77777777" w:rsidR="007115B2" w:rsidRPr="007115B2" w:rsidRDefault="007115B2" w:rsidP="007115B2">
      <w:pPr>
        <w:keepNext/>
        <w:spacing w:before="0"/>
        <w:rPr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16028" w:rsidRPr="00264DC9" w14:paraId="3B1F49A9" w14:textId="77777777" w:rsidTr="00AD23C9">
        <w:trPr>
          <w:trHeight w:val="341"/>
        </w:trPr>
        <w:tc>
          <w:tcPr>
            <w:tcW w:w="4957" w:type="dxa"/>
            <w:shd w:val="clear" w:color="auto" w:fill="EEECE1" w:themeFill="background2"/>
            <w:vAlign w:val="center"/>
          </w:tcPr>
          <w:p w14:paraId="6970E41C" w14:textId="32729593" w:rsidR="00216028" w:rsidRPr="00264DC9" w:rsidRDefault="00FD0295" w:rsidP="00AD23C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提案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2AEC0241" w14:textId="6B209E90" w:rsidR="00216028" w:rsidRPr="00264DC9" w:rsidRDefault="00FD0295" w:rsidP="00AD23C9">
            <w:pPr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相关法律或程序规定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/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意见</w:t>
            </w:r>
          </w:p>
        </w:tc>
      </w:tr>
      <w:tr w:rsidR="00216028" w:rsidRPr="00264DC9" w14:paraId="3107DDC7" w14:textId="77777777" w:rsidTr="00B57607">
        <w:trPr>
          <w:trHeight w:val="341"/>
        </w:trPr>
        <w:tc>
          <w:tcPr>
            <w:tcW w:w="4957" w:type="dxa"/>
          </w:tcPr>
          <w:p w14:paraId="3A59AE43" w14:textId="75E98861" w:rsidR="00216028" w:rsidRPr="0041481B" w:rsidRDefault="0041481B" w:rsidP="0041481B">
            <w:pPr>
              <w:spacing w:before="60" w:after="60"/>
              <w:rPr>
                <w:rFonts w:cstheme="minorHAnsi"/>
                <w:color w:val="404040" w:themeColor="text1" w:themeTint="BF"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 xml:space="preserve">2.1 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="00BE4CCB" w:rsidRPr="00FD0295">
              <w:rPr>
                <w:rFonts w:cstheme="minorHAnsi" w:hint="eastAsia"/>
                <w:sz w:val="22"/>
                <w:szCs w:val="22"/>
                <w:lang w:eastAsia="zh-CN"/>
              </w:rPr>
              <w:t>可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主要</w:t>
            </w:r>
            <w:r w:rsidR="00BE4CCB" w:rsidRPr="00FD0295">
              <w:rPr>
                <w:rFonts w:cstheme="minorHAnsi" w:hint="eastAsia"/>
                <w:sz w:val="22"/>
                <w:szCs w:val="22"/>
                <w:lang w:eastAsia="zh-CN"/>
              </w:rPr>
              <w:t>围绕如何应对筹备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进程</w:t>
            </w:r>
            <w:r w:rsidR="00BE4CCB" w:rsidRPr="00FD0295">
              <w:rPr>
                <w:rFonts w:cstheme="minorHAnsi" w:hint="eastAsia"/>
                <w:sz w:val="22"/>
                <w:szCs w:val="22"/>
                <w:lang w:eastAsia="zh-CN"/>
              </w:rPr>
              <w:t>中确定的与发展有关的挑战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和为之找到资金渠道展开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讨论。任何已获批准的行动都应与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ITU-D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的现有预算挂钩，或与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大会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之前或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大会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期间所</w:t>
            </w:r>
            <w:r w:rsidR="00BE4CCB">
              <w:rPr>
                <w:rFonts w:cstheme="minorHAnsi" w:hint="eastAsia"/>
                <w:sz w:val="22"/>
                <w:szCs w:val="22"/>
                <w:lang w:eastAsia="zh-CN"/>
              </w:rPr>
              <w:t>做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的认捐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联系一起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19" w:type="dxa"/>
          </w:tcPr>
          <w:p w14:paraId="6E5EA26C" w14:textId="5BA8D6AD" w:rsidR="00FD0295" w:rsidRPr="00FD0295" w:rsidRDefault="000A6EB3" w:rsidP="00FD0295">
            <w:pPr>
              <w:tabs>
                <w:tab w:val="clear" w:pos="794"/>
              </w:tabs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国际电联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《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组织法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》第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22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条和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国际电联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《公约》第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16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条反映了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的义务。</w:t>
            </w:r>
          </w:p>
          <w:p w14:paraId="1D7F2053" w14:textId="1DF5040B" w:rsidR="00216028" w:rsidRPr="00555347" w:rsidRDefault="00FD0295" w:rsidP="00FD0295">
            <w:pPr>
              <w:tabs>
                <w:tab w:val="clear" w:pos="794"/>
              </w:tabs>
              <w:spacing w:before="60" w:after="60"/>
              <w:rPr>
                <w:rFonts w:cstheme="minorHAnsi"/>
                <w:color w:val="404040" w:themeColor="text1" w:themeTint="BF"/>
                <w:sz w:val="22"/>
                <w:szCs w:val="22"/>
                <w:lang w:eastAsia="zh-CN"/>
              </w:rPr>
            </w:pP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号决议第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节涉及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的结构，而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《公约》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213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款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则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对大会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议程的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制定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和通过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做出规定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216028" w:rsidRPr="00264DC9" w14:paraId="010D8EE9" w14:textId="77777777" w:rsidTr="00B57607">
        <w:trPr>
          <w:trHeight w:val="341"/>
        </w:trPr>
        <w:tc>
          <w:tcPr>
            <w:tcW w:w="4957" w:type="dxa"/>
          </w:tcPr>
          <w:p w14:paraId="15D3FC07" w14:textId="14648E77" w:rsidR="00216028" w:rsidRPr="0041481B" w:rsidRDefault="0041481B" w:rsidP="0041481B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 xml:space="preserve">2.2 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可考虑将关于国际电联战略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规划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的讨论委托给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TDAG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，以筹备下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一届全权代表大会（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PP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）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，同时考虑到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的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成果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。</w:t>
            </w:r>
          </w:p>
          <w:p w14:paraId="00785F21" w14:textId="7F4CA80A" w:rsidR="00216028" w:rsidRPr="0041481B" w:rsidRDefault="0041481B" w:rsidP="0041481B">
            <w:pPr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2.3</w:t>
            </w:r>
            <w:r w:rsidR="00A0500F">
              <w:rPr>
                <w:rFonts w:cstheme="minorHAnsi"/>
                <w:sz w:val="22"/>
                <w:szCs w:val="22"/>
                <w:lang w:eastAsia="zh-CN"/>
              </w:rPr>
              <w:t xml:space="preserve"> </w:t>
            </w:r>
            <w:r w:rsidR="00A0500F" w:rsidRPr="00FD0295">
              <w:rPr>
                <w:rFonts w:cstheme="minorHAnsi" w:hint="eastAsia"/>
                <w:sz w:val="22"/>
                <w:szCs w:val="22"/>
                <w:lang w:eastAsia="zh-CN"/>
              </w:rPr>
              <w:t>可重新调整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高级别政策会议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包括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进行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政策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性发言）的目标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使其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成为</w:t>
            </w:r>
            <w:r w:rsidR="00A0500F" w:rsidRPr="00FD0295">
              <w:rPr>
                <w:rFonts w:cstheme="minorHAnsi" w:hint="eastAsia"/>
                <w:sz w:val="22"/>
                <w:szCs w:val="22"/>
                <w:lang w:eastAsia="zh-CN"/>
              </w:rPr>
              <w:t>专题活动</w:t>
            </w:r>
            <w:r w:rsidR="009B19A0">
              <w:rPr>
                <w:rFonts w:cstheme="minorHAnsi" w:hint="eastAsia"/>
                <w:sz w:val="22"/>
                <w:szCs w:val="22"/>
                <w:lang w:eastAsia="zh-CN"/>
              </w:rPr>
              <w:t xml:space="preserve"> </w:t>
            </w:r>
            <w:r w:rsidR="009B19A0" w:rsidRPr="009B19A0">
              <w:rPr>
                <w:rFonts w:cstheme="minorHAnsi"/>
                <w:sz w:val="22"/>
                <w:szCs w:val="22"/>
                <w:lang w:eastAsia="zh-CN"/>
              </w:rPr>
              <w:t>[</w:t>
            </w:r>
            <w:r w:rsidR="00A0500F" w:rsidRPr="00FD0295">
              <w:rPr>
                <w:rFonts w:cstheme="minorHAnsi" w:hint="eastAsia"/>
                <w:sz w:val="22"/>
                <w:szCs w:val="22"/>
                <w:lang w:eastAsia="zh-CN"/>
              </w:rPr>
              <w:t>细节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见议题</w:t>
            </w:r>
            <w:proofErr w:type="gramStart"/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4</w:t>
            </w:r>
            <w:r w:rsidR="009B19A0" w:rsidRPr="009B19A0">
              <w:rPr>
                <w:rFonts w:cstheme="minorHAnsi"/>
                <w:sz w:val="22"/>
                <w:szCs w:val="22"/>
                <w:lang w:eastAsia="zh-CN"/>
              </w:rPr>
              <w:t>]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proofErr w:type="gramEnd"/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以应对发展挑战和明确确定的优先事项。</w:t>
            </w:r>
          </w:p>
          <w:p w14:paraId="24E62C83" w14:textId="7B363B7B" w:rsidR="00216028" w:rsidRPr="0041481B" w:rsidRDefault="003151A2" w:rsidP="0041481B">
            <w:pPr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2.4</w:t>
            </w:r>
            <w:r w:rsidR="00A0500F">
              <w:rPr>
                <w:rFonts w:cstheme="minorHAnsi"/>
                <w:sz w:val="22"/>
                <w:szCs w:val="22"/>
                <w:lang w:eastAsia="zh-CN"/>
              </w:rPr>
              <w:t xml:space="preserve"> 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关于决议的讨论可主要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源自此前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TDAG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会议的成果，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后者会</w:t>
            </w:r>
            <w:r w:rsidR="00FD0295" w:rsidRPr="00FD0295">
              <w:rPr>
                <w:rFonts w:cstheme="minorHAnsi" w:hint="eastAsia"/>
                <w:sz w:val="22"/>
                <w:szCs w:val="22"/>
                <w:lang w:eastAsia="zh-CN"/>
              </w:rPr>
              <w:t>努力精简</w:t>
            </w:r>
            <w:r w:rsidR="00A0500F">
              <w:rPr>
                <w:rFonts w:cstheme="minorHAnsi" w:hint="eastAsia"/>
                <w:sz w:val="22"/>
                <w:szCs w:val="22"/>
                <w:lang w:eastAsia="zh-CN"/>
              </w:rPr>
              <w:t>决议。</w:t>
            </w:r>
          </w:p>
        </w:tc>
        <w:tc>
          <w:tcPr>
            <w:tcW w:w="4819" w:type="dxa"/>
          </w:tcPr>
          <w:p w14:paraId="2D4667EC" w14:textId="6DDAA24C" w:rsidR="00216028" w:rsidRPr="00632F57" w:rsidRDefault="00FD0295" w:rsidP="00555347">
            <w:pPr>
              <w:tabs>
                <w:tab w:val="clear" w:pos="794"/>
              </w:tabs>
              <w:spacing w:before="60" w:after="60"/>
              <w:rPr>
                <w:rFonts w:asciiTheme="majorHAnsi" w:hAnsiTheme="majorHAnsi"/>
                <w:color w:val="404040" w:themeColor="text1" w:themeTint="BF"/>
                <w:sz w:val="22"/>
                <w:szCs w:val="22"/>
                <w:lang w:eastAsia="zh-CN"/>
              </w:rPr>
            </w:pP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根据国际电联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《组织法》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和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《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公约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》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proofErr w:type="gramStart"/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无需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审议</w:t>
            </w:r>
            <w:proofErr w:type="gramEnd"/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ITU-D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为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国际电联战略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规划提供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的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输入内容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。然而，这项任务反映在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号</w:t>
            </w:r>
            <w:r w:rsidR="000A6EB3" w:rsidRPr="00FD0295">
              <w:rPr>
                <w:rFonts w:cstheme="minorHAnsi" w:hint="eastAsia"/>
                <w:sz w:val="22"/>
                <w:szCs w:val="22"/>
                <w:lang w:eastAsia="zh-CN"/>
              </w:rPr>
              <w:t>决议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="000A6EB3" w:rsidRPr="00FD0295">
              <w:rPr>
                <w:rFonts w:cstheme="minorHAnsi" w:hint="eastAsia"/>
                <w:sz w:val="22"/>
                <w:szCs w:val="22"/>
                <w:lang w:eastAsia="zh-CN"/>
              </w:rPr>
              <w:t>2017</w:t>
            </w:r>
            <w:r w:rsidR="000A6EB3" w:rsidRPr="00FD0295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布宜诺斯艾利斯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修订版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）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，特别是第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1.8.2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条中。由于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第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 w:rsidR="000A6EB3">
              <w:rPr>
                <w:rFonts w:cstheme="minorHAnsi" w:hint="eastAsia"/>
                <w:sz w:val="22"/>
                <w:szCs w:val="22"/>
                <w:lang w:eastAsia="zh-CN"/>
              </w:rPr>
              <w:t>号</w:t>
            </w:r>
            <w:r w:rsidR="000A6EB3" w:rsidRPr="00FD0295">
              <w:rPr>
                <w:rFonts w:cstheme="minorHAnsi" w:hint="eastAsia"/>
                <w:sz w:val="22"/>
                <w:szCs w:val="22"/>
                <w:lang w:eastAsia="zh-CN"/>
              </w:rPr>
              <w:t>决议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属于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WTDC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的职权范围，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因此如果需要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，</w:t>
            </w:r>
            <w:r w:rsidR="0044206E">
              <w:rPr>
                <w:rFonts w:cstheme="minorHAnsi" w:hint="eastAsia"/>
                <w:sz w:val="22"/>
                <w:szCs w:val="22"/>
                <w:lang w:eastAsia="zh-CN"/>
              </w:rPr>
              <w:t>大会</w:t>
            </w:r>
            <w:r w:rsidRPr="00FD0295">
              <w:rPr>
                <w:rFonts w:cstheme="minorHAnsi" w:hint="eastAsia"/>
                <w:sz w:val="22"/>
                <w:szCs w:val="22"/>
                <w:lang w:eastAsia="zh-CN"/>
              </w:rPr>
              <w:t>可对其进行修正。</w:t>
            </w:r>
          </w:p>
        </w:tc>
      </w:tr>
      <w:tr w:rsidR="00216028" w:rsidRPr="00264DC9" w14:paraId="128B7F58" w14:textId="77777777" w:rsidTr="00B57607">
        <w:trPr>
          <w:trHeight w:val="341"/>
        </w:trPr>
        <w:tc>
          <w:tcPr>
            <w:tcW w:w="4957" w:type="dxa"/>
          </w:tcPr>
          <w:p w14:paraId="00302507" w14:textId="407B1921" w:rsidR="00216028" w:rsidRPr="0041481B" w:rsidRDefault="003151A2" w:rsidP="0041481B">
            <w:pPr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2.5</w:t>
            </w:r>
            <w:r w:rsidR="00A0500F">
              <w:rPr>
                <w:sz w:val="22"/>
                <w:szCs w:val="22"/>
                <w:lang w:eastAsia="zh-CN"/>
              </w:rPr>
              <w:t xml:space="preserve"> 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="00A0500F">
              <w:rPr>
                <w:rFonts w:hint="eastAsia"/>
                <w:sz w:val="22"/>
                <w:szCs w:val="22"/>
                <w:lang w:eastAsia="zh-CN"/>
              </w:rPr>
              <w:t>课题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可在筹备</w:t>
            </w:r>
            <w:r w:rsidR="00A0500F">
              <w:rPr>
                <w:rFonts w:hint="eastAsia"/>
                <w:sz w:val="22"/>
                <w:szCs w:val="22"/>
                <w:lang w:eastAsia="zh-CN"/>
              </w:rPr>
              <w:t>进程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中根据成员的需要以及区域和区域间的优先事项加以确定。</w:t>
            </w:r>
          </w:p>
          <w:p w14:paraId="520924FE" w14:textId="02E8F876" w:rsidR="00216028" w:rsidRPr="0041481B" w:rsidRDefault="003151A2" w:rsidP="0041481B">
            <w:pPr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2.6</w:t>
            </w:r>
            <w:r w:rsidR="007F4A09">
              <w:rPr>
                <w:sz w:val="22"/>
                <w:szCs w:val="22"/>
                <w:lang w:eastAsia="zh-CN"/>
              </w:rPr>
              <w:t xml:space="preserve"> 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可改进</w:t>
            </w:r>
            <w:r w:rsidR="007F4A09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7F4A09" w:rsidRPr="0041481B">
              <w:rPr>
                <w:sz w:val="22"/>
                <w:szCs w:val="22"/>
                <w:lang w:eastAsia="zh-CN"/>
              </w:rPr>
              <w:t xml:space="preserve">ITU-T </w:t>
            </w:r>
            <w:r w:rsidR="007F4A09">
              <w:rPr>
                <w:rFonts w:hint="eastAsia"/>
                <w:sz w:val="22"/>
                <w:szCs w:val="22"/>
                <w:lang w:eastAsia="zh-CN"/>
              </w:rPr>
              <w:t>与</w:t>
            </w:r>
            <w:r w:rsidR="007F4A09" w:rsidRPr="0041481B">
              <w:rPr>
                <w:sz w:val="22"/>
                <w:szCs w:val="22"/>
                <w:lang w:eastAsia="zh-CN"/>
              </w:rPr>
              <w:t xml:space="preserve"> ITU-D </w:t>
            </w:r>
            <w:r w:rsidR="007F4A09">
              <w:rPr>
                <w:rFonts w:hint="eastAsia"/>
                <w:sz w:val="22"/>
                <w:szCs w:val="22"/>
                <w:lang w:eastAsia="zh-CN"/>
              </w:rPr>
              <w:t>和</w:t>
            </w:r>
            <w:r w:rsidR="007F4A09" w:rsidRPr="0041481B">
              <w:rPr>
                <w:sz w:val="22"/>
                <w:szCs w:val="22"/>
                <w:lang w:eastAsia="zh-CN"/>
              </w:rPr>
              <w:t xml:space="preserve"> ITU-R </w:t>
            </w:r>
            <w:r w:rsidR="007F4A09">
              <w:rPr>
                <w:rFonts w:hint="eastAsia"/>
                <w:sz w:val="22"/>
                <w:szCs w:val="22"/>
                <w:lang w:eastAsia="zh-CN"/>
              </w:rPr>
              <w:t>与</w:t>
            </w:r>
            <w:r w:rsidR="007F4A09" w:rsidRPr="0041481B">
              <w:rPr>
                <w:sz w:val="22"/>
                <w:szCs w:val="22"/>
                <w:lang w:eastAsia="zh-CN"/>
              </w:rPr>
              <w:t xml:space="preserve"> ITU-D</w:t>
            </w:r>
            <w:r w:rsidR="007F4A09">
              <w:rPr>
                <w:sz w:val="22"/>
                <w:szCs w:val="22"/>
                <w:lang w:eastAsia="zh-CN"/>
              </w:rPr>
              <w:t xml:space="preserve"> 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="007F4A09">
              <w:rPr>
                <w:rFonts w:hint="eastAsia"/>
                <w:sz w:val="22"/>
                <w:szCs w:val="22"/>
                <w:lang w:eastAsia="zh-CN"/>
              </w:rPr>
              <w:t>课题的对照关系</w:t>
            </w:r>
            <w:r w:rsidR="00FD0295" w:rsidRPr="00FD0295">
              <w:rPr>
                <w:rFonts w:hint="eastAsia"/>
                <w:sz w:val="22"/>
                <w:szCs w:val="22"/>
                <w:lang w:eastAsia="zh-CN"/>
              </w:rPr>
              <w:t>，以确定可能的重叠或趋同领域。</w:t>
            </w:r>
          </w:p>
        </w:tc>
        <w:tc>
          <w:tcPr>
            <w:tcW w:w="4819" w:type="dxa"/>
          </w:tcPr>
          <w:p w14:paraId="43DD0EBF" w14:textId="77777777" w:rsidR="00216028" w:rsidRPr="00555347" w:rsidRDefault="00216028" w:rsidP="00555347">
            <w:pPr>
              <w:tabs>
                <w:tab w:val="clear" w:pos="794"/>
              </w:tabs>
              <w:spacing w:before="60" w:after="60"/>
              <w:ind w:left="47"/>
              <w:rPr>
                <w:sz w:val="22"/>
                <w:szCs w:val="22"/>
                <w:lang w:eastAsia="zh-CN"/>
              </w:rPr>
            </w:pPr>
          </w:p>
        </w:tc>
      </w:tr>
      <w:tr w:rsidR="00216028" w:rsidRPr="00264DC9" w14:paraId="4467ECBF" w14:textId="77777777" w:rsidTr="00B57607">
        <w:trPr>
          <w:trHeight w:val="341"/>
        </w:trPr>
        <w:tc>
          <w:tcPr>
            <w:tcW w:w="4957" w:type="dxa"/>
          </w:tcPr>
          <w:p w14:paraId="0CA1112A" w14:textId="5BD7E670" w:rsidR="00216028" w:rsidRPr="00555347" w:rsidRDefault="003151A2" w:rsidP="005553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 xml:space="preserve">2.7 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RTO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可根据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大会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确定的发展范围，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制定数量有限的“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区域优先事项”。可鼓励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RTO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确定跨区域的共同优先事项，这些优先事项可在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电信发展局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的预算限制范围内实施，或与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大会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之前或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大会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期间所</w:t>
            </w:r>
            <w:r w:rsidR="007F4A09">
              <w:rPr>
                <w:rFonts w:hint="eastAsia"/>
                <w:sz w:val="22"/>
                <w:szCs w:val="22"/>
                <w:lang w:val="en-US" w:eastAsia="zh-CN"/>
              </w:rPr>
              <w:t>做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的认捐和承诺挂钩。</w:t>
            </w:r>
          </w:p>
        </w:tc>
        <w:tc>
          <w:tcPr>
            <w:tcW w:w="4819" w:type="dxa"/>
          </w:tcPr>
          <w:p w14:paraId="1A1C2298" w14:textId="77777777" w:rsidR="00216028" w:rsidRPr="00555347" w:rsidRDefault="00216028" w:rsidP="005553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2"/>
                <w:szCs w:val="22"/>
                <w:lang w:val="en-US" w:eastAsia="zh-CN"/>
              </w:rPr>
            </w:pPr>
          </w:p>
        </w:tc>
      </w:tr>
      <w:bookmarkEnd w:id="3"/>
    </w:tbl>
    <w:p w14:paraId="61F238D2" w14:textId="77777777" w:rsidR="00216028" w:rsidRDefault="002160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51C75" w14:paraId="3ABC2F2B" w14:textId="77777777" w:rsidTr="004346F1">
        <w:tc>
          <w:tcPr>
            <w:tcW w:w="9629" w:type="dxa"/>
          </w:tcPr>
          <w:p w14:paraId="42C92C7A" w14:textId="25D98CBB" w:rsidR="00951C75" w:rsidRDefault="00CD50E3" w:rsidP="004346F1">
            <w:pPr>
              <w:keepNext/>
              <w:spacing w:before="80" w:after="80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议题</w:t>
            </w:r>
            <w:r w:rsidR="00951C75" w:rsidRPr="007A5A9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51C75">
              <w:rPr>
                <w:b/>
                <w:bCs/>
                <w:sz w:val="28"/>
                <w:szCs w:val="28"/>
                <w:lang w:eastAsia="zh-CN"/>
              </w:rPr>
              <w:t>3</w:t>
            </w:r>
            <w:r w:rsidR="00727331"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利益攸关方的参与</w:t>
            </w:r>
          </w:p>
        </w:tc>
      </w:tr>
    </w:tbl>
    <w:p w14:paraId="606A5F35" w14:textId="77777777" w:rsidR="00951C75" w:rsidRPr="005C641D" w:rsidRDefault="00951C75" w:rsidP="00951C75">
      <w:pPr>
        <w:keepNext/>
        <w:spacing w:before="0"/>
        <w:rPr>
          <w:szCs w:val="24"/>
          <w:lang w:eastAsia="zh-C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16028" w:rsidRPr="007A5A9E" w14:paraId="7CE47AC2" w14:textId="77777777" w:rsidTr="00AD23C9">
        <w:trPr>
          <w:trHeight w:val="341"/>
        </w:trPr>
        <w:tc>
          <w:tcPr>
            <w:tcW w:w="4957" w:type="dxa"/>
            <w:shd w:val="clear" w:color="auto" w:fill="EEECE1" w:themeFill="background2"/>
            <w:vAlign w:val="center"/>
          </w:tcPr>
          <w:p w14:paraId="13C6042B" w14:textId="6710E07E" w:rsidR="00216028" w:rsidRPr="007A5A9E" w:rsidRDefault="00CD50E3" w:rsidP="00AD23C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提案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2E9A9F78" w14:textId="6CBC45AD" w:rsidR="00216028" w:rsidRPr="007A5A9E" w:rsidRDefault="00CD50E3" w:rsidP="00AD23C9">
            <w:pPr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相关法律或程序规定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/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意见</w:t>
            </w:r>
          </w:p>
        </w:tc>
      </w:tr>
      <w:tr w:rsidR="000F7473" w:rsidRPr="007A5A9E" w14:paraId="59691820" w14:textId="77777777" w:rsidTr="00B57607">
        <w:trPr>
          <w:trHeight w:val="341"/>
        </w:trPr>
        <w:tc>
          <w:tcPr>
            <w:tcW w:w="4957" w:type="dxa"/>
          </w:tcPr>
          <w:p w14:paraId="64465F35" w14:textId="2457A18F" w:rsidR="000F7473" w:rsidRPr="003151A2" w:rsidRDefault="003151A2" w:rsidP="003151A2">
            <w:pPr>
              <w:tabs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3.1 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按照组成群体（</w:t>
            </w:r>
            <w:r w:rsidR="00412D8C" w:rsidRPr="003151A2">
              <w:rPr>
                <w:sz w:val="22"/>
                <w:szCs w:val="22"/>
                <w:lang w:eastAsia="zh-CN"/>
              </w:rPr>
              <w:t>constituent group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创建主要受邀参与者的目标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清单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，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包括简短“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明星”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清单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，并根据截止日期管理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针对具体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目标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邀请流程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 w14:paraId="7ABF6278" w14:textId="0B0DE78C" w:rsidR="000F7473" w:rsidRPr="003151A2" w:rsidRDefault="003151A2" w:rsidP="003151A2">
            <w:pPr>
              <w:tabs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3.2</w:t>
            </w:r>
            <w:r w:rsidR="00412D8C">
              <w:rPr>
                <w:sz w:val="22"/>
                <w:szCs w:val="22"/>
                <w:lang w:eastAsia="zh-CN"/>
              </w:rPr>
              <w:t xml:space="preserve"> 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改进、增强现有的或创建新的筹备活动，以吸引目标参与者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19" w:type="dxa"/>
          </w:tcPr>
          <w:p w14:paraId="1B319D37" w14:textId="347F40C9" w:rsidR="000F7473" w:rsidRPr="00555347" w:rsidRDefault="00CD50E3" w:rsidP="000F7473">
            <w:pPr>
              <w:tabs>
                <w:tab w:val="clear" w:pos="794"/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 w:rsidRPr="00CD50E3">
              <w:rPr>
                <w:rFonts w:hint="eastAsia"/>
                <w:sz w:val="22"/>
                <w:szCs w:val="22"/>
                <w:lang w:eastAsia="zh-CN"/>
              </w:rPr>
              <w:t>《公约》第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25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条和《</w:t>
            </w:r>
            <w:r w:rsidR="008B4838">
              <w:rPr>
                <w:rFonts w:hint="eastAsia"/>
                <w:sz w:val="22"/>
                <w:szCs w:val="22"/>
                <w:lang w:eastAsia="zh-CN"/>
              </w:rPr>
              <w:t>总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规则》第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3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条涉及邀请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接纳</w:t>
            </w:r>
            <w:r w:rsidR="00F53911">
              <w:rPr>
                <w:rFonts w:hint="eastAsia"/>
                <w:sz w:val="22"/>
                <w:szCs w:val="22"/>
                <w:lang w:eastAsia="zh-CN"/>
              </w:rPr>
              <w:t>参与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WTDC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的问题。部门成员和观察员的权利分别在《</w:t>
            </w:r>
            <w:r w:rsidR="00F53911">
              <w:rPr>
                <w:rFonts w:hint="eastAsia"/>
                <w:sz w:val="22"/>
                <w:szCs w:val="22"/>
                <w:lang w:eastAsia="zh-CN"/>
              </w:rPr>
              <w:t>组织法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》第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3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条和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PP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145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号决议中涉及。关于部门成员权利的</w:t>
            </w:r>
            <w:r w:rsidR="00F53911">
              <w:rPr>
                <w:rFonts w:hint="eastAsia"/>
                <w:sz w:val="22"/>
                <w:szCs w:val="22"/>
                <w:lang w:eastAsia="zh-CN"/>
              </w:rPr>
              <w:t>更多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规定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亦见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PP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14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决议</w:t>
            </w:r>
            <w:r w:rsidR="00412D8C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:rsidR="000F7473" w:rsidRPr="007A5A9E" w14:paraId="7174CAD5" w14:textId="77777777" w:rsidTr="00B57607">
        <w:trPr>
          <w:trHeight w:val="341"/>
        </w:trPr>
        <w:tc>
          <w:tcPr>
            <w:tcW w:w="4957" w:type="dxa"/>
          </w:tcPr>
          <w:p w14:paraId="2FCF78F7" w14:textId="14C89969" w:rsidR="000F7473" w:rsidRPr="00F50331" w:rsidRDefault="003151A2" w:rsidP="000F7473">
            <w:pPr>
              <w:tabs>
                <w:tab w:val="clear" w:pos="794"/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3.3</w:t>
            </w:r>
            <w:r w:rsidR="008E0D21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外部利益攸关方可</w:t>
            </w:r>
            <w:r w:rsidR="008E0D21">
              <w:rPr>
                <w:rFonts w:hint="eastAsia"/>
                <w:sz w:val="22"/>
                <w:szCs w:val="22"/>
                <w:lang w:val="en-US" w:eastAsia="zh-CN"/>
              </w:rPr>
              <w:t>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共同主持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”大会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议程中的特定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专场会议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和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分会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，例如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45606071" w14:textId="243DB630" w:rsidR="000F7473" w:rsidRDefault="00CD50E3" w:rsidP="000F7473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365"/>
                <w:tab w:val="left" w:pos="1191"/>
                <w:tab w:val="left" w:pos="1588"/>
                <w:tab w:val="left" w:pos="1985"/>
              </w:tabs>
              <w:spacing w:before="60" w:after="60"/>
              <w:ind w:left="360"/>
              <w:contextualSpacing w:val="0"/>
              <w:rPr>
                <w:sz w:val="22"/>
                <w:szCs w:val="22"/>
                <w:lang w:eastAsia="zh-CN"/>
              </w:rPr>
            </w:pPr>
            <w:r w:rsidRPr="00CD50E3">
              <w:rPr>
                <w:rFonts w:hint="eastAsia"/>
                <w:sz w:val="22"/>
                <w:szCs w:val="22"/>
                <w:lang w:eastAsia="zh-CN"/>
              </w:rPr>
              <w:t>侧重于国际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双边发展机构和伙伴的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专场会议；</w:t>
            </w:r>
          </w:p>
          <w:p w14:paraId="1D60982F" w14:textId="6E8327C7" w:rsidR="000F7473" w:rsidRDefault="00CD50E3" w:rsidP="000F7473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365"/>
                <w:tab w:val="left" w:pos="1191"/>
                <w:tab w:val="left" w:pos="1588"/>
                <w:tab w:val="left" w:pos="1985"/>
              </w:tabs>
              <w:spacing w:before="60" w:after="60"/>
              <w:ind w:left="360"/>
              <w:contextualSpacing w:val="0"/>
              <w:rPr>
                <w:sz w:val="22"/>
                <w:szCs w:val="22"/>
              </w:rPr>
            </w:pPr>
            <w:proofErr w:type="gramStart"/>
            <w:r w:rsidRPr="00CD50E3">
              <w:rPr>
                <w:rFonts w:hint="eastAsia"/>
                <w:sz w:val="22"/>
                <w:szCs w:val="22"/>
              </w:rPr>
              <w:t>教育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专场会议；</w:t>
            </w:r>
            <w:proofErr w:type="gramEnd"/>
          </w:p>
          <w:p w14:paraId="1DBB0158" w14:textId="3899DD0D" w:rsidR="000F7473" w:rsidRPr="00F50331" w:rsidRDefault="00CD50E3" w:rsidP="000F7473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365"/>
                <w:tab w:val="left" w:pos="1191"/>
                <w:tab w:val="left" w:pos="1588"/>
                <w:tab w:val="left" w:pos="1985"/>
              </w:tabs>
              <w:spacing w:before="60" w:after="60"/>
              <w:ind w:left="360"/>
              <w:contextualSpacing w:val="0"/>
              <w:rPr>
                <w:sz w:val="22"/>
                <w:szCs w:val="22"/>
                <w:lang w:eastAsia="zh-CN"/>
              </w:rPr>
            </w:pPr>
            <w:r w:rsidRPr="00CD50E3">
              <w:rPr>
                <w:rFonts w:hint="eastAsia"/>
                <w:sz w:val="22"/>
                <w:szCs w:val="22"/>
                <w:lang w:eastAsia="zh-CN"/>
              </w:rPr>
              <w:t>关于如何为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ICT</w:t>
            </w:r>
            <w:r w:rsidRPr="00CD50E3">
              <w:rPr>
                <w:rFonts w:hint="eastAsia"/>
                <w:sz w:val="22"/>
                <w:szCs w:val="22"/>
                <w:lang w:eastAsia="zh-CN"/>
              </w:rPr>
              <w:t>生态系统融资的</w:t>
            </w:r>
            <w:r w:rsidR="008E0D21">
              <w:rPr>
                <w:rFonts w:hint="eastAsia"/>
                <w:sz w:val="22"/>
                <w:szCs w:val="22"/>
                <w:lang w:eastAsia="zh-CN"/>
              </w:rPr>
              <w:t>专场会议。</w:t>
            </w:r>
          </w:p>
        </w:tc>
        <w:tc>
          <w:tcPr>
            <w:tcW w:w="4819" w:type="dxa"/>
          </w:tcPr>
          <w:p w14:paraId="2A2F3E46" w14:textId="77777777" w:rsidR="000F7473" w:rsidRPr="00555347" w:rsidRDefault="000F7473" w:rsidP="000F7473">
            <w:pPr>
              <w:tabs>
                <w:tab w:val="clear" w:pos="794"/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</w:p>
        </w:tc>
      </w:tr>
      <w:tr w:rsidR="000F7473" w:rsidRPr="007A5A9E" w14:paraId="4ADD6411" w14:textId="77777777" w:rsidTr="00B57607">
        <w:trPr>
          <w:trHeight w:val="341"/>
        </w:trPr>
        <w:tc>
          <w:tcPr>
            <w:tcW w:w="4957" w:type="dxa"/>
          </w:tcPr>
          <w:p w14:paraId="2896518E" w14:textId="344D8758" w:rsidR="000F7473" w:rsidRPr="00F50331" w:rsidRDefault="003151A2" w:rsidP="000F7473">
            <w:pPr>
              <w:tabs>
                <w:tab w:val="clear" w:pos="794"/>
                <w:tab w:val="left" w:pos="365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3.4 </w:t>
            </w:r>
            <w:r w:rsidR="008E0D21" w:rsidRPr="008E0D21">
              <w:rPr>
                <w:sz w:val="22"/>
                <w:szCs w:val="22"/>
                <w:lang w:eastAsia="zh-CN"/>
              </w:rPr>
              <w:t>为</w:t>
            </w:r>
            <w:r w:rsidR="008E0D21" w:rsidRPr="008E0D21">
              <w:rPr>
                <w:sz w:val="22"/>
                <w:szCs w:val="22"/>
                <w:lang w:eastAsia="zh-CN"/>
              </w:rPr>
              <w:t>WTDC</w:t>
            </w:r>
            <w:r w:rsidR="008E0D21" w:rsidRPr="008E0D21">
              <w:rPr>
                <w:sz w:val="22"/>
                <w:szCs w:val="22"/>
                <w:lang w:eastAsia="zh-CN"/>
              </w:rPr>
              <w:t>制定并</w:t>
            </w:r>
            <w:r w:rsidR="008E0D21" w:rsidRPr="008E0D21">
              <w:rPr>
                <w:rFonts w:hint="eastAsia"/>
                <w:sz w:val="22"/>
                <w:szCs w:val="22"/>
                <w:lang w:eastAsia="zh-CN"/>
              </w:rPr>
              <w:t>开展</w:t>
            </w:r>
            <w:r w:rsidR="008E0D21" w:rsidRPr="008E0D21">
              <w:rPr>
                <w:sz w:val="22"/>
                <w:szCs w:val="22"/>
                <w:lang w:eastAsia="zh-CN"/>
              </w:rPr>
              <w:t>有针对性的</w:t>
            </w:r>
            <w:r w:rsidR="008E0D21" w:rsidRPr="008E0D21">
              <w:rPr>
                <w:rFonts w:hint="eastAsia"/>
                <w:sz w:val="22"/>
                <w:szCs w:val="22"/>
                <w:lang w:eastAsia="zh-CN"/>
              </w:rPr>
              <w:t>宣传</w:t>
            </w:r>
            <w:r w:rsidR="008E0D21" w:rsidRPr="008E0D21">
              <w:rPr>
                <w:sz w:val="22"/>
                <w:szCs w:val="22"/>
                <w:lang w:eastAsia="zh-CN"/>
              </w:rPr>
              <w:t>推广活</w:t>
            </w:r>
            <w:r w:rsidR="008E0D21" w:rsidRPr="008E0D21">
              <w:rPr>
                <w:rFonts w:hint="eastAsia"/>
                <w:sz w:val="22"/>
                <w:szCs w:val="22"/>
                <w:lang w:eastAsia="zh-CN"/>
              </w:rPr>
              <w:t>动</w:t>
            </w:r>
            <w:r w:rsidR="009B19A0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19" w:type="dxa"/>
          </w:tcPr>
          <w:p w14:paraId="29C377F3" w14:textId="77777777" w:rsidR="000F7473" w:rsidRPr="00555347" w:rsidRDefault="000F7473" w:rsidP="000F7473">
            <w:pPr>
              <w:tabs>
                <w:tab w:val="clear" w:pos="794"/>
              </w:tabs>
              <w:spacing w:before="60" w:after="60"/>
              <w:rPr>
                <w:sz w:val="22"/>
                <w:szCs w:val="22"/>
                <w:lang w:eastAsia="zh-CN"/>
              </w:rPr>
            </w:pPr>
          </w:p>
        </w:tc>
      </w:tr>
    </w:tbl>
    <w:p w14:paraId="2A54C242" w14:textId="77777777" w:rsidR="00216028" w:rsidRDefault="00216028" w:rsidP="007A5A9E">
      <w:pPr>
        <w:rPr>
          <w:lang w:eastAsia="zh-CN"/>
        </w:rPr>
      </w:pPr>
    </w:p>
    <w:p w14:paraId="10AD2EE7" w14:textId="77777777" w:rsidR="00216028" w:rsidRDefault="002160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57607" w14:paraId="35F406B0" w14:textId="77777777" w:rsidTr="004346F1">
        <w:tc>
          <w:tcPr>
            <w:tcW w:w="9629" w:type="dxa"/>
          </w:tcPr>
          <w:p w14:paraId="125730B3" w14:textId="05E7AE55" w:rsidR="00B57607" w:rsidRDefault="00CD50E3" w:rsidP="004346F1">
            <w:pPr>
              <w:keepNext/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议题</w:t>
            </w:r>
            <w:r w:rsidR="00B57607" w:rsidRPr="007A5A9E">
              <w:rPr>
                <w:b/>
                <w:bCs/>
                <w:sz w:val="28"/>
                <w:szCs w:val="28"/>
              </w:rPr>
              <w:t xml:space="preserve"> </w:t>
            </w:r>
            <w:r w:rsidR="00B57607">
              <w:rPr>
                <w:b/>
                <w:bCs/>
                <w:sz w:val="28"/>
                <w:szCs w:val="28"/>
              </w:rPr>
              <w:t>4</w:t>
            </w:r>
            <w:r w:rsidR="00E348E6"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会外活动</w:t>
            </w:r>
          </w:p>
        </w:tc>
      </w:tr>
    </w:tbl>
    <w:p w14:paraId="6DB16899" w14:textId="77777777" w:rsidR="00B57607" w:rsidRPr="005C641D" w:rsidRDefault="00B57607" w:rsidP="00B57607">
      <w:pPr>
        <w:keepNext/>
        <w:spacing w:before="0"/>
        <w:rPr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16028" w:rsidRPr="007A5A9E" w14:paraId="550FDA6A" w14:textId="77777777" w:rsidTr="00AD23C9">
        <w:trPr>
          <w:trHeight w:val="341"/>
        </w:trPr>
        <w:tc>
          <w:tcPr>
            <w:tcW w:w="4957" w:type="dxa"/>
            <w:shd w:val="clear" w:color="auto" w:fill="EEECE1" w:themeFill="background2"/>
            <w:vAlign w:val="center"/>
          </w:tcPr>
          <w:p w14:paraId="473E73FC" w14:textId="58A06375" w:rsidR="00216028" w:rsidRPr="007A5A9E" w:rsidRDefault="00CD50E3" w:rsidP="00AD23C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提案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41F4528E" w14:textId="1B297A31" w:rsidR="00216028" w:rsidRPr="007A5A9E" w:rsidRDefault="00CD50E3" w:rsidP="00AD23C9">
            <w:pPr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相关法律或程序规定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/</w:t>
            </w:r>
            <w:r w:rsidRPr="00FD0295">
              <w:rPr>
                <w:rFonts w:hint="eastAsia"/>
                <w:b/>
                <w:bCs/>
                <w:sz w:val="22"/>
                <w:szCs w:val="22"/>
                <w:lang w:eastAsia="zh-CN"/>
              </w:rPr>
              <w:t>意见</w:t>
            </w:r>
          </w:p>
        </w:tc>
      </w:tr>
      <w:tr w:rsidR="00216028" w:rsidRPr="007A5A9E" w14:paraId="71E432E7" w14:textId="77777777" w:rsidTr="00B57607">
        <w:trPr>
          <w:trHeight w:val="341"/>
        </w:trPr>
        <w:tc>
          <w:tcPr>
            <w:tcW w:w="4957" w:type="dxa"/>
          </w:tcPr>
          <w:p w14:paraId="5C3B03A0" w14:textId="2A77C1ED" w:rsidR="00216028" w:rsidRPr="000F1C5F" w:rsidRDefault="00E348E6" w:rsidP="00962CD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348E6">
              <w:rPr>
                <w:rFonts w:hint="eastAsia"/>
                <w:sz w:val="22"/>
                <w:szCs w:val="22"/>
                <w:lang w:val="en-US" w:eastAsia="zh-CN"/>
              </w:rPr>
              <w:t>通过</w:t>
            </w:r>
            <w:r w:rsidRPr="00E348E6">
              <w:rPr>
                <w:sz w:val="22"/>
                <w:szCs w:val="22"/>
                <w:lang w:val="en-US" w:eastAsia="zh-CN"/>
              </w:rPr>
              <w:t>精心挑选主题、利益</w:t>
            </w:r>
            <w:r w:rsidRPr="00E348E6">
              <w:rPr>
                <w:rFonts w:hint="eastAsia"/>
                <w:sz w:val="22"/>
                <w:szCs w:val="22"/>
                <w:lang w:val="en-US" w:eastAsia="zh-CN"/>
              </w:rPr>
              <w:t>攸关方</w:t>
            </w:r>
            <w:r w:rsidRPr="00E348E6">
              <w:rPr>
                <w:sz w:val="22"/>
                <w:szCs w:val="22"/>
                <w:lang w:val="en-US" w:eastAsia="zh-CN"/>
              </w:rPr>
              <w:t>、明确的议程和价值主张，设计</w:t>
            </w:r>
            <w:r w:rsidRPr="00E348E6">
              <w:rPr>
                <w:rFonts w:hint="eastAsia"/>
                <w:sz w:val="22"/>
                <w:szCs w:val="22"/>
                <w:lang w:val="en-US" w:eastAsia="zh-CN"/>
              </w:rPr>
              <w:t>会外</w:t>
            </w:r>
            <w:r w:rsidRPr="00E348E6">
              <w:rPr>
                <w:sz w:val="22"/>
                <w:szCs w:val="22"/>
                <w:lang w:val="en-US" w:eastAsia="zh-CN"/>
              </w:rPr>
              <w:t>活动以产生影响</w:t>
            </w:r>
            <w:r w:rsidRPr="00E348E6">
              <w:rPr>
                <w:rFonts w:hint="eastAsia"/>
                <w:sz w:val="22"/>
                <w:szCs w:val="22"/>
                <w:lang w:val="en-US" w:eastAsia="zh-CN"/>
              </w:rPr>
              <w:t>力。</w:t>
            </w:r>
          </w:p>
          <w:p w14:paraId="5F06F946" w14:textId="357AB95C" w:rsidR="00216028" w:rsidRPr="000F1C5F" w:rsidRDefault="00CD50E3" w:rsidP="00962CDC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CD50E3">
              <w:rPr>
                <w:rFonts w:hint="eastAsia"/>
                <w:sz w:val="22"/>
                <w:szCs w:val="22"/>
                <w:lang w:eastAsia="zh-CN"/>
              </w:rPr>
              <w:t>为此，可</w:t>
            </w:r>
            <w:r w:rsidR="00E348E6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2995DEB4" w14:textId="6D80AD38" w:rsidR="00216028" w:rsidRPr="00A343C4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4.1</w:t>
            </w:r>
            <w:r w:rsidR="00A41AFF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A41AFF">
              <w:rPr>
                <w:rFonts w:hint="eastAsia"/>
                <w:lang w:eastAsia="zh-CN"/>
              </w:rPr>
              <w:t>展开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独特的“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会外活动”筹备</w:t>
            </w:r>
            <w:r w:rsidR="00A41AFF">
              <w:rPr>
                <w:rFonts w:hint="eastAsia"/>
                <w:sz w:val="22"/>
                <w:szCs w:val="22"/>
                <w:lang w:eastAsia="zh-CN"/>
              </w:rPr>
              <w:t>进程。</w:t>
            </w:r>
          </w:p>
          <w:p w14:paraId="3B54DE0A" w14:textId="7B0FD381" w:rsidR="00244CE4" w:rsidRPr="00A343C4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4.2 </w:t>
            </w:r>
            <w:r w:rsidR="00A41AFF" w:rsidRPr="00A41AFF">
              <w:rPr>
                <w:rFonts w:hint="eastAsia"/>
                <w:sz w:val="22"/>
                <w:szCs w:val="22"/>
                <w:lang w:eastAsia="zh-CN"/>
              </w:rPr>
              <w:t>使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会外活动成为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WTDC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不可分割的</w:t>
            </w:r>
            <w:r w:rsidR="00A41AFF">
              <w:rPr>
                <w:rFonts w:hint="eastAsia"/>
                <w:sz w:val="22"/>
                <w:szCs w:val="22"/>
                <w:lang w:val="en-US" w:eastAsia="zh-CN"/>
              </w:rPr>
              <w:t>组成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部分，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并构成“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发展”</w:t>
            </w:r>
            <w:r w:rsidR="00A41AFF">
              <w:rPr>
                <w:rFonts w:hint="eastAsia"/>
                <w:sz w:val="22"/>
                <w:szCs w:val="22"/>
                <w:lang w:val="en-US" w:eastAsia="zh-CN"/>
              </w:rPr>
              <w:t>专场会议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，作为对</w:t>
            </w:r>
            <w:r w:rsidR="00A41AFF">
              <w:rPr>
                <w:rFonts w:hint="eastAsia"/>
                <w:sz w:val="22"/>
                <w:szCs w:val="22"/>
                <w:lang w:val="en-US" w:eastAsia="zh-CN"/>
              </w:rPr>
              <w:t>大会当前日程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的补充。</w:t>
            </w:r>
          </w:p>
          <w:p w14:paraId="758D64EC" w14:textId="576CCFC8" w:rsidR="00216028" w:rsidRPr="00A343C4" w:rsidRDefault="00A343C4" w:rsidP="00A343C4">
            <w:pPr>
              <w:spacing w:before="60" w:after="60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4.3 </w:t>
            </w:r>
            <w:r w:rsidR="00A41AFF">
              <w:rPr>
                <w:rFonts w:hint="eastAsia"/>
                <w:lang w:eastAsia="zh-CN"/>
              </w:rPr>
              <w:t>展开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WTDC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后的</w:t>
            </w:r>
            <w:r w:rsidR="00A41AFF">
              <w:rPr>
                <w:rFonts w:hint="eastAsia"/>
                <w:sz w:val="22"/>
                <w:szCs w:val="22"/>
                <w:lang w:eastAsia="zh-CN"/>
              </w:rPr>
              <w:t>大会</w:t>
            </w:r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后进程，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与相关利益攸关方进一步协调或落实“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eastAsia="zh-CN"/>
              </w:rPr>
              <w:t>会外活动”成果。</w:t>
            </w:r>
          </w:p>
        </w:tc>
        <w:tc>
          <w:tcPr>
            <w:tcW w:w="4819" w:type="dxa"/>
          </w:tcPr>
          <w:p w14:paraId="4C65A127" w14:textId="77777777" w:rsidR="00216028" w:rsidRPr="000F1C5F" w:rsidRDefault="00216028" w:rsidP="004048FF">
            <w:pPr>
              <w:tabs>
                <w:tab w:val="clear" w:pos="794"/>
                <w:tab w:val="left" w:pos="369"/>
              </w:tabs>
              <w:spacing w:before="60" w:after="60"/>
              <w:ind w:left="369" w:hanging="369"/>
              <w:rPr>
                <w:sz w:val="22"/>
                <w:szCs w:val="22"/>
                <w:lang w:eastAsia="zh-CN"/>
              </w:rPr>
            </w:pPr>
          </w:p>
        </w:tc>
      </w:tr>
      <w:tr w:rsidR="00216028" w:rsidRPr="007A5A9E" w14:paraId="3F254C62" w14:textId="77777777" w:rsidTr="00B57607">
        <w:trPr>
          <w:trHeight w:val="341"/>
        </w:trPr>
        <w:tc>
          <w:tcPr>
            <w:tcW w:w="4957" w:type="dxa"/>
          </w:tcPr>
          <w:p w14:paraId="3F1B499B" w14:textId="0C5B4F87" w:rsidR="00244CE4" w:rsidRPr="00244CE4" w:rsidRDefault="00CD50E3" w:rsidP="00244CE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D50E3">
              <w:rPr>
                <w:rFonts w:hint="eastAsia"/>
                <w:sz w:val="22"/>
                <w:szCs w:val="22"/>
                <w:lang w:val="en-US" w:eastAsia="zh-CN"/>
              </w:rPr>
              <w:t>WTDC</w:t>
            </w:r>
            <w:proofErr w:type="gramStart"/>
            <w:r w:rsidR="003700DB">
              <w:rPr>
                <w:rFonts w:hint="eastAsia"/>
                <w:sz w:val="22"/>
                <w:szCs w:val="22"/>
                <w:lang w:val="en-US" w:eastAsia="zh-CN"/>
              </w:rPr>
              <w:t>期间</w:t>
            </w:r>
            <w:r w:rsidRPr="00CD50E3">
              <w:rPr>
                <w:rFonts w:hint="eastAsia"/>
                <w:sz w:val="22"/>
                <w:szCs w:val="22"/>
                <w:lang w:val="en-US" w:eastAsia="zh-CN"/>
              </w:rPr>
              <w:t>“</w:t>
            </w:r>
            <w:proofErr w:type="gramEnd"/>
            <w:r w:rsidRPr="00CD50E3">
              <w:rPr>
                <w:rFonts w:hint="eastAsia"/>
                <w:sz w:val="22"/>
                <w:szCs w:val="22"/>
                <w:lang w:val="en-US" w:eastAsia="zh-CN"/>
              </w:rPr>
              <w:t>发展”</w:t>
            </w:r>
            <w:r w:rsidR="003700DB">
              <w:rPr>
                <w:rFonts w:hint="eastAsia"/>
                <w:sz w:val="22"/>
                <w:szCs w:val="22"/>
                <w:lang w:val="en-US" w:eastAsia="zh-CN"/>
              </w:rPr>
              <w:t>专场会议的特点：</w:t>
            </w:r>
          </w:p>
          <w:p w14:paraId="3B7D71E9" w14:textId="4BE1A852" w:rsidR="00216028" w:rsidRPr="00A343C4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B19A0">
              <w:rPr>
                <w:b/>
                <w:bCs/>
                <w:sz w:val="22"/>
                <w:szCs w:val="22"/>
                <w:lang w:val="en-US" w:eastAsia="zh-CN"/>
              </w:rPr>
              <w:t>4.4</w:t>
            </w:r>
            <w:r w:rsidRPr="009278BB">
              <w:rPr>
                <w:sz w:val="22"/>
                <w:szCs w:val="22"/>
                <w:lang w:val="en-US" w:eastAsia="zh-CN"/>
              </w:rPr>
              <w:t xml:space="preserve"> 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发展</w:t>
            </w:r>
            <w:r w:rsidR="003700DB">
              <w:rPr>
                <w:rFonts w:hint="eastAsia"/>
                <w:sz w:val="22"/>
                <w:szCs w:val="22"/>
                <w:lang w:val="en-US" w:eastAsia="zh-CN"/>
              </w:rPr>
              <w:t>专场会议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可围绕关键主题领域组织，例如</w:t>
            </w:r>
            <w:proofErr w:type="gramStart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，“</w:t>
            </w:r>
            <w:proofErr w:type="gramEnd"/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区域优先事项”应是多样</w:t>
            </w:r>
            <w:r w:rsidR="003700DB">
              <w:rPr>
                <w:rFonts w:hint="eastAsia"/>
                <w:sz w:val="22"/>
                <w:szCs w:val="22"/>
                <w:lang w:val="en-US" w:eastAsia="zh-CN"/>
              </w:rPr>
              <w:t>化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的、互动的和动态</w:t>
            </w:r>
            <w:r w:rsidR="003700DB">
              <w:rPr>
                <w:rFonts w:hint="eastAsia"/>
                <w:sz w:val="22"/>
                <w:szCs w:val="22"/>
                <w:lang w:val="en-US" w:eastAsia="zh-CN"/>
              </w:rPr>
              <w:t>变化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的。</w:t>
            </w:r>
          </w:p>
          <w:p w14:paraId="5687C0EC" w14:textId="312A7385" w:rsidR="00216028" w:rsidRPr="00A343C4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B19A0">
              <w:rPr>
                <w:b/>
                <w:bCs/>
                <w:sz w:val="22"/>
                <w:szCs w:val="22"/>
                <w:lang w:val="en-US" w:eastAsia="zh-CN"/>
              </w:rPr>
              <w:t>4.5</w:t>
            </w:r>
            <w:r w:rsidRPr="009278BB">
              <w:rPr>
                <w:sz w:val="22"/>
                <w:szCs w:val="22"/>
                <w:lang w:val="en-US" w:eastAsia="zh-CN"/>
              </w:rPr>
              <w:t xml:space="preserve"> </w:t>
            </w:r>
            <w:r w:rsidR="003700DB" w:rsidRPr="009278BB">
              <w:rPr>
                <w:rFonts w:hint="eastAsia"/>
                <w:sz w:val="22"/>
                <w:szCs w:val="22"/>
                <w:lang w:val="en-US" w:eastAsia="zh-CN"/>
              </w:rPr>
              <w:t>可重新调整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高级别政策会议</w:t>
            </w:r>
            <w:r w:rsidR="003700DB" w:rsidRPr="009278BB">
              <w:rPr>
                <w:rFonts w:hint="eastAsia"/>
                <w:sz w:val="22"/>
                <w:szCs w:val="22"/>
                <w:lang w:val="en-US" w:eastAsia="zh-CN"/>
              </w:rPr>
              <w:t>（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包括</w:t>
            </w:r>
            <w:r w:rsidR="003700DB" w:rsidRPr="009278BB">
              <w:rPr>
                <w:rFonts w:hint="eastAsia"/>
                <w:sz w:val="22"/>
                <w:szCs w:val="22"/>
                <w:lang w:val="en-US" w:eastAsia="zh-CN"/>
              </w:rPr>
              <w:t>做出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政策</w:t>
            </w:r>
            <w:r w:rsidR="003700DB" w:rsidRPr="009278BB">
              <w:rPr>
                <w:rFonts w:hint="eastAsia"/>
                <w:sz w:val="22"/>
                <w:szCs w:val="22"/>
                <w:lang w:val="en-US" w:eastAsia="zh-CN"/>
              </w:rPr>
              <w:t>性发言）的目标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，</w:t>
            </w:r>
            <w:r w:rsidR="003700DB" w:rsidRPr="009278BB">
              <w:rPr>
                <w:rFonts w:hint="eastAsia"/>
                <w:sz w:val="22"/>
                <w:szCs w:val="22"/>
                <w:lang w:val="en-US" w:eastAsia="zh-CN"/>
              </w:rPr>
              <w:t>使其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成为应对发展挑战和明确确定的优先事项的专题活动。专题活动可旨在找到应对这些挑战的</w:t>
            </w:r>
            <w:r w:rsidR="009278BB" w:rsidRPr="009278BB">
              <w:rPr>
                <w:rFonts w:hint="eastAsia"/>
                <w:sz w:val="22"/>
                <w:szCs w:val="22"/>
                <w:lang w:val="en-US" w:eastAsia="zh-CN"/>
              </w:rPr>
              <w:t>解决方案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，包括筹资方面</w:t>
            </w:r>
            <w:r w:rsidR="009278BB" w:rsidRPr="009278BB">
              <w:rPr>
                <w:rFonts w:hint="eastAsia"/>
                <w:sz w:val="22"/>
                <w:szCs w:val="22"/>
                <w:lang w:val="en-US" w:eastAsia="zh-CN"/>
              </w:rPr>
              <w:t>的方案</w:t>
            </w:r>
            <w:r w:rsidR="00CD50E3" w:rsidRPr="009278BB">
              <w:rPr>
                <w:rFonts w:hint="eastAsia"/>
                <w:sz w:val="22"/>
                <w:szCs w:val="22"/>
                <w:lang w:val="en-US" w:eastAsia="zh-CN"/>
              </w:rPr>
              <w:t>。</w:t>
            </w:r>
          </w:p>
          <w:p w14:paraId="3101104D" w14:textId="2A61A9F2" w:rsidR="00216028" w:rsidRPr="00A343C4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B19A0">
              <w:rPr>
                <w:b/>
                <w:bCs/>
                <w:sz w:val="22"/>
                <w:szCs w:val="22"/>
                <w:lang w:val="en-US" w:eastAsia="zh-CN"/>
              </w:rPr>
              <w:t>4.6</w:t>
            </w:r>
            <w:r w:rsidRPr="009278BB">
              <w:rPr>
                <w:sz w:val="22"/>
                <w:szCs w:val="22"/>
                <w:lang w:val="en-US" w:eastAsia="zh-CN"/>
              </w:rPr>
              <w:t xml:space="preserve"> 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演讲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人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和听众可包括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类利益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攸关方（</w:t>
            </w:r>
            <w:r w:rsidR="009278BB" w:rsidRPr="009278BB">
              <w:rPr>
                <w:sz w:val="22"/>
                <w:szCs w:val="22"/>
                <w:lang w:val="en-US" w:eastAsia="zh-CN"/>
              </w:rPr>
              <w:t>提出问题方</w:t>
            </w:r>
            <w:r w:rsidR="009278BB" w:rsidRPr="009278BB">
              <w:rPr>
                <w:rFonts w:hint="eastAsia"/>
                <w:sz w:val="22"/>
                <w:szCs w:val="22"/>
                <w:lang w:val="en-US" w:eastAsia="zh-CN"/>
              </w:rPr>
              <w:t>、</w:t>
            </w:r>
            <w:r w:rsidR="009278BB" w:rsidRPr="009278BB">
              <w:rPr>
                <w:sz w:val="22"/>
                <w:szCs w:val="22"/>
                <w:lang w:val="en-US" w:eastAsia="zh-CN"/>
              </w:rPr>
              <w:t>解决方案提供</w:t>
            </w:r>
            <w:r w:rsidR="009278BB" w:rsidRPr="009278BB">
              <w:rPr>
                <w:rFonts w:hint="eastAsia"/>
                <w:sz w:val="22"/>
                <w:szCs w:val="22"/>
                <w:lang w:val="en-US" w:eastAsia="zh-CN"/>
              </w:rPr>
              <w:t>方、资金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拥有方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和受益人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）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，以增加互动和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提高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兴趣</w:t>
            </w:r>
            <w:r w:rsidR="009278BB">
              <w:rPr>
                <w:rFonts w:hint="eastAsia"/>
                <w:sz w:val="22"/>
                <w:szCs w:val="22"/>
                <w:lang w:val="en-US" w:eastAsia="zh-CN"/>
              </w:rPr>
              <w:t>。</w:t>
            </w:r>
          </w:p>
          <w:p w14:paraId="10DB2966" w14:textId="644D9B57" w:rsidR="00216028" w:rsidRPr="009278BB" w:rsidRDefault="00A343C4" w:rsidP="00A343C4">
            <w:pPr>
              <w:tabs>
                <w:tab w:val="left" w:pos="369"/>
              </w:tabs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9B19A0">
              <w:rPr>
                <w:b/>
                <w:bCs/>
                <w:sz w:val="22"/>
                <w:szCs w:val="22"/>
                <w:lang w:val="en-US" w:eastAsia="zh-CN"/>
              </w:rPr>
              <w:t>4.7</w:t>
            </w:r>
            <w:r w:rsidR="009F65E3">
              <w:rPr>
                <w:sz w:val="22"/>
                <w:szCs w:val="22"/>
                <w:lang w:val="en-US" w:eastAsia="zh-CN"/>
              </w:rPr>
              <w:t xml:space="preserve"> </w:t>
            </w:r>
            <w:r w:rsidR="00A958E8">
              <w:rPr>
                <w:rFonts w:hint="eastAsia"/>
                <w:sz w:val="22"/>
                <w:szCs w:val="22"/>
                <w:lang w:val="en-US" w:eastAsia="zh-CN"/>
              </w:rPr>
              <w:t>该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发展</w:t>
            </w:r>
            <w:r w:rsidR="00A958E8">
              <w:rPr>
                <w:rFonts w:hint="eastAsia"/>
                <w:sz w:val="22"/>
                <w:szCs w:val="22"/>
                <w:lang w:val="en-US" w:eastAsia="zh-CN"/>
              </w:rPr>
              <w:t>专场会议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的成果可</w:t>
            </w:r>
            <w:r w:rsidR="00A958E8">
              <w:rPr>
                <w:rFonts w:hint="eastAsia"/>
                <w:sz w:val="22"/>
                <w:szCs w:val="22"/>
                <w:lang w:val="en-US" w:eastAsia="zh-CN"/>
              </w:rPr>
              <w:t>成为</w:t>
            </w:r>
            <w:r w:rsidR="00A958E8" w:rsidRPr="00CD50E3">
              <w:rPr>
                <w:rFonts w:hint="eastAsia"/>
                <w:sz w:val="22"/>
                <w:szCs w:val="22"/>
                <w:lang w:val="en-US" w:eastAsia="zh-CN"/>
              </w:rPr>
              <w:t>新的</w:t>
            </w:r>
            <w:r w:rsidR="00A958E8" w:rsidRPr="00CD50E3"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 w:rsidR="00A958E8" w:rsidRPr="00CD50E3">
              <w:rPr>
                <w:rFonts w:hint="eastAsia"/>
                <w:sz w:val="22"/>
                <w:szCs w:val="22"/>
                <w:lang w:val="en-US" w:eastAsia="zh-CN"/>
              </w:rPr>
              <w:t>最后确定项目</w:t>
            </w:r>
            <w:r w:rsidR="009F65E3" w:rsidRPr="00CD50E3">
              <w:rPr>
                <w:rFonts w:hint="eastAsia"/>
                <w:sz w:val="22"/>
                <w:szCs w:val="22"/>
                <w:lang w:val="en-US" w:eastAsia="zh-CN"/>
              </w:rPr>
              <w:t>的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建议</w:t>
            </w:r>
            <w:r w:rsidR="00A958E8" w:rsidRPr="00CD50E3">
              <w:rPr>
                <w:rFonts w:hint="eastAsia"/>
                <w:sz w:val="22"/>
                <w:szCs w:val="22"/>
                <w:lang w:val="en-US" w:eastAsia="zh-CN"/>
              </w:rPr>
              <w:t>和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举措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---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项目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与主题有关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、相关方面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表示有兴趣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承诺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为之出资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，</w:t>
            </w:r>
            <w:r w:rsidR="009F65E3">
              <w:rPr>
                <w:rFonts w:hint="eastAsia"/>
                <w:sz w:val="22"/>
                <w:szCs w:val="22"/>
                <w:lang w:val="en-US" w:eastAsia="zh-CN"/>
              </w:rPr>
              <w:t>且具有得到跟进</w:t>
            </w:r>
            <w:r w:rsidR="00CD50E3" w:rsidRPr="00CD50E3">
              <w:rPr>
                <w:rFonts w:hint="eastAsia"/>
                <w:sz w:val="22"/>
                <w:szCs w:val="22"/>
                <w:lang w:val="en-US" w:eastAsia="zh-CN"/>
              </w:rPr>
              <w:t>的具体工作计划。</w:t>
            </w:r>
          </w:p>
        </w:tc>
        <w:tc>
          <w:tcPr>
            <w:tcW w:w="4819" w:type="dxa"/>
          </w:tcPr>
          <w:p w14:paraId="42CFF636" w14:textId="77777777" w:rsidR="00216028" w:rsidRPr="000F1C5F" w:rsidRDefault="00216028" w:rsidP="004048FF">
            <w:pPr>
              <w:tabs>
                <w:tab w:val="clear" w:pos="794"/>
                <w:tab w:val="left" w:pos="369"/>
              </w:tabs>
              <w:spacing w:before="60" w:after="60"/>
              <w:ind w:left="369" w:hanging="369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14F0327B" w14:textId="77777777" w:rsidR="00216028" w:rsidRDefault="00216028" w:rsidP="000B4C87">
      <w:pPr>
        <w:rPr>
          <w:lang w:eastAsia="zh-CN"/>
        </w:rPr>
      </w:pPr>
    </w:p>
    <w:p w14:paraId="7BAF8EA4" w14:textId="2939E35B" w:rsidR="00821996" w:rsidRDefault="003C58BF" w:rsidP="00FE1D3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4" w:name="Proposal"/>
      <w:bookmarkEnd w:id="4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43F35" w14:textId="77777777" w:rsidR="00064DDD" w:rsidRDefault="00064DDD">
      <w:r>
        <w:separator/>
      </w:r>
    </w:p>
  </w:endnote>
  <w:endnote w:type="continuationSeparator" w:id="0">
    <w:p w14:paraId="033DC8CD" w14:textId="77777777" w:rsidR="00064DDD" w:rsidRDefault="0006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C196" w14:textId="60B30B31" w:rsidR="00B74B40" w:rsidRPr="006D271A" w:rsidRDefault="0020591B" w:rsidP="00FF6C5F">
    <w:pPr>
      <w:pStyle w:val="Footer"/>
      <w:rPr>
        <w:smallCaps/>
        <w:spacing w:val="24"/>
        <w:lang w:val="de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B19A0">
      <w:t>P:\CHI\ITU-D\BDT\DDIR\DIV\470790C.docx</w:t>
    </w:r>
    <w:r>
      <w:fldChar w:fldCharType="end"/>
    </w:r>
    <w:r w:rsidR="00FF6C5F" w:rsidRPr="00FF6C5F">
      <w:t xml:space="preserve"> (</w:t>
    </w:r>
    <w:r w:rsidR="00FF6C5F">
      <w:rPr>
        <w:rFonts w:hint="eastAsia"/>
        <w:lang w:eastAsia="zh-CN"/>
      </w:rPr>
      <w:t>470790</w:t>
    </w:r>
    <w:r w:rsidR="00FF6C5F" w:rsidRPr="00FF6C5F">
      <w:t>)</w:t>
    </w:r>
    <w:r w:rsidR="00B74B40" w:rsidRPr="00972BCD">
      <w:tab/>
    </w:r>
    <w:r w:rsidR="00B74B40" w:rsidRPr="006D271A">
      <w:rPr>
        <w:lang w:val="de-CH"/>
      </w:rPr>
      <w:tab/>
    </w:r>
    <w:r w:rsidR="00B74B40" w:rsidRPr="009B19A0">
      <w:rPr>
        <w:sz w:val="20"/>
      </w:rPr>
      <w:fldChar w:fldCharType="begin"/>
    </w:r>
    <w:r w:rsidR="00B74B40" w:rsidRPr="009B19A0">
      <w:rPr>
        <w:sz w:val="20"/>
        <w:lang w:val="de-CH"/>
      </w:rPr>
      <w:instrText xml:space="preserve"> PAGE </w:instrText>
    </w:r>
    <w:r w:rsidR="00B74B40" w:rsidRPr="009B19A0">
      <w:rPr>
        <w:sz w:val="20"/>
      </w:rPr>
      <w:fldChar w:fldCharType="separate"/>
    </w:r>
    <w:r w:rsidR="00B74B40" w:rsidRPr="009B19A0">
      <w:rPr>
        <w:sz w:val="20"/>
      </w:rPr>
      <w:t>1</w:t>
    </w:r>
    <w:r w:rsidR="00B74B40" w:rsidRPr="009B19A0">
      <w:rPr>
        <w:sz w:val="20"/>
      </w:rPr>
      <w:fldChar w:fldCharType="end"/>
    </w:r>
  </w:p>
  <w:p w14:paraId="3A775559" w14:textId="77777777" w:rsidR="00B74B40" w:rsidRDefault="00B74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F5D9" w14:textId="2077489D" w:rsidR="00721657" w:rsidRPr="0059420B" w:rsidRDefault="009B19A0" w:rsidP="009B19A0">
    <w:pPr>
      <w:pStyle w:val="Footer"/>
    </w:pPr>
    <w:fldSimple w:instr=" FILENAME \p  \* MERGEFORMAT ">
      <w:r>
        <w:t>P:\CHI\ITU-D\BDT\DDIR\DIV\470790C.docx</w:t>
      </w:r>
    </w:fldSimple>
    <w:r w:rsidRPr="009B19A0">
      <w:t xml:space="preserve"> (</w:t>
    </w:r>
    <w:r>
      <w:rPr>
        <w:rFonts w:hint="eastAsia"/>
        <w:lang w:eastAsia="zh-CN"/>
      </w:rPr>
      <w:t>470790</w:t>
    </w:r>
    <w:r w:rsidRPr="009B19A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F1E9" w14:textId="77777777" w:rsidR="00064DDD" w:rsidRDefault="00064DDD">
      <w:r>
        <w:t>____________________</w:t>
      </w:r>
    </w:p>
  </w:footnote>
  <w:footnote w:type="continuationSeparator" w:id="0">
    <w:p w14:paraId="62F361BE" w14:textId="77777777" w:rsidR="00064DDD" w:rsidRDefault="0006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7777777" w:rsidR="00721657" w:rsidRPr="00A525CC" w:rsidRDefault="00721657" w:rsidP="00194F24">
    <w:pPr>
      <w:pStyle w:val="Header"/>
      <w:jc w:val="lef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81A"/>
    <w:multiLevelType w:val="hybridMultilevel"/>
    <w:tmpl w:val="CA4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16D8"/>
    <w:multiLevelType w:val="hybridMultilevel"/>
    <w:tmpl w:val="8B7A2860"/>
    <w:lvl w:ilvl="0" w:tplc="30E412B8">
      <w:start w:val="1"/>
      <w:numFmt w:val="decimal"/>
      <w:lvlText w:val="%1."/>
      <w:lvlJc w:val="left"/>
      <w:pPr>
        <w:ind w:left="728" w:hanging="368"/>
      </w:pPr>
      <w:rPr>
        <w:rFonts w:asciiTheme="minorHAnsi" w:eastAsia="Times New Roman" w:hAnsiTheme="minorHAnsi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B92"/>
    <w:multiLevelType w:val="hybridMultilevel"/>
    <w:tmpl w:val="3E2C81E0"/>
    <w:lvl w:ilvl="0" w:tplc="B7222814">
      <w:start w:val="1"/>
      <w:numFmt w:val="decimal"/>
      <w:lvlText w:val="%1."/>
      <w:lvlJc w:val="left"/>
      <w:pPr>
        <w:ind w:left="728" w:hanging="36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CEF"/>
    <w:multiLevelType w:val="hybridMultilevel"/>
    <w:tmpl w:val="D980A3BA"/>
    <w:lvl w:ilvl="0" w:tplc="A4827C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5125"/>
    <w:multiLevelType w:val="hybridMultilevel"/>
    <w:tmpl w:val="83049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F5F"/>
    <w:multiLevelType w:val="hybridMultilevel"/>
    <w:tmpl w:val="F90AA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E9F20CA"/>
    <w:multiLevelType w:val="hybridMultilevel"/>
    <w:tmpl w:val="741EFF8C"/>
    <w:lvl w:ilvl="0" w:tplc="2382B5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zh-CN" w:vendorID="64" w:dllVersion="0" w:nlCheck="1" w:checkStyle="1"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17F81"/>
    <w:rsid w:val="000240FE"/>
    <w:rsid w:val="0002520B"/>
    <w:rsid w:val="00037A9E"/>
    <w:rsid w:val="00037F91"/>
    <w:rsid w:val="000539F1"/>
    <w:rsid w:val="00054747"/>
    <w:rsid w:val="00055A2A"/>
    <w:rsid w:val="000615C1"/>
    <w:rsid w:val="00061675"/>
    <w:rsid w:val="00064DDD"/>
    <w:rsid w:val="000743AA"/>
    <w:rsid w:val="0009225C"/>
    <w:rsid w:val="000A17C4"/>
    <w:rsid w:val="000A36A4"/>
    <w:rsid w:val="000A3A00"/>
    <w:rsid w:val="000A6EB3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0F7473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3BFB"/>
    <w:rsid w:val="00175ADF"/>
    <w:rsid w:val="00175CAE"/>
    <w:rsid w:val="001828DB"/>
    <w:rsid w:val="001850FE"/>
    <w:rsid w:val="00185135"/>
    <w:rsid w:val="00187A4A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B7891"/>
    <w:rsid w:val="001B7DD1"/>
    <w:rsid w:val="001C3444"/>
    <w:rsid w:val="001C3702"/>
    <w:rsid w:val="001C4656"/>
    <w:rsid w:val="001C46BC"/>
    <w:rsid w:val="001E7C29"/>
    <w:rsid w:val="001F23E6"/>
    <w:rsid w:val="001F4238"/>
    <w:rsid w:val="00200A38"/>
    <w:rsid w:val="00200A46"/>
    <w:rsid w:val="00211B6F"/>
    <w:rsid w:val="00216028"/>
    <w:rsid w:val="00217CC3"/>
    <w:rsid w:val="00220AB6"/>
    <w:rsid w:val="0022120F"/>
    <w:rsid w:val="0022754A"/>
    <w:rsid w:val="00236560"/>
    <w:rsid w:val="0023662E"/>
    <w:rsid w:val="00244CE4"/>
    <w:rsid w:val="00245D0F"/>
    <w:rsid w:val="002548C3"/>
    <w:rsid w:val="0025738B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28D9"/>
    <w:rsid w:val="0030353C"/>
    <w:rsid w:val="003125C3"/>
    <w:rsid w:val="00312AE6"/>
    <w:rsid w:val="003151A2"/>
    <w:rsid w:val="00317D1A"/>
    <w:rsid w:val="003211FF"/>
    <w:rsid w:val="00321428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7CC5"/>
    <w:rsid w:val="003700DB"/>
    <w:rsid w:val="00372F85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2D8C"/>
    <w:rsid w:val="00413B78"/>
    <w:rsid w:val="0041481B"/>
    <w:rsid w:val="00416DDE"/>
    <w:rsid w:val="0044206E"/>
    <w:rsid w:val="0044411E"/>
    <w:rsid w:val="00453435"/>
    <w:rsid w:val="00460089"/>
    <w:rsid w:val="00466398"/>
    <w:rsid w:val="0047306D"/>
    <w:rsid w:val="00473791"/>
    <w:rsid w:val="00476E48"/>
    <w:rsid w:val="00481DE9"/>
    <w:rsid w:val="00484DFE"/>
    <w:rsid w:val="0049128B"/>
    <w:rsid w:val="00493B49"/>
    <w:rsid w:val="00495501"/>
    <w:rsid w:val="004A070A"/>
    <w:rsid w:val="004A320E"/>
    <w:rsid w:val="004A4E9C"/>
    <w:rsid w:val="004B1A3C"/>
    <w:rsid w:val="004B75E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3DF"/>
    <w:rsid w:val="0056423B"/>
    <w:rsid w:val="00565DBB"/>
    <w:rsid w:val="00573424"/>
    <w:rsid w:val="0057402F"/>
    <w:rsid w:val="00581653"/>
    <w:rsid w:val="005849D6"/>
    <w:rsid w:val="00585367"/>
    <w:rsid w:val="0058581C"/>
    <w:rsid w:val="005871A1"/>
    <w:rsid w:val="0058737E"/>
    <w:rsid w:val="00592518"/>
    <w:rsid w:val="00592E87"/>
    <w:rsid w:val="0059420B"/>
    <w:rsid w:val="00594C4D"/>
    <w:rsid w:val="005A33B0"/>
    <w:rsid w:val="005B6239"/>
    <w:rsid w:val="005C2DC2"/>
    <w:rsid w:val="005C304A"/>
    <w:rsid w:val="005C3D69"/>
    <w:rsid w:val="005C641D"/>
    <w:rsid w:val="005C7C98"/>
    <w:rsid w:val="005D2C3A"/>
    <w:rsid w:val="005D55A4"/>
    <w:rsid w:val="005D57C8"/>
    <w:rsid w:val="005D7761"/>
    <w:rsid w:val="005E0278"/>
    <w:rsid w:val="005E090D"/>
    <w:rsid w:val="005E35A3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2F57"/>
    <w:rsid w:val="006339E9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62D2"/>
    <w:rsid w:val="007115B2"/>
    <w:rsid w:val="0071723E"/>
    <w:rsid w:val="00721657"/>
    <w:rsid w:val="00727331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4A09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192"/>
    <w:rsid w:val="008B2EDF"/>
    <w:rsid w:val="008B47C7"/>
    <w:rsid w:val="008B4838"/>
    <w:rsid w:val="008B54CB"/>
    <w:rsid w:val="008B5A3D"/>
    <w:rsid w:val="008C4010"/>
    <w:rsid w:val="008C4FDF"/>
    <w:rsid w:val="008C6B1F"/>
    <w:rsid w:val="008D52C4"/>
    <w:rsid w:val="008D5E4F"/>
    <w:rsid w:val="008E0D21"/>
    <w:rsid w:val="008F14F5"/>
    <w:rsid w:val="008F71C1"/>
    <w:rsid w:val="00902D41"/>
    <w:rsid w:val="00902F49"/>
    <w:rsid w:val="00904230"/>
    <w:rsid w:val="0090562D"/>
    <w:rsid w:val="00914004"/>
    <w:rsid w:val="00915F3F"/>
    <w:rsid w:val="00922EC1"/>
    <w:rsid w:val="00923CF1"/>
    <w:rsid w:val="009278BB"/>
    <w:rsid w:val="009301F1"/>
    <w:rsid w:val="009307DF"/>
    <w:rsid w:val="009359B8"/>
    <w:rsid w:val="00935FF0"/>
    <w:rsid w:val="009431F8"/>
    <w:rsid w:val="00947A35"/>
    <w:rsid w:val="00951C7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19A0"/>
    <w:rsid w:val="009B2AF4"/>
    <w:rsid w:val="009C110B"/>
    <w:rsid w:val="009C5441"/>
    <w:rsid w:val="009C7DCE"/>
    <w:rsid w:val="009D119F"/>
    <w:rsid w:val="009D49A2"/>
    <w:rsid w:val="009D4F4A"/>
    <w:rsid w:val="009F3940"/>
    <w:rsid w:val="009F3EB2"/>
    <w:rsid w:val="009F65E3"/>
    <w:rsid w:val="009F6EB1"/>
    <w:rsid w:val="00A0500F"/>
    <w:rsid w:val="00A11D05"/>
    <w:rsid w:val="00A13162"/>
    <w:rsid w:val="00A20267"/>
    <w:rsid w:val="00A3158C"/>
    <w:rsid w:val="00A32DF3"/>
    <w:rsid w:val="00A33E32"/>
    <w:rsid w:val="00A343C4"/>
    <w:rsid w:val="00A35E20"/>
    <w:rsid w:val="00A36F6D"/>
    <w:rsid w:val="00A41AFF"/>
    <w:rsid w:val="00A50CA0"/>
    <w:rsid w:val="00A525CC"/>
    <w:rsid w:val="00A53E7C"/>
    <w:rsid w:val="00A60087"/>
    <w:rsid w:val="00A705E8"/>
    <w:rsid w:val="00A721F4"/>
    <w:rsid w:val="00A9392C"/>
    <w:rsid w:val="00A9462B"/>
    <w:rsid w:val="00A958E8"/>
    <w:rsid w:val="00A97D59"/>
    <w:rsid w:val="00AA3E09"/>
    <w:rsid w:val="00AA4BEF"/>
    <w:rsid w:val="00AB1659"/>
    <w:rsid w:val="00AB4962"/>
    <w:rsid w:val="00AB53AF"/>
    <w:rsid w:val="00AB734E"/>
    <w:rsid w:val="00AB740F"/>
    <w:rsid w:val="00AC6F14"/>
    <w:rsid w:val="00AC7221"/>
    <w:rsid w:val="00AD23C9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7607"/>
    <w:rsid w:val="00B63969"/>
    <w:rsid w:val="00B648C7"/>
    <w:rsid w:val="00B66E8F"/>
    <w:rsid w:val="00B74B40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6E6E"/>
    <w:rsid w:val="00BD79F0"/>
    <w:rsid w:val="00BE2B4D"/>
    <w:rsid w:val="00BE4CCB"/>
    <w:rsid w:val="00BF3ED3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4EC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470B"/>
    <w:rsid w:val="00CB79C5"/>
    <w:rsid w:val="00CC3592"/>
    <w:rsid w:val="00CC411F"/>
    <w:rsid w:val="00CC4B75"/>
    <w:rsid w:val="00CC732E"/>
    <w:rsid w:val="00CD2FCD"/>
    <w:rsid w:val="00CD50E3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F30"/>
    <w:rsid w:val="00D1519F"/>
    <w:rsid w:val="00D20E99"/>
    <w:rsid w:val="00D21C83"/>
    <w:rsid w:val="00D35BDD"/>
    <w:rsid w:val="00D63006"/>
    <w:rsid w:val="00D72301"/>
    <w:rsid w:val="00D844DC"/>
    <w:rsid w:val="00D911DE"/>
    <w:rsid w:val="00D91B97"/>
    <w:rsid w:val="00D93ACC"/>
    <w:rsid w:val="00D93C08"/>
    <w:rsid w:val="00D95DAC"/>
    <w:rsid w:val="00DA0B53"/>
    <w:rsid w:val="00DB1171"/>
    <w:rsid w:val="00DB1519"/>
    <w:rsid w:val="00DB1DA2"/>
    <w:rsid w:val="00DB2840"/>
    <w:rsid w:val="00DC1BD3"/>
    <w:rsid w:val="00DC2C1A"/>
    <w:rsid w:val="00DD66B4"/>
    <w:rsid w:val="00DE1972"/>
    <w:rsid w:val="00DE27AB"/>
    <w:rsid w:val="00DF2AB3"/>
    <w:rsid w:val="00DF7250"/>
    <w:rsid w:val="00DF7638"/>
    <w:rsid w:val="00E00CAA"/>
    <w:rsid w:val="00E03EBF"/>
    <w:rsid w:val="00E05209"/>
    <w:rsid w:val="00E11BCF"/>
    <w:rsid w:val="00E17F84"/>
    <w:rsid w:val="00E2258E"/>
    <w:rsid w:val="00E260C2"/>
    <w:rsid w:val="00E32596"/>
    <w:rsid w:val="00E348E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42D2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6918"/>
    <w:rsid w:val="00EE3A64"/>
    <w:rsid w:val="00EE50E5"/>
    <w:rsid w:val="00EF01CF"/>
    <w:rsid w:val="00F03590"/>
    <w:rsid w:val="00F03622"/>
    <w:rsid w:val="00F072A1"/>
    <w:rsid w:val="00F077FD"/>
    <w:rsid w:val="00F15244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91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0295"/>
    <w:rsid w:val="00FD3980"/>
    <w:rsid w:val="00FD431E"/>
    <w:rsid w:val="00FD5A2C"/>
    <w:rsid w:val="00FE0D47"/>
    <w:rsid w:val="00FE1D3E"/>
    <w:rsid w:val="00FE1D5C"/>
    <w:rsid w:val="00FE2F8B"/>
    <w:rsid w:val="00FE3669"/>
    <w:rsid w:val="00FE5204"/>
    <w:rsid w:val="00FF287F"/>
    <w:rsid w:val="00FF6C5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NormalaftertitleChar">
    <w:name w:val="Normal after title Char"/>
    <w:link w:val="Normalaftertitle"/>
    <w:locked/>
    <w:rsid w:val="00FE1D3E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FE1D3E"/>
    <w:rPr>
      <w:rFonts w:asciiTheme="minorHAnsi" w:hAnsiTheme="minorHAnsi"/>
      <w:i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E1D3E"/>
    <w:rPr>
      <w:rFonts w:asciiTheme="minorHAnsi" w:hAnsiTheme="minorHAnsi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44C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4CE4"/>
    <w:rPr>
      <w:rFonts w:ascii="Segoe UI" w:hAnsi="Segoe UI" w:cs="Segoe UI"/>
      <w:sz w:val="18"/>
      <w:szCs w:val="18"/>
      <w:lang w:val="en-GB" w:eastAsia="en-US"/>
    </w:rPr>
  </w:style>
  <w:style w:type="character" w:customStyle="1" w:styleId="transsent">
    <w:name w:val="transsent"/>
    <w:basedOn w:val="DefaultParagraphFont"/>
    <w:rsid w:val="00372F85"/>
  </w:style>
  <w:style w:type="character" w:styleId="UnresolvedMention">
    <w:name w:val="Unresolved Mention"/>
    <w:basedOn w:val="DefaultParagraphFont"/>
    <w:uiPriority w:val="99"/>
    <w:semiHidden/>
    <w:unhideWhenUsed/>
    <w:rsid w:val="009B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TDAG/Pages/TDAG25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CDA3D-DF23-481F-A93B-24822F876B65}"/>
</file>

<file path=customXml/itemProps2.xml><?xml version="1.0" encoding="utf-8"?>
<ds:datastoreItem xmlns:ds="http://schemas.openxmlformats.org/officeDocument/2006/customXml" ds:itemID="{7A3F56D9-870E-4A63-BB54-59A4A7ABBDEE}"/>
</file>

<file path=customXml/itemProps3.xml><?xml version="1.0" encoding="utf-8"?>
<ds:datastoreItem xmlns:ds="http://schemas.openxmlformats.org/officeDocument/2006/customXml" ds:itemID="{D89EC32D-7E9A-4927-AEBB-C5CB93DE5866}"/>
</file>

<file path=customXml/itemProps4.xml><?xml version="1.0" encoding="utf-8"?>
<ds:datastoreItem xmlns:ds="http://schemas.openxmlformats.org/officeDocument/2006/customXml" ds:itemID="{EE9E99E4-8219-495E-9A5F-842AFA5F2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1972</Words>
  <Characters>466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Yanhui</cp:lastModifiedBy>
  <cp:revision>4</cp:revision>
  <cp:lastPrinted>2014-11-04T09:22:00Z</cp:lastPrinted>
  <dcterms:created xsi:type="dcterms:W3CDTF">2020-04-28T12:34:00Z</dcterms:created>
  <dcterms:modified xsi:type="dcterms:W3CDTF">2020-04-28T12:44:00Z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0x01010087413FF6915D684E968F677E18ADA217</vt:lpwstr>
  </property>
</Properties>
</file>